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Ryuichi Hamakawa</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PSY310-07</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Instructor: Liz Inman</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Outline</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“Musical Preference and location in Primates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1.Introduction</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-the significance of the study. (A hook sentence;))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Introduce telling that human culture and where they live has a strong connection, and similar social animals such as primates should have the same ability to have a musical preference depending on where they live. Ex. Primates from the African continent would show preference to music from where it’s similar to where they live.</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-background information. (precious resources…)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-Honing 2012 a great source to design the excitatory signal. A specific study done on what kind of components of sounds do nonhuman primate would pay attention.</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-Mingle 2014 tells that the homology of the species also matters a lot. environment factors could help animals form a preference for art?</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-Wallace 2017 tells what to do and not to do. Have to have more understanding of the subject to design a more effective study</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-Koda 2013 this study gives a possibility to know how we developed and evolutionary changed to have a sensitivity of harmonic music.</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-Hinds 2007 Monkeys tells different species of primates also gives a different response depending on their surrounding environmen</w:t>
      </w:r>
      <w:r w:rsidDel="00000000" w:rsidR="00000000" w:rsidRPr="00000000">
        <w:rPr>
          <w:rtl w:val="0"/>
        </w:rPr>
        <w:t xml:space="preserve">t.</w:t>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-If human form their culture based on environmental matters such as landscape, weather, animals and etc… Why not other animals do so also??</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-It is important for human to create and seek ways of communication and understanding between species in order to better fit this mother planet and our neighbors. </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-There are also more possible hints for study fields such as music learning ability of all kind of living things including human beings.</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-Study Information (Basic </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Experimental-Cross Sectional</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Three groups of primates(4~5 sex random adults,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Hominoids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three different locations with different types of culture exist in domestic.</w:t>
      </w:r>
      <w:r w:rsidDel="00000000" w:rsidR="00000000" w:rsidRPr="00000000">
        <w:rPr>
          <w:rtl w:val="0"/>
        </w:rPr>
        <w:t xml:space="preserve"> The number is limited to minimum under consideration of tension between each single subjects. (too many subjects would cause DVs such as fight) </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Thus, variables would therefore be</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-[IV 1]Three different music from the same three locations where the subjects are from. (human cultural variables)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-[IV 2]Same three locations from above with different environmental matters(ex. cold or hot, safe or dangerous, domestic human culture differences)(environmental variables)</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2.Methodology</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-Subjects will be consist of three groups of 4 adult Hominoids from three locations with different environmental and human cultural categories.</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Bonobo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(Africa)</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Hylobatidae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(India~China~etc..)</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Siamang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(Malaysia~Sumatra)</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-Three different kinds of stimulus will be played from three equally distanced corners in a room. Each subject group will enter the room and stay for one daily cycle with food, entertainment, and proper treatment.</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-The stimulus will be chosen from acoustic rhythm played from a domestic human cultural percussion instrument. Music will be instrumental and limited to one type of instrument. =Percussion solo (The existence of percussion solo from each cultural music is confirmed) </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3.Results and Discussion </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-Prediction&amp;Hypothesis </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-Each group will spend some time and eventually spend most of their stay in where their own regional rhythm stimulus is played. </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-Thus hypothetically, animals with the decent ability to understand musical elements will have the possibility of forming the same cultural preference with the human.</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ヒラギノ角ゴ ProN W3" w:cs="ヒラギノ角ゴ ProN W3" w:eastAsia="ヒラギノ角ゴ ProN W3" w:hAnsi="ヒラギノ角ゴ ProN W3"/>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-In the future, the understanding of how animals form their cultural preference will lead us to find the root of our personality of preference for all things. In other words, how we form our personality.</w:t>
      </w:r>
      <w:r w:rsidDel="00000000" w:rsidR="00000000" w:rsidRPr="00000000">
        <w:rPr>
          <w:rtl w:val="0"/>
        </w:rPr>
      </w:r>
    </w:p>
    <w:sectPr>
      <w:headerReference r:id="rId6" w:type="default"/>
      <w:footerReference r:id="rId7" w:type="default"/>
      <w:pgSz w:h="15840" w:w="12240"/>
      <w:pgMar w:bottom="1440" w:top="1440" w:left="144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ヒラギノ角ゴ ProN W3"/>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