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Sync reported a successful Q2 2023, with a 25% YoY increase in revenue to $125 million. The company's gross profit margin was 58%, and EBITDA rose to $37.5 million, a 30% EBITDA margin. Net income increased to $16 million, up from $10 million in Q2 2022. The company's total addressable market expanded due to the growth of its high-yield savings product line and the new RoboAdvisor platform. Fintech Plus Sync diversified its asset-backed securities portfolio and invested $25 million in AAA-rated corporate bonds. Total assets reached $1.5 billion, with total liabilities at $900 million, resulting in a solid equity base of $600 million. The company's debt-to-equity ratio is 1.5. Customer acquisition costs dropped by 15%, and lifetime value grew by 25%. The company's LTVCAC ratio is 3.5%. The company has a value-at-risk model in place, with a 99% confidence level. The tier-one capital ratio is 12.5%. The company expects Q3 revenue to be around $135 million, driven by blockchain solutions and AI-driven predictive analytics. The upcoming IPO of fintech subsidiary, Pay Plus, is expected to raise $200 million.</w:t>
      </w:r>
    </w:p>
    <w:p/>
    <w:p>
      <w:pPr>
        <w:pStyle w:val="Heading1"/>
      </w:pPr>
      <w:r>
        <w:t>Key Points</w:t>
      </w:r>
    </w:p>
    <w:p>
      <w:r>
        <w:t>key_points</w:t>
      </w:r>
    </w:p>
    <w:p/>
    <w:p>
      <w:pPr>
        <w:pStyle w:val="Heading1"/>
      </w:pPr>
      <w:r>
        <w:t>Action Items</w:t>
      </w:r>
    </w:p>
    <w:p>
      <w:r>
        <w:t>action_items</w:t>
      </w:r>
    </w:p>
    <w:p/>
    <w:p>
      <w:pPr>
        <w:pStyle w:val="Heading1"/>
      </w:pPr>
      <w:r>
        <w:t>Sentiment</w:t>
      </w:r>
    </w:p>
    <w:p>
      <w:r>
        <w:t>sentiment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