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Arial" w:hAnsi="Arial"/>
          <w:b/>
          <w:color w:val="202124"/>
          <w:sz w:val="22"/>
        </w:rPr>
        <w:t>ISGA CASABLANCA</w:t>
      </w:r>
    </w:p>
    <w:p>
      <w:pPr>
        <w:spacing w:after="320"/>
        <w:jc w:val="center"/>
      </w:pPr>
      <w:r>
        <w:rPr>
          <w:rFonts w:ascii="Arial" w:hAnsi="Arial"/>
          <w:color w:val="5F6368"/>
          <w:sz w:val="20"/>
        </w:rPr>
        <w:t>3CI — Big Data et Intelligence Artificielle</w:t>
      </w:r>
    </w:p>
    <w:p>
      <w:pPr>
        <w:spacing w:before="120" w:after="440"/>
        <w:jc w:val="center"/>
        <w:pBdr>
          <w:bottom w:val="single" w:sz="10" w:space="10" w:color="B1202D"/>
        </w:pBdr>
      </w:pPr>
      <w:r>
        <w:rPr>
          <w:rFonts w:ascii="Arial" w:hAnsi="Arial"/>
          <w:b/>
          <w:color w:val="B1202D"/>
          <w:sz w:val="26"/>
        </w:rPr>
        <w:t>PROJET DE FIN D’ÉTUDES</w:t>
      </w:r>
    </w:p>
    <w:p>
      <w:pPr>
        <w:spacing w:before="320" w:after="160"/>
        <w:jc w:val="center"/>
      </w:pPr>
      <w:r>
        <w:rPr>
          <w:rFonts w:ascii="Arial" w:hAnsi="Arial"/>
          <w:b/>
          <w:color w:val="202124"/>
          <w:sz w:val="48"/>
        </w:rPr>
        <w:t>Conception et réalisation de DataWatch</w:t>
      </w:r>
    </w:p>
    <w:p>
      <w:pPr>
        <w:spacing w:after="680"/>
        <w:ind w:left="567" w:right="567"/>
        <w:jc w:val="center"/>
      </w:pPr>
      <w:r>
        <w:rPr>
          <w:rFonts w:ascii="Arial" w:hAnsi="Arial"/>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Arial" w:hAnsi="Arial"/>
          <w:b/>
          <w:color w:val="B1202D"/>
          <w:sz w:val="17"/>
        </w:rPr>
        <w:t>RÉALISÉ PAR</w:t>
      </w:r>
      <w:r>
        <w:rPr>
          <w:rFonts w:ascii="Arial" w:hAnsi="Arial"/>
          <w:b/>
          <w:color w:val="202124"/>
          <w:sz w:val="21"/>
        </w:rPr>
        <w:tab/>
        <w:t>Mounir Gaiby</w:t>
      </w:r>
    </w:p>
    <w:p>
      <w:pPr>
        <w:tabs>
          <w:tab w:pos="3515" w:val="left"/>
        </w:tabs>
        <w:spacing w:after="160"/>
        <w:ind w:left="142"/>
        <w:jc w:val="left"/>
      </w:pPr>
      <w:r>
        <w:rPr>
          <w:rFonts w:ascii="Arial" w:hAnsi="Arial"/>
          <w:b/>
          <w:color w:val="B1202D"/>
          <w:sz w:val="17"/>
        </w:rPr>
        <w:t>ENCADRÉ PAR</w:t>
      </w:r>
      <w:r>
        <w:rPr>
          <w:rFonts w:ascii="Arial" w:hAnsi="Arial"/>
          <w:b/>
          <w:color w:val="202124"/>
          <w:sz w:val="21"/>
        </w:rPr>
        <w:tab/>
        <w:t>Dr. HANINE MOHAMED</w:t>
      </w:r>
    </w:p>
    <w:p>
      <w:pPr>
        <w:tabs>
          <w:tab w:pos="3515" w:val="left"/>
        </w:tabs>
        <w:spacing w:after="160"/>
        <w:ind w:left="142"/>
        <w:jc w:val="left"/>
      </w:pPr>
      <w:r>
        <w:rPr>
          <w:rFonts w:ascii="Arial" w:hAnsi="Arial"/>
          <w:b/>
          <w:color w:val="B1202D"/>
          <w:sz w:val="17"/>
        </w:rPr>
        <w:t>FILIÈRE</w:t>
      </w:r>
      <w:r>
        <w:rPr>
          <w:rFonts w:ascii="Arial" w:hAnsi="Arial"/>
          <w:b/>
          <w:color w:val="202124"/>
          <w:sz w:val="21"/>
        </w:rPr>
        <w:tab/>
        <w:t>3CI — Big Data et Intelligence Artificielle</w:t>
      </w:r>
    </w:p>
    <w:p>
      <w:pPr>
        <w:spacing w:before="600"/>
        <w:jc w:val="center"/>
      </w:pPr>
      <w:r>
        <w:rPr>
          <w:rFonts w:ascii="Arial" w:hAnsi="Arial"/>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Arial" w:hAnsi="Arial"/>
          <w:b/>
          <w:color w:val="202124"/>
          <w:sz w:val="36"/>
        </w:rPr>
        <w:t>I. Dédicace</w:t>
      </w:r>
      <w:bookmarkEnd w:id="100"/>
    </w:p>
    <w:p/>
    <w:p/>
    <w:p/>
    <w:p/>
    <w:p/>
    <w:p>
      <w:pPr>
        <w:spacing w:after="120"/>
        <w:jc w:val="center"/>
      </w:pPr>
      <w:r>
        <w:rPr>
          <w:rFonts w:ascii="Arial" w:hAnsi="Arial"/>
          <w:b w:val="0"/>
          <w:i/>
          <w:color w:val="202124"/>
          <w:sz w:val="22"/>
        </w:rPr>
        <w:t>Je dédie ce travail à ma famille, à mes proches et à toutes les personnes qui ont soutenu mon parcours académique.</w:t>
      </w:r>
    </w:p>
    <w:p>
      <w:pPr>
        <w:pStyle w:val="Heading1"/>
        <w:spacing w:after="400"/>
        <w:jc w:val="center"/>
      </w:pPr>
      <w:bookmarkStart w:id="101" w:name="front_12"/>
      <w:r>
        <w:rPr>
          <w:rFonts w:ascii="Arial" w:hAnsi="Arial"/>
          <w:b/>
          <w:color w:val="202124"/>
          <w:sz w:val="36"/>
        </w:rPr>
        <w:t>II. Remerciements</w:t>
      </w:r>
      <w:bookmarkEnd w:id="101"/>
    </w:p>
    <w:p>
      <w:pPr>
        <w:spacing w:after="120"/>
        <w:jc w:val="both"/>
      </w:pPr>
      <w:r>
        <w:rPr>
          <w:rFonts w:ascii="Arial" w:hAnsi="Arial"/>
          <w:b w:val="0"/>
          <w:i w:val="0"/>
          <w:color w:val="202124"/>
          <w:sz w:val="22"/>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20"/>
        <w:jc w:val="both"/>
      </w:pPr>
      <w:r>
        <w:rPr>
          <w:rFonts w:ascii="Arial" w:hAnsi="Arial"/>
          <w:b w:val="0"/>
          <w:i w:val="0"/>
          <w:color w:val="202124"/>
          <w:sz w:val="22"/>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Arial" w:hAnsi="Arial"/>
          <w:b/>
          <w:color w:val="202124"/>
          <w:sz w:val="36"/>
        </w:rPr>
        <w:t>III. Résumé</w:t>
      </w:r>
      <w:bookmarkEnd w:id="102"/>
    </w:p>
    <w:p>
      <w:pPr>
        <w:spacing w:after="120"/>
        <w:jc w:val="both"/>
      </w:pPr>
      <w:r>
        <w:rPr>
          <w:rFonts w:ascii="Arial" w:hAnsi="Arial"/>
          <w:b w:val="0"/>
          <w:i w:val="0"/>
          <w:color w:val="202124"/>
          <w:sz w:val="22"/>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20"/>
        <w:jc w:val="both"/>
      </w:pPr>
      <w:r>
        <w:rPr>
          <w:rFonts w:ascii="Arial" w:hAnsi="Arial"/>
          <w:b w:val="0"/>
          <w:i w:val="0"/>
          <w:color w:val="202124"/>
          <w:sz w:val="22"/>
        </w:rPr>
        <w:t>Ce projet présente DataWatch, une plateforme SaaS multi-tenant de surveillance de la qualité des données. La solution profile les tables surveillées, applique des règles métier, des méthodes statistiques et des modèles d’apprentissage automatique, puis crée des incidents priorisés. Une couche de narration par grand modèle de langage propose un résumé, des hypothèses et des actions de diagnostic, tout en conservant une décision humaine.</w:t>
      </w:r>
    </w:p>
    <w:p>
      <w:pPr>
        <w:spacing w:after="120"/>
        <w:jc w:val="both"/>
      </w:pPr>
      <w:r>
        <w:rPr>
          <w:rFonts w:ascii="Arial" w:hAnsi="Arial"/>
          <w:b w:val="0"/>
          <w:i w:val="0"/>
          <w:color w:val="202124"/>
          <w:sz w:val="22"/>
        </w:rPr>
        <w:t>La réalisation s’appuie sur FastAPI, PostgreSQL, Redis, Celery, React et Docker. Une validation locale reproductible a couvert les parcours de surveillance, d’alerte, de moniteurs et de gouvernance IA. Les résultats montrent la faisabilité d’une chaîne complète de détection, d’explication et d’alerte, tout en distinguant clairement les preuves locales des garanties de production.</w:t>
      </w:r>
    </w:p>
    <w:p>
      <w:pPr>
        <w:spacing w:before="160"/>
        <w:jc w:val="left"/>
      </w:pPr>
      <w:r>
        <w:rPr>
          <w:rFonts w:ascii="Arial" w:hAnsi="Arial"/>
          <w:b/>
          <w:color w:val="B1202D"/>
          <w:sz w:val="20"/>
        </w:rPr>
        <w:t>Mots-clés  :</w:t>
      </w:r>
      <w:r>
        <w:rPr>
          <w:rFonts w:ascii="Arial" w:hAnsi="Arial"/>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Arial" w:hAnsi="Arial"/>
          <w:b/>
          <w:color w:val="202124"/>
          <w:sz w:val="36"/>
        </w:rPr>
        <w:t>IV. Abstract</w:t>
      </w:r>
      <w:bookmarkEnd w:id="103"/>
    </w:p>
    <w:p>
      <w:pPr>
        <w:spacing w:after="120"/>
        <w:jc w:val="both"/>
      </w:pPr>
      <w:r>
        <w:rPr>
          <w:rFonts w:ascii="Arial" w:hAnsi="Arial"/>
          <w:b w:val="0"/>
          <w:i w:val="0"/>
          <w:color w:val="202124"/>
          <w:sz w:val="22"/>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20"/>
        <w:jc w:val="both"/>
      </w:pPr>
      <w:r>
        <w:rPr>
          <w:rFonts w:ascii="Arial" w:hAnsi="Arial"/>
          <w:b w:val="0"/>
          <w:i w:val="0"/>
          <w:color w:val="202124"/>
          <w:sz w:val="22"/>
        </w:rPr>
        <w:t>This project presents DataWatch, a multi-tenant SaaS platform for data-quality monitoring. The solution profiles monitored tables, applies business rules, statistical methods and machine-learning models, then creates prioritised incidents. A large-language-model narration layer provides a structured summary, plausible hypotheses and investigation actions while keeping the operator in control.</w:t>
      </w:r>
    </w:p>
    <w:p>
      <w:pPr>
        <w:spacing w:after="120"/>
        <w:jc w:val="both"/>
      </w:pPr>
      <w:r>
        <w:rPr>
          <w:rFonts w:ascii="Arial" w:hAnsi="Arial"/>
          <w:b w:val="0"/>
          <w:i w:val="0"/>
          <w:color w:val="202124"/>
          <w:sz w:val="22"/>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Arial" w:hAnsi="Arial"/>
          <w:b/>
          <w:color w:val="B1202D"/>
          <w:sz w:val="20"/>
        </w:rPr>
        <w:t>Keywords :</w:t>
      </w:r>
      <w:r>
        <w:rPr>
          <w:rFonts w:ascii="Arial" w:hAnsi="Arial"/>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Arial" w:hAnsi="Arial"/>
          <w:b/>
          <w:color w:val="202124"/>
          <w:sz w:val="36"/>
        </w:rPr>
        <w:t>V. Table des matières</w:t>
      </w:r>
      <w:bookmarkEnd w:id="104"/>
    </w:p>
    <w:sdt>
      <w:sdtPr>
        <w:docPartObj>
          <w:docPartGallery w:val="Table of Contents"/>
          <w:docPartUnique/>
        </w:docPartObj>
      </w:sdtPr>
      <w:sdtContent>
        <w:p>
          <w:pPr>
            <w:tabs>
              <w:tab w:pos="8617" w:val="right" w:leader="dot"/>
            </w:tabs>
            <w:spacing w:before="0" w:after="30" w:line="240" w:lineRule="auto"/>
            <w:ind w:left="0"/>
            <w:jc w:val="left"/>
          </w:pPr>
          <w:r>
            <w:fldChar w:fldCharType="begin"/>
          </w:r>
          <w:r>
            <w:instrText xml:space="preserve">TOC \o "1-3" \h \z \u</w:instrText>
          </w:r>
          <w:r>
            <w:fldChar w:fldCharType="separate"/>
          </w:r>
          <w:hyperlink w:anchor="front_10" w:history="1">
            <w:r>
              <w:rPr>
                <w:rStyle w:val="Hyperlink"/>
                <w:rFonts w:ascii="Arial" w:hAnsi="Arial"/>
                <w:sz w:val="17"/>
                <w:color w:val="202124"/>
                <w:b/>
              </w:rPr>
              <w:t>I. Dédicace</w:t>
            </w:r>
          </w:hyperlink>
          <w:r>
            <w:rPr>
              <w:rFonts w:ascii="Arial" w:hAnsi="Arial"/>
              <w:b/>
              <w:color w:val="202124"/>
              <w:sz w:val="17"/>
            </w:rPr>
            <w:tab/>
            <w:t>i</w:t>
          </w:r>
        </w:p>
        <w:p>
          <w:pPr>
            <w:tabs>
              <w:tab w:pos="8617" w:val="right" w:leader="dot"/>
            </w:tabs>
            <w:spacing w:before="0" w:after="30" w:line="240" w:lineRule="auto"/>
            <w:ind w:left="0"/>
            <w:jc w:val="left"/>
          </w:pPr>
          <w:hyperlink w:anchor="front_12" w:history="1">
            <w:r>
              <w:rPr>
                <w:rStyle w:val="Hyperlink"/>
                <w:rFonts w:ascii="Arial" w:hAnsi="Arial"/>
                <w:sz w:val="17"/>
                <w:color w:val="202124"/>
                <w:b/>
              </w:rPr>
              <w:t>II. Remerciements</w:t>
            </w:r>
          </w:hyperlink>
          <w:r>
            <w:rPr>
              <w:rFonts w:ascii="Arial" w:hAnsi="Arial"/>
              <w:b/>
              <w:color w:val="202124"/>
              <w:sz w:val="17"/>
            </w:rPr>
            <w:tab/>
            <w:t>ii</w:t>
          </w:r>
        </w:p>
        <w:p>
          <w:pPr>
            <w:tabs>
              <w:tab w:pos="8617" w:val="right" w:leader="dot"/>
            </w:tabs>
            <w:spacing w:before="0" w:after="30" w:line="240" w:lineRule="auto"/>
            <w:ind w:left="0"/>
            <w:jc w:val="left"/>
          </w:pPr>
          <w:hyperlink w:anchor="front_15" w:history="1">
            <w:r>
              <w:rPr>
                <w:rStyle w:val="Hyperlink"/>
                <w:rFonts w:ascii="Arial" w:hAnsi="Arial"/>
                <w:sz w:val="17"/>
                <w:color w:val="202124"/>
                <w:b/>
              </w:rPr>
              <w:t>III. Résumé</w:t>
            </w:r>
          </w:hyperlink>
          <w:r>
            <w:rPr>
              <w:rFonts w:ascii="Arial" w:hAnsi="Arial"/>
              <w:b/>
              <w:color w:val="202124"/>
              <w:sz w:val="17"/>
            </w:rPr>
            <w:tab/>
            <w:t>iii</w:t>
          </w:r>
        </w:p>
        <w:p>
          <w:pPr>
            <w:tabs>
              <w:tab w:pos="8617" w:val="right" w:leader="dot"/>
            </w:tabs>
            <w:spacing w:before="0" w:after="30" w:line="240" w:lineRule="auto"/>
            <w:ind w:left="0"/>
            <w:jc w:val="left"/>
          </w:pPr>
          <w:hyperlink w:anchor="front_20" w:history="1">
            <w:r>
              <w:rPr>
                <w:rStyle w:val="Hyperlink"/>
                <w:rFonts w:ascii="Arial" w:hAnsi="Arial"/>
                <w:sz w:val="17"/>
                <w:color w:val="202124"/>
                <w:b/>
              </w:rPr>
              <w:t>IV. Abstract</w:t>
            </w:r>
          </w:hyperlink>
          <w:r>
            <w:rPr>
              <w:rFonts w:ascii="Arial" w:hAnsi="Arial"/>
              <w:b/>
              <w:color w:val="202124"/>
              <w:sz w:val="17"/>
            </w:rPr>
            <w:tab/>
            <w:t>iv</w:t>
          </w:r>
        </w:p>
        <w:p>
          <w:pPr>
            <w:tabs>
              <w:tab w:pos="8617" w:val="right" w:leader="dot"/>
            </w:tabs>
            <w:spacing w:before="0" w:after="30" w:line="240" w:lineRule="auto"/>
            <w:ind w:left="0"/>
            <w:jc w:val="left"/>
          </w:pPr>
          <w:hyperlink w:anchor="front_toc" w:history="1">
            <w:r>
              <w:rPr>
                <w:rStyle w:val="Hyperlink"/>
                <w:rFonts w:ascii="Arial" w:hAnsi="Arial"/>
                <w:sz w:val="17"/>
                <w:color w:val="202124"/>
                <w:b/>
              </w:rPr>
              <w:t>V. Table des matières</w:t>
            </w:r>
          </w:hyperlink>
          <w:r>
            <w:rPr>
              <w:rFonts w:ascii="Arial" w:hAnsi="Arial"/>
              <w:b/>
              <w:color w:val="202124"/>
              <w:sz w:val="17"/>
            </w:rPr>
            <w:tab/>
            <w:t>v</w:t>
          </w:r>
        </w:p>
        <w:p>
          <w:pPr>
            <w:tabs>
              <w:tab w:pos="8617" w:val="right" w:leader="dot"/>
            </w:tabs>
            <w:spacing w:before="0" w:after="30" w:line="240" w:lineRule="auto"/>
            <w:ind w:left="0"/>
            <w:jc w:val="left"/>
          </w:pPr>
          <w:hyperlink w:anchor="front_figures" w:history="1">
            <w:r>
              <w:rPr>
                <w:rStyle w:val="Hyperlink"/>
                <w:rFonts w:ascii="Arial" w:hAnsi="Arial"/>
                <w:sz w:val="17"/>
                <w:color w:val="202124"/>
                <w:b/>
              </w:rPr>
              <w:t>VI. Liste des figures</w:t>
            </w:r>
          </w:hyperlink>
          <w:r>
            <w:rPr>
              <w:rFonts w:ascii="Arial" w:hAnsi="Arial"/>
              <w:b/>
              <w:color w:val="202124"/>
              <w:sz w:val="17"/>
            </w:rPr>
            <w:tab/>
            <w:t>vi</w:t>
          </w:r>
        </w:p>
        <w:p>
          <w:pPr>
            <w:tabs>
              <w:tab w:pos="8617" w:val="right" w:leader="dot"/>
            </w:tabs>
            <w:spacing w:before="0" w:after="30" w:line="240" w:lineRule="auto"/>
            <w:ind w:left="0"/>
            <w:jc w:val="left"/>
          </w:pPr>
          <w:hyperlink w:anchor="front_tables" w:history="1">
            <w:r>
              <w:rPr>
                <w:rStyle w:val="Hyperlink"/>
                <w:rFonts w:ascii="Arial" w:hAnsi="Arial"/>
                <w:sz w:val="17"/>
                <w:color w:val="202124"/>
                <w:b/>
              </w:rPr>
              <w:t>VII. Liste des tableaux</w:t>
            </w:r>
          </w:hyperlink>
          <w:r>
            <w:rPr>
              <w:rFonts w:ascii="Arial" w:hAnsi="Arial"/>
              <w:b/>
              <w:color w:val="202124"/>
              <w:sz w:val="17"/>
            </w:rPr>
            <w:tab/>
            <w:t>vii</w:t>
          </w:r>
        </w:p>
        <w:p>
          <w:pPr>
            <w:tabs>
              <w:tab w:pos="8617" w:val="right" w:leader="dot"/>
            </w:tabs>
            <w:spacing w:before="0" w:after="30" w:line="240" w:lineRule="auto"/>
            <w:ind w:left="0"/>
            <w:jc w:val="left"/>
          </w:pPr>
          <w:hyperlink w:anchor="front_abbr" w:history="1">
            <w:r>
              <w:rPr>
                <w:rStyle w:val="Hyperlink"/>
                <w:rFonts w:ascii="Arial" w:hAnsi="Arial"/>
                <w:sz w:val="17"/>
                <w:color w:val="202124"/>
                <w:b/>
              </w:rPr>
              <w:t>VIII. Liste des abréviations</w:t>
            </w:r>
          </w:hyperlink>
          <w:r>
            <w:rPr>
              <w:rFonts w:ascii="Arial" w:hAnsi="Arial"/>
              <w:b/>
              <w:color w:val="202124"/>
              <w:sz w:val="17"/>
            </w:rPr>
            <w:tab/>
            <w:t>viii</w:t>
          </w:r>
        </w:p>
        <w:p>
          <w:pPr>
            <w:tabs>
              <w:tab w:pos="8617" w:val="right" w:leader="dot"/>
            </w:tabs>
            <w:spacing w:before="0" w:after="30" w:line="240" w:lineRule="auto"/>
            <w:ind w:left="0"/>
            <w:jc w:val="left"/>
          </w:pPr>
          <w:hyperlink w:anchor="body_118" w:history="1">
            <w:r>
              <w:rPr>
                <w:rStyle w:val="Hyperlink"/>
                <w:rFonts w:ascii="Arial" w:hAnsi="Arial"/>
                <w:sz w:val="17"/>
                <w:color w:val="202124"/>
                <w:b/>
              </w:rPr>
              <w:t>INTRODUCTION GÉNÉRALE</w:t>
            </w:r>
          </w:hyperlink>
          <w:r>
            <w:rPr>
              <w:rFonts w:ascii="Arial" w:hAnsi="Arial"/>
              <w:b/>
              <w:color w:val="202124"/>
              <w:sz w:val="17"/>
            </w:rPr>
            <w:tab/>
            <w:t>1</w:t>
          </w:r>
        </w:p>
        <w:p>
          <w:pPr>
            <w:tabs>
              <w:tab w:pos="8617" w:val="right" w:leader="dot"/>
            </w:tabs>
            <w:spacing w:before="0" w:after="30" w:line="240" w:lineRule="auto"/>
            <w:ind w:left="312"/>
            <w:jc w:val="left"/>
          </w:pPr>
          <w:hyperlink w:anchor="body_121" w:history="1">
            <w:r>
              <w:rPr>
                <w:rStyle w:val="Hyperlink"/>
                <w:rFonts w:ascii="Arial" w:hAnsi="Arial"/>
                <w:sz w:val="17"/>
                <w:color w:val="202124"/>
              </w:rPr>
              <w:t>Résultats attendus</w:t>
            </w:r>
          </w:hyperlink>
          <w:r>
            <w:rPr>
              <w:rFonts w:ascii="Arial" w:hAnsi="Arial"/>
              <w:b w:val="0"/>
              <w:color w:val="202124"/>
              <w:sz w:val="17"/>
            </w:rPr>
            <w:tab/>
            <w:t>1</w:t>
          </w:r>
        </w:p>
        <w:p>
          <w:pPr>
            <w:tabs>
              <w:tab w:pos="8617" w:val="right" w:leader="dot"/>
            </w:tabs>
            <w:spacing w:before="0" w:after="30" w:line="240" w:lineRule="auto"/>
            <w:ind w:left="312"/>
            <w:jc w:val="left"/>
          </w:pPr>
          <w:hyperlink w:anchor="body_127" w:history="1">
            <w:r>
              <w:rPr>
                <w:rStyle w:val="Hyperlink"/>
                <w:rFonts w:ascii="Arial" w:hAnsi="Arial"/>
                <w:sz w:val="17"/>
                <w:color w:val="202124"/>
              </w:rPr>
              <w:t>Organisation du rapport</w:t>
            </w:r>
          </w:hyperlink>
          <w:r>
            <w:rPr>
              <w:rFonts w:ascii="Arial" w:hAnsi="Arial"/>
              <w:b w:val="0"/>
              <w:color w:val="202124"/>
              <w:sz w:val="17"/>
            </w:rPr>
            <w:tab/>
            <w:t>1</w:t>
          </w:r>
        </w:p>
        <w:p>
          <w:pPr>
            <w:tabs>
              <w:tab w:pos="8617" w:val="right" w:leader="dot"/>
            </w:tabs>
            <w:spacing w:before="0" w:after="30" w:line="240" w:lineRule="auto"/>
            <w:ind w:left="0"/>
            <w:jc w:val="left"/>
          </w:pPr>
          <w:hyperlink w:anchor="body_129" w:history="1">
            <w:r>
              <w:rPr>
                <w:rStyle w:val="Hyperlink"/>
                <w:rFonts w:ascii="Arial" w:hAnsi="Arial"/>
                <w:sz w:val="17"/>
                <w:color w:val="202124"/>
                <w:b/>
              </w:rPr>
              <w:t>CHAPITRE 1 — CADRE GÉNÉRAL ET CONDUITE DU PROJET</w:t>
            </w:r>
          </w:hyperlink>
          <w:r>
            <w:rPr>
              <w:rFonts w:ascii="Arial" w:hAnsi="Arial"/>
              <w:b/>
              <w:color w:val="202124"/>
              <w:sz w:val="17"/>
            </w:rPr>
            <w:tab/>
            <w:t>2</w:t>
          </w:r>
        </w:p>
        <w:p>
          <w:pPr>
            <w:tabs>
              <w:tab w:pos="8617" w:val="right" w:leader="dot"/>
            </w:tabs>
            <w:spacing w:before="0" w:after="30" w:line="240" w:lineRule="auto"/>
            <w:ind w:left="312"/>
            <w:jc w:val="left"/>
          </w:pPr>
          <w:hyperlink w:anchor="body_130" w:history="1">
            <w:r>
              <w:rPr>
                <w:rStyle w:val="Hyperlink"/>
                <w:rFonts w:ascii="Arial" w:hAnsi="Arial"/>
                <w:sz w:val="17"/>
                <w:color w:val="202124"/>
              </w:rPr>
              <w:t>1.1 Introduction</w:t>
            </w:r>
          </w:hyperlink>
          <w:r>
            <w:rPr>
              <w:rFonts w:ascii="Arial" w:hAnsi="Arial"/>
              <w:b w:val="0"/>
              <w:color w:val="202124"/>
              <w:sz w:val="17"/>
            </w:rPr>
            <w:tab/>
            <w:t>2</w:t>
          </w:r>
        </w:p>
        <w:p>
          <w:pPr>
            <w:tabs>
              <w:tab w:pos="8617" w:val="right" w:leader="dot"/>
            </w:tabs>
            <w:spacing w:before="0" w:after="30" w:line="240" w:lineRule="auto"/>
            <w:ind w:left="312"/>
            <w:jc w:val="left"/>
          </w:pPr>
          <w:hyperlink w:anchor="body_132" w:history="1">
            <w:r>
              <w:rPr>
                <w:rStyle w:val="Hyperlink"/>
                <w:rFonts w:ascii="Arial" w:hAnsi="Arial"/>
                <w:sz w:val="17"/>
                <w:color w:val="202124"/>
              </w:rPr>
              <w:t>1.2 Présentation de l’organisme d’accueil</w:t>
            </w:r>
          </w:hyperlink>
          <w:r>
            <w:rPr>
              <w:rFonts w:ascii="Arial" w:hAnsi="Arial"/>
              <w:b w:val="0"/>
              <w:color w:val="202124"/>
              <w:sz w:val="17"/>
            </w:rPr>
            <w:tab/>
            <w:t>2</w:t>
          </w:r>
        </w:p>
        <w:p>
          <w:pPr>
            <w:tabs>
              <w:tab w:pos="8617" w:val="right" w:leader="dot"/>
            </w:tabs>
            <w:spacing w:before="0" w:after="30" w:line="240" w:lineRule="auto"/>
            <w:ind w:left="312"/>
            <w:jc w:val="left"/>
          </w:pPr>
          <w:hyperlink w:anchor="body_134" w:history="1">
            <w:r>
              <w:rPr>
                <w:rStyle w:val="Hyperlink"/>
                <w:rFonts w:ascii="Arial" w:hAnsi="Arial"/>
                <w:sz w:val="17"/>
                <w:color w:val="202124"/>
              </w:rPr>
              <w:t>1.3 Présentation du projet</w:t>
            </w:r>
          </w:hyperlink>
          <w:r>
            <w:rPr>
              <w:rFonts w:ascii="Arial" w:hAnsi="Arial"/>
              <w:b w:val="0"/>
              <w:color w:val="202124"/>
              <w:sz w:val="17"/>
            </w:rPr>
            <w:tab/>
            <w:t>2</w:t>
          </w:r>
        </w:p>
        <w:p>
          <w:pPr>
            <w:tabs>
              <w:tab w:pos="8617" w:val="right" w:leader="dot"/>
            </w:tabs>
            <w:spacing w:before="0" w:after="30" w:line="240" w:lineRule="auto"/>
            <w:ind w:left="312"/>
            <w:jc w:val="left"/>
          </w:pPr>
          <w:hyperlink w:anchor="body_139" w:history="1">
            <w:r>
              <w:rPr>
                <w:rStyle w:val="Hyperlink"/>
                <w:rFonts w:ascii="Arial" w:hAnsi="Arial"/>
                <w:sz w:val="17"/>
                <w:color w:val="202124"/>
              </w:rPr>
              <w:t>1.4 Méthodologie de travail</w:t>
            </w:r>
          </w:hyperlink>
          <w:r>
            <w:rPr>
              <w:rFonts w:ascii="Arial" w:hAnsi="Arial"/>
              <w:b w:val="0"/>
              <w:color w:val="202124"/>
              <w:sz w:val="17"/>
            </w:rPr>
            <w:tab/>
            <w:t>2</w:t>
          </w:r>
        </w:p>
        <w:p>
          <w:pPr>
            <w:tabs>
              <w:tab w:pos="8617" w:val="right" w:leader="dot"/>
            </w:tabs>
            <w:spacing w:before="0" w:after="30" w:line="240" w:lineRule="auto"/>
            <w:ind w:left="312"/>
            <w:jc w:val="left"/>
          </w:pPr>
          <w:hyperlink w:anchor="body_155" w:history="1">
            <w:r>
              <w:rPr>
                <w:rStyle w:val="Hyperlink"/>
                <w:rFonts w:ascii="Arial" w:hAnsi="Arial"/>
                <w:sz w:val="17"/>
                <w:color w:val="202124"/>
              </w:rPr>
              <w:t>1.5 Conclusion</w:t>
            </w:r>
          </w:hyperlink>
          <w:r>
            <w:rPr>
              <w:rFonts w:ascii="Arial" w:hAnsi="Arial"/>
              <w:b w:val="0"/>
              <w:color w:val="202124"/>
              <w:sz w:val="17"/>
            </w:rPr>
            <w:tab/>
            <w:t>3</w:t>
          </w:r>
        </w:p>
        <w:p>
          <w:pPr>
            <w:tabs>
              <w:tab w:pos="8617" w:val="right" w:leader="dot"/>
            </w:tabs>
            <w:spacing w:before="0" w:after="30" w:line="240" w:lineRule="auto"/>
            <w:ind w:left="0"/>
            <w:jc w:val="left"/>
          </w:pPr>
          <w:hyperlink w:anchor="body_157" w:history="1">
            <w:r>
              <w:rPr>
                <w:rStyle w:val="Hyperlink"/>
                <w:rFonts w:ascii="Arial" w:hAnsi="Arial"/>
                <w:sz w:val="17"/>
                <w:color w:val="202124"/>
                <w:b/>
              </w:rPr>
              <w:t>CHAPITRE 2 — ÉTAT DE L’ART ET POSITIONNEMENT</w:t>
            </w:r>
          </w:hyperlink>
          <w:r>
            <w:rPr>
              <w:rFonts w:ascii="Arial" w:hAnsi="Arial"/>
              <w:b/>
              <w:color w:val="202124"/>
              <w:sz w:val="17"/>
            </w:rPr>
            <w:tab/>
            <w:t>4</w:t>
          </w:r>
        </w:p>
        <w:p>
          <w:pPr>
            <w:tabs>
              <w:tab w:pos="8617" w:val="right" w:leader="dot"/>
            </w:tabs>
            <w:spacing w:before="0" w:after="30" w:line="240" w:lineRule="auto"/>
            <w:ind w:left="312"/>
            <w:jc w:val="left"/>
          </w:pPr>
          <w:hyperlink w:anchor="body_158" w:history="1">
            <w:r>
              <w:rPr>
                <w:rStyle w:val="Hyperlink"/>
                <w:rFonts w:ascii="Arial" w:hAnsi="Arial"/>
                <w:sz w:val="17"/>
                <w:color w:val="202124"/>
              </w:rPr>
              <w:t>2.1 Introduction</w:t>
            </w:r>
          </w:hyperlink>
          <w:r>
            <w:rPr>
              <w:rFonts w:ascii="Arial" w:hAnsi="Arial"/>
              <w:b w:val="0"/>
              <w:color w:val="202124"/>
              <w:sz w:val="17"/>
            </w:rPr>
            <w:tab/>
            <w:t>4</w:t>
          </w:r>
        </w:p>
        <w:p>
          <w:pPr>
            <w:tabs>
              <w:tab w:pos="8617" w:val="right" w:leader="dot"/>
            </w:tabs>
            <w:spacing w:before="0" w:after="30" w:line="240" w:lineRule="auto"/>
            <w:ind w:left="312"/>
            <w:jc w:val="left"/>
          </w:pPr>
          <w:hyperlink w:anchor="body_160" w:history="1">
            <w:r>
              <w:rPr>
                <w:rStyle w:val="Hyperlink"/>
                <w:rFonts w:ascii="Arial" w:hAnsi="Arial"/>
                <w:sz w:val="17"/>
                <w:color w:val="202124"/>
              </w:rPr>
              <w:t>2.2 Approches existantes</w:t>
            </w:r>
          </w:hyperlink>
          <w:r>
            <w:rPr>
              <w:rFonts w:ascii="Arial" w:hAnsi="Arial"/>
              <w:b w:val="0"/>
              <w:color w:val="202124"/>
              <w:sz w:val="17"/>
            </w:rPr>
            <w:tab/>
            <w:t>4</w:t>
          </w:r>
        </w:p>
        <w:p>
          <w:pPr>
            <w:tabs>
              <w:tab w:pos="8617" w:val="right" w:leader="dot"/>
            </w:tabs>
            <w:spacing w:before="0" w:after="30" w:line="240" w:lineRule="auto"/>
            <w:ind w:left="312"/>
            <w:jc w:val="left"/>
          </w:pPr>
          <w:hyperlink w:anchor="body_163" w:history="1">
            <w:r>
              <w:rPr>
                <w:rStyle w:val="Hyperlink"/>
                <w:rFonts w:ascii="Arial" w:hAnsi="Arial"/>
                <w:sz w:val="17"/>
                <w:color w:val="202124"/>
              </w:rPr>
              <w:t>2.3 Originalité de la solution</w:t>
            </w:r>
          </w:hyperlink>
          <w:r>
            <w:rPr>
              <w:rFonts w:ascii="Arial" w:hAnsi="Arial"/>
              <w:b w:val="0"/>
              <w:color w:val="202124"/>
              <w:sz w:val="17"/>
            </w:rPr>
            <w:tab/>
            <w:t>4</w:t>
          </w:r>
        </w:p>
        <w:p>
          <w:pPr>
            <w:tabs>
              <w:tab w:pos="8617" w:val="right" w:leader="dot"/>
            </w:tabs>
            <w:spacing w:before="0" w:after="30" w:line="240" w:lineRule="auto"/>
            <w:ind w:left="312"/>
            <w:jc w:val="left"/>
          </w:pPr>
          <w:hyperlink w:anchor="body_165" w:history="1">
            <w:r>
              <w:rPr>
                <w:rStyle w:val="Hyperlink"/>
                <w:rFonts w:ascii="Arial" w:hAnsi="Arial"/>
                <w:sz w:val="17"/>
                <w:color w:val="202124"/>
              </w:rPr>
              <w:t>2.4 Conclusion</w:t>
            </w:r>
          </w:hyperlink>
          <w:r>
            <w:rPr>
              <w:rFonts w:ascii="Arial" w:hAnsi="Arial"/>
              <w:b w:val="0"/>
              <w:color w:val="202124"/>
              <w:sz w:val="17"/>
            </w:rPr>
            <w:tab/>
            <w:t>4</w:t>
          </w:r>
        </w:p>
        <w:p>
          <w:pPr>
            <w:tabs>
              <w:tab w:pos="8617" w:val="right" w:leader="dot"/>
            </w:tabs>
            <w:spacing w:before="0" w:after="30" w:line="240" w:lineRule="auto"/>
            <w:ind w:left="0"/>
            <w:jc w:val="left"/>
          </w:pPr>
          <w:hyperlink w:anchor="body_167" w:history="1">
            <w:r>
              <w:rPr>
                <w:rStyle w:val="Hyperlink"/>
                <w:rFonts w:ascii="Arial" w:hAnsi="Arial"/>
                <w:sz w:val="17"/>
                <w:color w:val="202124"/>
                <w:b/>
              </w:rPr>
              <w:t>CHAPITRE 3 — ANALYSE, CONCEPTION ET ARCHITECTURE</w:t>
            </w:r>
          </w:hyperlink>
          <w:r>
            <w:rPr>
              <w:rFonts w:ascii="Arial" w:hAnsi="Arial"/>
              <w:b/>
              <w:color w:val="202124"/>
              <w:sz w:val="17"/>
            </w:rPr>
            <w:tab/>
            <w:t>5</w:t>
          </w:r>
        </w:p>
        <w:p>
          <w:pPr>
            <w:tabs>
              <w:tab w:pos="8617" w:val="right" w:leader="dot"/>
            </w:tabs>
            <w:spacing w:before="0" w:after="30" w:line="240" w:lineRule="auto"/>
            <w:ind w:left="312"/>
            <w:jc w:val="left"/>
          </w:pPr>
          <w:hyperlink w:anchor="body_168" w:history="1">
            <w:r>
              <w:rPr>
                <w:rStyle w:val="Hyperlink"/>
                <w:rFonts w:ascii="Arial" w:hAnsi="Arial"/>
                <w:sz w:val="17"/>
                <w:color w:val="202124"/>
              </w:rPr>
              <w:t>3.1 Introduction</w:t>
            </w:r>
          </w:hyperlink>
          <w:r>
            <w:rPr>
              <w:rFonts w:ascii="Arial" w:hAnsi="Arial"/>
              <w:b w:val="0"/>
              <w:color w:val="202124"/>
              <w:sz w:val="17"/>
            </w:rPr>
            <w:tab/>
            <w:t>5</w:t>
          </w:r>
        </w:p>
        <w:p>
          <w:pPr>
            <w:tabs>
              <w:tab w:pos="8617" w:val="right" w:leader="dot"/>
            </w:tabs>
            <w:spacing w:before="0" w:after="30" w:line="240" w:lineRule="auto"/>
            <w:ind w:left="312"/>
            <w:jc w:val="left"/>
          </w:pPr>
          <w:hyperlink w:anchor="body_170" w:history="1">
            <w:r>
              <w:rPr>
                <w:rStyle w:val="Hyperlink"/>
                <w:rFonts w:ascii="Arial" w:hAnsi="Arial"/>
                <w:sz w:val="17"/>
                <w:color w:val="202124"/>
              </w:rPr>
              <w:t>3.2 Analyse du projet</w:t>
            </w:r>
          </w:hyperlink>
          <w:r>
            <w:rPr>
              <w:rFonts w:ascii="Arial" w:hAnsi="Arial"/>
              <w:b w:val="0"/>
              <w:color w:val="202124"/>
              <w:sz w:val="17"/>
            </w:rPr>
            <w:tab/>
            <w:t>5</w:t>
          </w:r>
        </w:p>
        <w:p>
          <w:pPr>
            <w:tabs>
              <w:tab w:pos="8617" w:val="right" w:leader="dot"/>
            </w:tabs>
            <w:spacing w:before="0" w:after="30" w:line="240" w:lineRule="auto"/>
            <w:ind w:left="312"/>
            <w:jc w:val="left"/>
          </w:pPr>
          <w:hyperlink w:anchor="body_183" w:history="1">
            <w:r>
              <w:rPr>
                <w:rStyle w:val="Hyperlink"/>
                <w:rFonts w:ascii="Arial" w:hAnsi="Arial"/>
                <w:sz w:val="17"/>
                <w:color w:val="202124"/>
              </w:rPr>
              <w:t>3.3 Conception de la solution</w:t>
            </w:r>
          </w:hyperlink>
          <w:r>
            <w:rPr>
              <w:rFonts w:ascii="Arial" w:hAnsi="Arial"/>
              <w:b w:val="0"/>
              <w:color w:val="202124"/>
              <w:sz w:val="17"/>
            </w:rPr>
            <w:tab/>
            <w:t>5</w:t>
          </w:r>
        </w:p>
        <w:p>
          <w:pPr>
            <w:tabs>
              <w:tab w:pos="8617" w:val="right" w:leader="dot"/>
            </w:tabs>
            <w:spacing w:before="0" w:after="30" w:line="240" w:lineRule="auto"/>
            <w:ind w:left="312"/>
            <w:jc w:val="left"/>
          </w:pPr>
          <w:hyperlink w:anchor="body_197" w:history="1">
            <w:r>
              <w:rPr>
                <w:rStyle w:val="Hyperlink"/>
                <w:rFonts w:ascii="Arial" w:hAnsi="Arial"/>
                <w:sz w:val="17"/>
                <w:color w:val="202124"/>
              </w:rPr>
              <w:t>3.4 Architecture proposée</w:t>
            </w:r>
          </w:hyperlink>
          <w:r>
            <w:rPr>
              <w:rFonts w:ascii="Arial" w:hAnsi="Arial"/>
              <w:b w:val="0"/>
              <w:color w:val="202124"/>
              <w:sz w:val="17"/>
            </w:rPr>
            <w:tab/>
            <w:t>7</w:t>
          </w:r>
        </w:p>
        <w:p>
          <w:pPr>
            <w:tabs>
              <w:tab w:pos="8617" w:val="right" w:leader="dot"/>
            </w:tabs>
            <w:spacing w:before="0" w:after="30" w:line="240" w:lineRule="auto"/>
            <w:ind w:left="312"/>
            <w:jc w:val="left"/>
          </w:pPr>
          <w:hyperlink w:anchor="body_205" w:history="1">
            <w:r>
              <w:rPr>
                <w:rStyle w:val="Hyperlink"/>
                <w:rFonts w:ascii="Arial" w:hAnsi="Arial"/>
                <w:sz w:val="17"/>
                <w:color w:val="202124"/>
              </w:rPr>
              <w:t>3.5 Modèle de données et sécurité</w:t>
            </w:r>
          </w:hyperlink>
          <w:r>
            <w:rPr>
              <w:rFonts w:ascii="Arial" w:hAnsi="Arial"/>
              <w:b w:val="0"/>
              <w:color w:val="202124"/>
              <w:sz w:val="17"/>
            </w:rPr>
            <w:tab/>
            <w:t>8</w:t>
          </w:r>
        </w:p>
        <w:p>
          <w:pPr>
            <w:tabs>
              <w:tab w:pos="8617" w:val="right" w:leader="dot"/>
            </w:tabs>
            <w:spacing w:before="0" w:after="30" w:line="240" w:lineRule="auto"/>
            <w:ind w:left="312"/>
            <w:jc w:val="left"/>
          </w:pPr>
          <w:hyperlink w:anchor="body_207" w:history="1">
            <w:r>
              <w:rPr>
                <w:rStyle w:val="Hyperlink"/>
                <w:rFonts w:ascii="Arial" w:hAnsi="Arial"/>
                <w:sz w:val="17"/>
                <w:color w:val="202124"/>
              </w:rPr>
              <w:t>3.6 Gouvernance de la couche IA</w:t>
            </w:r>
          </w:hyperlink>
          <w:r>
            <w:rPr>
              <w:rFonts w:ascii="Arial" w:hAnsi="Arial"/>
              <w:b w:val="0"/>
              <w:color w:val="202124"/>
              <w:sz w:val="17"/>
            </w:rPr>
            <w:tab/>
            <w:t>9</w:t>
          </w:r>
        </w:p>
        <w:p>
          <w:pPr>
            <w:tabs>
              <w:tab w:pos="8617" w:val="right" w:leader="dot"/>
            </w:tabs>
            <w:spacing w:before="0" w:after="30" w:line="240" w:lineRule="auto"/>
            <w:ind w:left="312"/>
            <w:jc w:val="left"/>
          </w:pPr>
          <w:hyperlink w:anchor="body_209" w:history="1">
            <w:r>
              <w:rPr>
                <w:rStyle w:val="Hyperlink"/>
                <w:rFonts w:ascii="Arial" w:hAnsi="Arial"/>
                <w:sz w:val="17"/>
                <w:color w:val="202124"/>
              </w:rPr>
              <w:t>3.7 Conclusion</w:t>
            </w:r>
          </w:hyperlink>
          <w:r>
            <w:rPr>
              <w:rFonts w:ascii="Arial" w:hAnsi="Arial"/>
              <w:b w:val="0"/>
              <w:color w:val="202124"/>
              <w:sz w:val="17"/>
            </w:rPr>
            <w:tab/>
            <w:t>9</w:t>
          </w:r>
        </w:p>
        <w:p>
          <w:pPr>
            <w:tabs>
              <w:tab w:pos="8617" w:val="right" w:leader="dot"/>
            </w:tabs>
            <w:spacing w:before="0" w:after="30" w:line="240" w:lineRule="auto"/>
            <w:ind w:left="0"/>
            <w:jc w:val="left"/>
          </w:pPr>
          <w:hyperlink w:anchor="body_211" w:history="1">
            <w:r>
              <w:rPr>
                <w:rStyle w:val="Hyperlink"/>
                <w:rFonts w:ascii="Arial" w:hAnsi="Arial"/>
                <w:sz w:val="17"/>
                <w:color w:val="202124"/>
                <w:b/>
              </w:rPr>
              <w:t>CHAPITRE 4 — IMPLÉMENTATION TECHNIQUE ET TESTS</w:t>
            </w:r>
          </w:hyperlink>
          <w:r>
            <w:rPr>
              <w:rFonts w:ascii="Arial" w:hAnsi="Arial"/>
              <w:b/>
              <w:color w:val="202124"/>
              <w:sz w:val="17"/>
            </w:rPr>
            <w:tab/>
            <w:t>10</w:t>
          </w:r>
        </w:p>
        <w:p>
          <w:pPr>
            <w:tabs>
              <w:tab w:pos="8617" w:val="right" w:leader="dot"/>
            </w:tabs>
            <w:spacing w:before="0" w:after="30" w:line="240" w:lineRule="auto"/>
            <w:ind w:left="312"/>
            <w:jc w:val="left"/>
          </w:pPr>
          <w:hyperlink w:anchor="body_212" w:history="1">
            <w:r>
              <w:rPr>
                <w:rStyle w:val="Hyperlink"/>
                <w:rFonts w:ascii="Arial" w:hAnsi="Arial"/>
                <w:sz w:val="17"/>
                <w:color w:val="202124"/>
              </w:rPr>
              <w:t>4.1 Introduction</w:t>
            </w:r>
          </w:hyperlink>
          <w:r>
            <w:rPr>
              <w:rFonts w:ascii="Arial" w:hAnsi="Arial"/>
              <w:b w:val="0"/>
              <w:color w:val="202124"/>
              <w:sz w:val="17"/>
            </w:rPr>
            <w:tab/>
            <w:t>10</w:t>
          </w:r>
        </w:p>
        <w:p>
          <w:pPr>
            <w:tabs>
              <w:tab w:pos="8617" w:val="right" w:leader="dot"/>
            </w:tabs>
            <w:spacing w:before="0" w:after="30" w:line="240" w:lineRule="auto"/>
            <w:ind w:left="312"/>
            <w:jc w:val="left"/>
          </w:pPr>
          <w:hyperlink w:anchor="body_214" w:history="1">
            <w:r>
              <w:rPr>
                <w:rStyle w:val="Hyperlink"/>
                <w:rFonts w:ascii="Arial" w:hAnsi="Arial"/>
                <w:sz w:val="17"/>
                <w:color w:val="202124"/>
              </w:rPr>
              <w:t>4.2 Workflow proposé</w:t>
            </w:r>
          </w:hyperlink>
          <w:r>
            <w:rPr>
              <w:rFonts w:ascii="Arial" w:hAnsi="Arial"/>
              <w:b w:val="0"/>
              <w:color w:val="202124"/>
              <w:sz w:val="17"/>
            </w:rPr>
            <w:tab/>
            <w:t>10</w:t>
          </w:r>
        </w:p>
        <w:p>
          <w:pPr>
            <w:tabs>
              <w:tab w:pos="8617" w:val="right" w:leader="dot"/>
            </w:tabs>
            <w:spacing w:before="0" w:after="30" w:line="240" w:lineRule="auto"/>
            <w:ind w:left="312"/>
            <w:jc w:val="left"/>
          </w:pPr>
          <w:hyperlink w:anchor="body_216" w:history="1">
            <w:r>
              <w:rPr>
                <w:rStyle w:val="Hyperlink"/>
                <w:rFonts w:ascii="Arial" w:hAnsi="Arial"/>
                <w:sz w:val="17"/>
                <w:color w:val="202124"/>
              </w:rPr>
              <w:t>4.3 Technologies utilisées</w:t>
            </w:r>
          </w:hyperlink>
          <w:r>
            <w:rPr>
              <w:rFonts w:ascii="Arial" w:hAnsi="Arial"/>
              <w:b w:val="0"/>
              <w:color w:val="202124"/>
              <w:sz w:val="17"/>
            </w:rPr>
            <w:tab/>
            <w:t>10</w:t>
          </w:r>
        </w:p>
        <w:p>
          <w:pPr>
            <w:tabs>
              <w:tab w:pos="8617" w:val="right" w:leader="dot"/>
            </w:tabs>
            <w:spacing w:before="0" w:after="30" w:line="240" w:lineRule="auto"/>
            <w:ind w:left="312"/>
            <w:jc w:val="left"/>
          </w:pPr>
          <w:hyperlink w:anchor="body_219" w:history="1">
            <w:r>
              <w:rPr>
                <w:rStyle w:val="Hyperlink"/>
                <w:rFonts w:ascii="Arial" w:hAnsi="Arial"/>
                <w:sz w:val="17"/>
                <w:color w:val="202124"/>
              </w:rPr>
              <w:t>4.4 Présentation des interfaces</w:t>
            </w:r>
          </w:hyperlink>
          <w:r>
            <w:rPr>
              <w:rFonts w:ascii="Arial" w:hAnsi="Arial"/>
              <w:b w:val="0"/>
              <w:color w:val="202124"/>
              <w:sz w:val="17"/>
            </w:rPr>
            <w:tab/>
            <w:t>10</w:t>
          </w:r>
        </w:p>
        <w:p>
          <w:pPr>
            <w:tabs>
              <w:tab w:pos="8617" w:val="right" w:leader="dot"/>
            </w:tabs>
            <w:spacing w:before="0" w:after="30" w:line="240" w:lineRule="auto"/>
            <w:ind w:left="312"/>
            <w:jc w:val="left"/>
          </w:pPr>
          <w:hyperlink w:anchor="body_247" w:history="1">
            <w:r>
              <w:rPr>
                <w:rStyle w:val="Hyperlink"/>
                <w:rFonts w:ascii="Arial" w:hAnsi="Arial"/>
                <w:sz w:val="17"/>
                <w:color w:val="202124"/>
              </w:rPr>
              <w:t>4.5 Tests et validation</w:t>
            </w:r>
          </w:hyperlink>
          <w:r>
            <w:rPr>
              <w:rFonts w:ascii="Arial" w:hAnsi="Arial"/>
              <w:b w:val="0"/>
              <w:color w:val="202124"/>
              <w:sz w:val="17"/>
            </w:rPr>
            <w:tab/>
            <w:t>14</w:t>
          </w:r>
        </w:p>
        <w:p>
          <w:pPr>
            <w:tabs>
              <w:tab w:pos="8617" w:val="right" w:leader="dot"/>
            </w:tabs>
            <w:spacing w:before="0" w:after="30" w:line="240" w:lineRule="auto"/>
            <w:ind w:left="312"/>
            <w:jc w:val="left"/>
          </w:pPr>
          <w:hyperlink w:anchor="body_254" w:history="1">
            <w:r>
              <w:rPr>
                <w:rStyle w:val="Hyperlink"/>
                <w:rFonts w:ascii="Arial" w:hAnsi="Arial"/>
                <w:sz w:val="17"/>
                <w:color w:val="202124"/>
              </w:rPr>
              <w:t>4.6 Discussion des limites</w:t>
            </w:r>
          </w:hyperlink>
          <w:r>
            <w:rPr>
              <w:rFonts w:ascii="Arial" w:hAnsi="Arial"/>
              <w:b w:val="0"/>
              <w:color w:val="202124"/>
              <w:sz w:val="17"/>
            </w:rPr>
            <w:tab/>
            <w:t>15</w:t>
          </w:r>
        </w:p>
        <w:p>
          <w:pPr>
            <w:tabs>
              <w:tab w:pos="8617" w:val="right" w:leader="dot"/>
            </w:tabs>
            <w:spacing w:before="0" w:after="30" w:line="240" w:lineRule="auto"/>
            <w:ind w:left="312"/>
            <w:jc w:val="left"/>
          </w:pPr>
          <w:hyperlink w:anchor="body_256" w:history="1">
            <w:r>
              <w:rPr>
                <w:rStyle w:val="Hyperlink"/>
                <w:rFonts w:ascii="Arial" w:hAnsi="Arial"/>
                <w:sz w:val="17"/>
                <w:color w:val="202124"/>
              </w:rPr>
              <w:t>4.7 Conclusion</w:t>
            </w:r>
          </w:hyperlink>
          <w:r>
            <w:rPr>
              <w:rFonts w:ascii="Arial" w:hAnsi="Arial"/>
              <w:b w:val="0"/>
              <w:color w:val="202124"/>
              <w:sz w:val="17"/>
            </w:rPr>
            <w:tab/>
            <w:t>15</w:t>
          </w:r>
        </w:p>
        <w:p>
          <w:pPr>
            <w:tabs>
              <w:tab w:pos="8617" w:val="right" w:leader="dot"/>
            </w:tabs>
            <w:spacing w:before="0" w:after="30" w:line="240" w:lineRule="auto"/>
            <w:ind w:left="0"/>
            <w:jc w:val="left"/>
          </w:pPr>
          <w:hyperlink w:anchor="body_258" w:history="1">
            <w:r>
              <w:rPr>
                <w:rStyle w:val="Hyperlink"/>
                <w:rFonts w:ascii="Arial" w:hAnsi="Arial"/>
                <w:sz w:val="17"/>
                <w:color w:val="202124"/>
                <w:b/>
              </w:rPr>
              <w:t>CONCLUSION GÉNÉRALE ET PERSPECTIVES</w:t>
            </w:r>
          </w:hyperlink>
          <w:r>
            <w:rPr>
              <w:rFonts w:ascii="Arial" w:hAnsi="Arial"/>
              <w:b/>
              <w:color w:val="202124"/>
              <w:sz w:val="17"/>
            </w:rPr>
            <w:tab/>
            <w:t>16</w:t>
          </w:r>
        </w:p>
        <w:p>
          <w:pPr>
            <w:tabs>
              <w:tab w:pos="8617" w:val="right" w:leader="dot"/>
            </w:tabs>
            <w:spacing w:before="0" w:after="30" w:line="240" w:lineRule="auto"/>
            <w:ind w:left="312"/>
            <w:jc w:val="left"/>
          </w:pPr>
          <w:hyperlink w:anchor="body_259" w:history="1">
            <w:r>
              <w:rPr>
                <w:rStyle w:val="Hyperlink"/>
                <w:rFonts w:ascii="Arial" w:hAnsi="Arial"/>
                <w:sz w:val="17"/>
                <w:color w:val="202124"/>
              </w:rPr>
              <w:t>Cadre du travail</w:t>
            </w:r>
          </w:hyperlink>
          <w:r>
            <w:rPr>
              <w:rFonts w:ascii="Arial" w:hAnsi="Arial"/>
              <w:b w:val="0"/>
              <w:color w:val="202124"/>
              <w:sz w:val="17"/>
            </w:rPr>
            <w:tab/>
            <w:t>16</w:t>
          </w:r>
        </w:p>
        <w:p>
          <w:pPr>
            <w:tabs>
              <w:tab w:pos="8617" w:val="right" w:leader="dot"/>
            </w:tabs>
            <w:spacing w:before="0" w:after="30" w:line="240" w:lineRule="auto"/>
            <w:ind w:left="312"/>
            <w:jc w:val="left"/>
          </w:pPr>
          <w:hyperlink w:anchor="body_261" w:history="1">
            <w:r>
              <w:rPr>
                <w:rStyle w:val="Hyperlink"/>
                <w:rFonts w:ascii="Arial" w:hAnsi="Arial"/>
                <w:sz w:val="17"/>
                <w:color w:val="202124"/>
              </w:rPr>
              <w:t>Synthèse des apports</w:t>
            </w:r>
          </w:hyperlink>
          <w:r>
            <w:rPr>
              <w:rFonts w:ascii="Arial" w:hAnsi="Arial"/>
              <w:b w:val="0"/>
              <w:color w:val="202124"/>
              <w:sz w:val="17"/>
            </w:rPr>
            <w:tab/>
            <w:t>16</w:t>
          </w:r>
        </w:p>
        <w:p>
          <w:pPr>
            <w:tabs>
              <w:tab w:pos="8617" w:val="right" w:leader="dot"/>
            </w:tabs>
            <w:spacing w:before="0" w:after="30" w:line="240" w:lineRule="auto"/>
            <w:ind w:left="312"/>
            <w:jc w:val="left"/>
          </w:pPr>
          <w:hyperlink w:anchor="body_263" w:history="1">
            <w:r>
              <w:rPr>
                <w:rStyle w:val="Hyperlink"/>
                <w:rFonts w:ascii="Arial" w:hAnsi="Arial"/>
                <w:sz w:val="17"/>
                <w:color w:val="202124"/>
              </w:rPr>
              <w:t>Perspectives</w:t>
            </w:r>
          </w:hyperlink>
          <w:r>
            <w:rPr>
              <w:rFonts w:ascii="Arial" w:hAnsi="Arial"/>
              <w:b w:val="0"/>
              <w:color w:val="202124"/>
              <w:sz w:val="17"/>
            </w:rPr>
            <w:tab/>
            <w:t>16</w:t>
          </w:r>
        </w:p>
        <w:p>
          <w:pPr>
            <w:tabs>
              <w:tab w:pos="8617" w:val="right" w:leader="dot"/>
            </w:tabs>
            <w:spacing w:before="0" w:after="30" w:line="240" w:lineRule="auto"/>
            <w:ind w:left="0"/>
            <w:jc w:val="left"/>
          </w:pPr>
          <w:hyperlink w:anchor="body_270" w:history="1">
            <w:r>
              <w:rPr>
                <w:rStyle w:val="Hyperlink"/>
                <w:rFonts w:ascii="Arial" w:hAnsi="Arial"/>
                <w:sz w:val="17"/>
                <w:color w:val="202124"/>
                <w:b/>
              </w:rPr>
              <w:t>RÉFÉRENCES</w:t>
            </w:r>
          </w:hyperlink>
          <w:r>
            <w:rPr>
              <w:rFonts w:ascii="Arial" w:hAnsi="Arial"/>
              <w:b/>
              <w:color w:val="202124"/>
              <w:sz w:val="17"/>
            </w:rPr>
            <w:tab/>
            <w:t>17</w:t>
          </w:r>
        </w:p>
        <w:p>
          <w:pPr>
            <w:tabs>
              <w:tab w:pos="8617" w:val="right" w:leader="dot"/>
            </w:tabs>
            <w:spacing w:before="0" w:after="30" w:line="240" w:lineRule="auto"/>
            <w:ind w:left="0"/>
            <w:jc w:val="left"/>
          </w:pPr>
          <w:hyperlink w:anchor="body_280" w:history="1">
            <w:r>
              <w:rPr>
                <w:rStyle w:val="Hyperlink"/>
                <w:rFonts w:ascii="Arial" w:hAnsi="Arial"/>
                <w:sz w:val="17"/>
                <w:color w:val="202124"/>
                <w:b/>
              </w:rPr>
              <w:t>ANNEXES</w:t>
            </w:r>
          </w:hyperlink>
          <w:r>
            <w:rPr>
              <w:rFonts w:ascii="Arial" w:hAnsi="Arial"/>
              <w:b/>
              <w:color w:val="202124"/>
              <w:sz w:val="17"/>
            </w:rPr>
            <w:tab/>
            <w:t>18</w:t>
          </w:r>
        </w:p>
        <w:p>
          <w:pPr>
            <w:tabs>
              <w:tab w:pos="8617" w:val="right" w:leader="dot"/>
            </w:tabs>
            <w:spacing w:before="0" w:after="30" w:line="240" w:lineRule="auto"/>
            <w:ind w:left="312"/>
            <w:jc w:val="left"/>
          </w:pPr>
          <w:hyperlink w:anchor="body_281" w:history="1">
            <w:r>
              <w:rPr>
                <w:rStyle w:val="Hyperlink"/>
                <w:rFonts w:ascii="Arial" w:hAnsi="Arial"/>
                <w:sz w:val="17"/>
                <w:color w:val="202124"/>
              </w:rPr>
              <w:t>Annexe A — Procédure de démonstration</w:t>
            </w:r>
          </w:hyperlink>
          <w:r>
            <w:rPr>
              <w:rFonts w:ascii="Arial" w:hAnsi="Arial"/>
              <w:b w:val="0"/>
              <w:color w:val="202124"/>
              <w:sz w:val="17"/>
            </w:rPr>
            <w:tab/>
            <w:t>18</w:t>
          </w:r>
        </w:p>
        <w:p>
          <w:pPr>
            <w:tabs>
              <w:tab w:pos="8617" w:val="right" w:leader="dot"/>
            </w:tabs>
            <w:spacing w:before="0" w:after="30" w:line="240" w:lineRule="auto"/>
            <w:ind w:left="312"/>
            <w:jc w:val="left"/>
          </w:pPr>
          <w:hyperlink w:anchor="body_287" w:history="1">
            <w:r>
              <w:rPr>
                <w:rStyle w:val="Hyperlink"/>
                <w:rFonts w:ascii="Arial" w:hAnsi="Arial"/>
                <w:sz w:val="17"/>
                <w:color w:val="202124"/>
              </w:rPr>
              <w:t>Annexe B — Indicateurs à interpréter avec prudence</w:t>
            </w:r>
          </w:hyperlink>
          <w:r>
            <w:rPr>
              <w:rFonts w:ascii="Arial" w:hAnsi="Arial"/>
              <w:b w:val="0"/>
              <w:color w:val="202124"/>
              <w:sz w:val="17"/>
            </w:rPr>
            <w:tab/>
            <w:t>18</w:t>
          </w:r>
        </w:p>
        <w:p>
          <w:pPr>
            <w:tabs>
              <w:tab w:pos="8617" w:val="right" w:leader="dot"/>
            </w:tabs>
            <w:spacing w:before="0" w:after="30" w:line="240" w:lineRule="auto"/>
            <w:ind w:left="312"/>
            <w:jc w:val="left"/>
          </w:pPr>
          <w:hyperlink w:anchor="body_289" w:history="1">
            <w:r>
              <w:rPr>
                <w:rStyle w:val="Hyperlink"/>
                <w:rFonts w:ascii="Arial" w:hAnsi="Arial"/>
                <w:sz w:val="17"/>
                <w:color w:val="202124"/>
              </w:rPr>
              <w:t>Annexe C — Guide de captures d’écran pour la soutenance</w:t>
            </w:r>
          </w:hyperlink>
          <w:r>
            <w:rPr>
              <w:rFonts w:ascii="Arial" w:hAnsi="Arial"/>
              <w:b w:val="0"/>
              <w:color w:val="202124"/>
              <w:sz w:val="17"/>
            </w:rPr>
            <w:tab/>
            <w:t>18</w:t>
          </w:r>
        </w:p>
        <w:p>
          <w:pPr>
            <w:tabs>
              <w:tab w:pos="8617" w:val="right" w:leader="dot"/>
            </w:tabs>
            <w:spacing w:before="0" w:after="30" w:line="240" w:lineRule="auto"/>
            <w:ind w:left="312"/>
            <w:jc w:val="left"/>
          </w:pPr>
          <w:hyperlink w:anchor="annex_d" w:history="1">
            <w:r>
              <w:rPr>
                <w:rStyle w:val="Hyperlink"/>
                <w:rFonts w:ascii="Arial" w:hAnsi="Arial"/>
                <w:sz w:val="17"/>
                <w:color w:val="202124"/>
              </w:rPr>
              <w:t>Annexe D — Commandes de reproduction</w:t>
            </w:r>
          </w:hyperlink>
          <w:r>
            <w:rPr>
              <w:rFonts w:ascii="Arial" w:hAnsi="Arial"/>
              <w:b w:val="0"/>
              <w:color w:val="202124"/>
              <w:sz w:val="17"/>
            </w:rPr>
            <w:tab/>
            <w:t>18</w:t>
          </w:r>
          <w:r>
            <w:fldChar w:fldCharType="end"/>
          </w:r>
        </w:p>
      </w:sdtContent>
    </w:sdt>
    <w:p>
      <w:pPr>
        <w:pStyle w:val="Heading1"/>
        <w:spacing w:after="400"/>
        <w:jc w:val="center"/>
      </w:pPr>
      <w:bookmarkStart w:id="105" w:name="front_figures"/>
      <w:r>
        <w:rPr>
          <w:rFonts w:ascii="Arial" w:hAnsi="Arial"/>
          <w:b/>
          <w:color w:val="202124"/>
          <w:sz w:val="36"/>
        </w:rPr>
        <w:t>VI. Liste des figures</w:t>
      </w:r>
      <w:bookmarkEnd w:id="105"/>
    </w:p>
    <w:sdt>
      <w:sdtPr>
        <w:docPartObj>
          <w:docPartGallery w:val="Table of Contents"/>
          <w:docPartUnique/>
        </w:docPartObj>
      </w:sdtPr>
      <w:sdtContent>
        <w:p>
          <w:pPr>
            <w:tabs>
              <w:tab w:pos="8617" w:val="right" w:leader="dot"/>
            </w:tabs>
            <w:spacing w:before="0" w:after="30" w:line="240" w:lineRule="auto"/>
            <w:ind w:left="0"/>
            <w:jc w:val="left"/>
          </w:pPr>
          <w:r>
            <w:fldChar w:fldCharType="begin"/>
          </w:r>
          <w:r>
            <w:instrText xml:space="preserve">TOC \h \z \t "Caption,1"</w:instrText>
          </w:r>
          <w:r>
            <w:fldChar w:fldCharType="separate"/>
          </w:r>
          <w:hyperlink w:anchor="fig_1_1" w:history="1">
            <w:r>
              <w:rPr>
                <w:rStyle w:val="Hyperlink"/>
                <w:rFonts w:ascii="Arial" w:hAnsi="Arial"/>
                <w:sz w:val="17"/>
                <w:color w:val="202124"/>
                <w:b/>
              </w:rPr>
              <w:t>Figure 1.1 — Planification du projet par sprints</w:t>
            </w:r>
          </w:hyperlink>
          <w:r>
            <w:rPr>
              <w:rFonts w:ascii="Arial" w:hAnsi="Arial"/>
              <w:b/>
              <w:color w:val="202124"/>
              <w:sz w:val="17"/>
            </w:rPr>
            <w:tab/>
            <w:t>3</w:t>
          </w:r>
        </w:p>
        <w:p>
          <w:pPr>
            <w:tabs>
              <w:tab w:pos="8617" w:val="right" w:leader="dot"/>
            </w:tabs>
            <w:spacing w:before="0" w:after="30" w:line="240" w:lineRule="auto"/>
            <w:ind w:left="0"/>
            <w:jc w:val="left"/>
          </w:pPr>
          <w:hyperlink w:anchor="fig_3_1" w:history="1">
            <w:r>
              <w:rPr>
                <w:rStyle w:val="Hyperlink"/>
                <w:rFonts w:ascii="Arial" w:hAnsi="Arial"/>
                <w:sz w:val="17"/>
                <w:color w:val="202124"/>
                <w:b/>
              </w:rPr>
              <w:t>Figure 3.1 — Cas d’utilisation de DataWatch</w:t>
            </w:r>
          </w:hyperlink>
          <w:r>
            <w:rPr>
              <w:rFonts w:ascii="Arial" w:hAnsi="Arial"/>
              <w:b/>
              <w:color w:val="202124"/>
              <w:sz w:val="17"/>
            </w:rPr>
            <w:tab/>
            <w:t>6</w:t>
          </w:r>
        </w:p>
        <w:p>
          <w:pPr>
            <w:tabs>
              <w:tab w:pos="8617" w:val="right" w:leader="dot"/>
            </w:tabs>
            <w:spacing w:before="0" w:after="30" w:line="240" w:lineRule="auto"/>
            <w:ind w:left="0"/>
            <w:jc w:val="left"/>
          </w:pPr>
          <w:hyperlink w:anchor="fig_3_2" w:history="1">
            <w:r>
              <w:rPr>
                <w:rStyle w:val="Hyperlink"/>
                <w:rFonts w:ascii="Arial" w:hAnsi="Arial"/>
                <w:sz w:val="17"/>
                <w:color w:val="202124"/>
                <w:b/>
              </w:rPr>
              <w:t>Figure 3.2 — Séquence de détection et de traitement d’un incident</w:t>
            </w:r>
          </w:hyperlink>
          <w:r>
            <w:rPr>
              <w:rFonts w:ascii="Arial" w:hAnsi="Arial"/>
              <w:b/>
              <w:color w:val="202124"/>
              <w:sz w:val="17"/>
            </w:rPr>
            <w:tab/>
            <w:t>7</w:t>
          </w:r>
        </w:p>
        <w:p>
          <w:pPr>
            <w:tabs>
              <w:tab w:pos="8617" w:val="right" w:leader="dot"/>
            </w:tabs>
            <w:spacing w:before="0" w:after="30" w:line="240" w:lineRule="auto"/>
            <w:ind w:left="0"/>
            <w:jc w:val="left"/>
          </w:pPr>
          <w:hyperlink w:anchor="fig_3_3" w:history="1">
            <w:r>
              <w:rPr>
                <w:rStyle w:val="Hyperlink"/>
                <w:rFonts w:ascii="Arial" w:hAnsi="Arial"/>
                <w:sz w:val="17"/>
                <w:color w:val="202124"/>
                <w:b/>
              </w:rPr>
              <w:t>Figure 3.3 — Diagramme de classes métier simplifié</w:t>
            </w:r>
          </w:hyperlink>
          <w:r>
            <w:rPr>
              <w:rFonts w:ascii="Arial" w:hAnsi="Arial"/>
              <w:b/>
              <w:color w:val="202124"/>
              <w:sz w:val="17"/>
            </w:rPr>
            <w:tab/>
            <w:t>7</w:t>
          </w:r>
        </w:p>
        <w:p>
          <w:pPr>
            <w:tabs>
              <w:tab w:pos="8617" w:val="right" w:leader="dot"/>
            </w:tabs>
            <w:spacing w:before="0" w:after="30" w:line="240" w:lineRule="auto"/>
            <w:ind w:left="0"/>
            <w:jc w:val="left"/>
          </w:pPr>
          <w:hyperlink w:anchor="fig_3_4" w:history="1">
            <w:r>
              <w:rPr>
                <w:rStyle w:val="Hyperlink"/>
                <w:rFonts w:ascii="Arial" w:hAnsi="Arial"/>
                <w:sz w:val="17"/>
                <w:color w:val="202124"/>
                <w:b/>
              </w:rPr>
              <w:t>Figure 3.4 — Architecture en couches de DataWatch</w:t>
            </w:r>
          </w:hyperlink>
          <w:r>
            <w:rPr>
              <w:rFonts w:ascii="Arial" w:hAnsi="Arial"/>
              <w:b/>
              <w:color w:val="202124"/>
              <w:sz w:val="17"/>
            </w:rPr>
            <w:tab/>
            <w:t>8</w:t>
          </w:r>
        </w:p>
        <w:p>
          <w:pPr>
            <w:tabs>
              <w:tab w:pos="8617" w:val="right" w:leader="dot"/>
            </w:tabs>
            <w:spacing w:before="0" w:after="30" w:line="240" w:lineRule="auto"/>
            <w:ind w:left="0"/>
            <w:jc w:val="left"/>
          </w:pPr>
          <w:hyperlink w:anchor="fig_4_1" w:history="1">
            <w:r>
              <w:rPr>
                <w:rStyle w:val="Hyperlink"/>
                <w:rFonts w:ascii="Arial" w:hAnsi="Arial"/>
                <w:sz w:val="17"/>
                <w:color w:val="202124"/>
                <w:b/>
              </w:rPr>
              <w:t>Figure 4.1 — Vue Opérations et file d’incidents prioritaires</w:t>
            </w:r>
          </w:hyperlink>
          <w:r>
            <w:rPr>
              <w:rFonts w:ascii="Arial" w:hAnsi="Arial"/>
              <w:b/>
              <w:color w:val="202124"/>
              <w:sz w:val="17"/>
            </w:rPr>
            <w:tab/>
            <w:t>11</w:t>
          </w:r>
        </w:p>
        <w:p>
          <w:pPr>
            <w:tabs>
              <w:tab w:pos="8617" w:val="right" w:leader="dot"/>
            </w:tabs>
            <w:spacing w:before="0" w:after="30" w:line="240" w:lineRule="auto"/>
            <w:ind w:left="0"/>
            <w:jc w:val="left"/>
          </w:pPr>
          <w:hyperlink w:anchor="fig_4_2" w:history="1">
            <w:r>
              <w:rPr>
                <w:rStyle w:val="Hyperlink"/>
                <w:rFonts w:ascii="Arial" w:hAnsi="Arial"/>
                <w:sz w:val="17"/>
                <w:color w:val="202124"/>
                <w:b/>
              </w:rPr>
              <w:t>Figure 4.2 — Détail de l’incident critique orders</w:t>
            </w:r>
          </w:hyperlink>
          <w:r>
            <w:rPr>
              <w:rFonts w:ascii="Arial" w:hAnsi="Arial"/>
              <w:b/>
              <w:color w:val="202124"/>
              <w:sz w:val="17"/>
            </w:rPr>
            <w:tab/>
            <w:t>12</w:t>
          </w:r>
        </w:p>
        <w:p>
          <w:pPr>
            <w:tabs>
              <w:tab w:pos="8617" w:val="right" w:leader="dot"/>
            </w:tabs>
            <w:spacing w:before="0" w:after="30" w:line="240" w:lineRule="auto"/>
            <w:ind w:left="0"/>
            <w:jc w:val="left"/>
          </w:pPr>
          <w:hyperlink w:anchor="fig_4_3" w:history="1">
            <w:r>
              <w:rPr>
                <w:rStyle w:val="Hyperlink"/>
                <w:rFonts w:ascii="Arial" w:hAnsi="Arial"/>
                <w:sz w:val="17"/>
                <w:color w:val="202124"/>
                <w:b/>
              </w:rPr>
              <w:t>Figure 4.3 — Profil et métriques de la table orders</w:t>
            </w:r>
          </w:hyperlink>
          <w:r>
            <w:rPr>
              <w:rFonts w:ascii="Arial" w:hAnsi="Arial"/>
              <w:b/>
              <w:color w:val="202124"/>
              <w:sz w:val="17"/>
            </w:rPr>
            <w:tab/>
            <w:t>12</w:t>
          </w:r>
        </w:p>
        <w:p>
          <w:pPr>
            <w:tabs>
              <w:tab w:pos="8617" w:val="right" w:leader="dot"/>
            </w:tabs>
            <w:spacing w:before="0" w:after="30" w:line="240" w:lineRule="auto"/>
            <w:ind w:left="0"/>
            <w:jc w:val="left"/>
          </w:pPr>
          <w:hyperlink w:anchor="fig_4_4" w:history="1">
            <w:r>
              <w:rPr>
                <w:rStyle w:val="Hyperlink"/>
                <w:rFonts w:ascii="Arial" w:hAnsi="Arial"/>
                <w:sz w:val="17"/>
                <w:color w:val="202124"/>
                <w:b/>
              </w:rPr>
              <w:t>Figure 4.4 — Route d’alerte e-mail configurée pour la démonstration</w:t>
            </w:r>
          </w:hyperlink>
          <w:r>
            <w:rPr>
              <w:rFonts w:ascii="Arial" w:hAnsi="Arial"/>
              <w:b/>
              <w:color w:val="202124"/>
              <w:sz w:val="17"/>
            </w:rPr>
            <w:tab/>
            <w:t>13</w:t>
          </w:r>
        </w:p>
        <w:p>
          <w:pPr>
            <w:tabs>
              <w:tab w:pos="8617" w:val="right" w:leader="dot"/>
            </w:tabs>
            <w:spacing w:before="0" w:after="30" w:line="240" w:lineRule="auto"/>
            <w:ind w:left="0"/>
            <w:jc w:val="left"/>
          </w:pPr>
          <w:hyperlink w:anchor="fig_4_5" w:history="1">
            <w:r>
              <w:rPr>
                <w:rStyle w:val="Hyperlink"/>
                <w:rFonts w:ascii="Arial" w:hAnsi="Arial"/>
                <w:sz w:val="17"/>
                <w:color w:val="202124"/>
                <w:b/>
              </w:rPr>
              <w:t>Figure 4.5 — File de travail de gouvernance IA en mode observe-only</w:t>
            </w:r>
          </w:hyperlink>
          <w:r>
            <w:rPr>
              <w:rFonts w:ascii="Arial" w:hAnsi="Arial"/>
              <w:b/>
              <w:color w:val="202124"/>
              <w:sz w:val="17"/>
            </w:rPr>
            <w:tab/>
            <w:t>13</w:t>
          </w:r>
        </w:p>
        <w:p>
          <w:pPr>
            <w:tabs>
              <w:tab w:pos="8617" w:val="right" w:leader="dot"/>
            </w:tabs>
            <w:spacing w:before="0" w:after="30" w:line="240" w:lineRule="auto"/>
            <w:ind w:left="0"/>
            <w:jc w:val="left"/>
          </w:pPr>
          <w:hyperlink w:anchor="fig_4_6" w:history="1">
            <w:r>
              <w:rPr>
                <w:rStyle w:val="Hyperlink"/>
                <w:rFonts w:ascii="Arial" w:hAnsi="Arial"/>
                <w:sz w:val="17"/>
                <w:color w:val="202124"/>
                <w:b/>
              </w:rPr>
              <w:t>Figure 4.6 — Parcours de démonstration de l’incident orders</w:t>
            </w:r>
          </w:hyperlink>
          <w:r>
            <w:rPr>
              <w:rFonts w:ascii="Arial" w:hAnsi="Arial"/>
              <w:b/>
              <w:color w:val="202124"/>
              <w:sz w:val="17"/>
            </w:rPr>
            <w:tab/>
            <w:t>14</w:t>
          </w:r>
        </w:p>
        <w:p>
          <w:pPr>
            <w:tabs>
              <w:tab w:pos="8617" w:val="right" w:leader="dot"/>
            </w:tabs>
            <w:spacing w:before="0" w:after="30" w:line="240" w:lineRule="auto"/>
            <w:ind w:left="0"/>
            <w:jc w:val="left"/>
          </w:pPr>
          <w:hyperlink w:anchor="fig_4_7" w:history="1">
            <w:r>
              <w:rPr>
                <w:rStyle w:val="Hyperlink"/>
                <w:rFonts w:ascii="Arial" w:hAnsi="Arial"/>
                <w:sz w:val="17"/>
                <w:color w:val="202124"/>
                <w:b/>
              </w:rPr>
              <w:t>Figure 4.7 — Synthèse des validations locales et de leurs limites</w:t>
            </w:r>
          </w:hyperlink>
          <w:r>
            <w:rPr>
              <w:rFonts w:ascii="Arial" w:hAnsi="Arial"/>
              <w:b/>
              <w:color w:val="202124"/>
              <w:sz w:val="17"/>
            </w:rPr>
            <w:tab/>
            <w:t>15</w:t>
          </w:r>
          <w:r>
            <w:fldChar w:fldCharType="end"/>
          </w:r>
        </w:p>
      </w:sdtContent>
    </w:sdt>
    <w:p>
      <w:pPr>
        <w:pStyle w:val="Heading1"/>
        <w:spacing w:after="400"/>
        <w:jc w:val="center"/>
      </w:pPr>
      <w:bookmarkStart w:id="106" w:name="front_tables"/>
      <w:r>
        <w:rPr>
          <w:rFonts w:ascii="Arial" w:hAnsi="Arial"/>
          <w:b/>
          <w:color w:val="202124"/>
          <w:sz w:val="36"/>
        </w:rPr>
        <w:t>VII. Liste des tableaux</w:t>
      </w:r>
      <w:bookmarkEnd w:id="106"/>
    </w:p>
    <w:p>
      <w:pPr>
        <w:spacing w:after="120"/>
        <w:jc w:val="left"/>
      </w:pPr>
      <w:r>
        <w:rPr>
          <w:rFonts w:ascii="Arial" w:hAnsi="Arial"/>
          <w:b w:val="0"/>
          <w:i/>
          <w:color w:val="202124"/>
          <w:sz w:val="22"/>
        </w:rPr>
        <w:t>Aucun tableau n’est référencé dans le corps du rapport. Les comparaisons et résultats sont présentés sous forme de synthèses narratives ou de figures afin de préserver la lisibilité.</w:t>
      </w:r>
    </w:p>
    <w:p>
      <w:pPr>
        <w:pStyle w:val="Heading1"/>
        <w:spacing w:after="400"/>
        <w:jc w:val="center"/>
      </w:pPr>
      <w:bookmarkStart w:id="107" w:name="front_abbr"/>
      <w:r>
        <w:rPr>
          <w:rFonts w:ascii="Arial" w:hAnsi="Arial"/>
          <w:b/>
          <w:color w:val="202124"/>
          <w:sz w:val="36"/>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Arial" w:hAnsi="Arial"/>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Arial" w:hAnsi="Arial"/>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Arial" w:hAnsi="Arial"/>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Arial" w:hAnsi="Arial"/>
          <w:b/>
          <w:color w:val="202124"/>
          <w:sz w:val="36"/>
        </w:rPr>
        <w:t>INTRODUCTION GÉNÉRALE</w:t>
      </w:r>
      <w:bookmarkEnd w:id="108"/>
    </w:p>
    <w:p>
      <w:pPr>
        <w:spacing w:after="120"/>
        <w:jc w:val="both"/>
      </w:pPr>
      <w:r>
        <w:rPr>
          <w:rFonts w:ascii="Arial" w:hAnsi="Arial"/>
          <w:b w:val="0"/>
          <w:i w:val="0"/>
          <w:color w:val="202124"/>
          <w:sz w:val="22"/>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20"/>
        <w:jc w:val="both"/>
      </w:pPr>
      <w:r>
        <w:rPr>
          <w:rFonts w:ascii="Arial" w:hAnsi="Arial"/>
          <w:b w:val="0"/>
          <w:i w:val="0"/>
          <w:color w:val="202124"/>
          <w:sz w:val="22"/>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09" w:name="body_121"/>
      <w:r>
        <w:rPr>
          <w:rFonts w:ascii="Arial" w:hAnsi="Arial"/>
          <w:b/>
          <w:color w:val="202124"/>
          <w:sz w:val="27"/>
        </w:rPr>
        <w:t>Résultats attendus</w:t>
      </w:r>
      <w:bookmarkEnd w:id="109"/>
    </w:p>
    <w:p>
      <w:pPr>
        <w:numPr>
          <w:ilvl w:val="0"/>
          <w:numId w:val="10"/>
        </w:numPr>
        <w:spacing w:after="80" w:line="288" w:lineRule="auto"/>
        <w:jc w:val="left"/>
      </w:pPr>
      <w:r>
        <w:rPr>
          <w:rFonts w:ascii="Arial" w:hAnsi="Arial"/>
          <w:color w:val="202124"/>
          <w:sz w:val="21"/>
        </w:rPr>
        <w:t>Une architecture multi-tenant séparant les données et les identités des organisations.</w:t>
      </w:r>
    </w:p>
    <w:p>
      <w:pPr>
        <w:numPr>
          <w:ilvl w:val="0"/>
          <w:numId w:val="10"/>
        </w:numPr>
        <w:spacing w:after="80" w:line="288" w:lineRule="auto"/>
        <w:jc w:val="left"/>
      </w:pPr>
      <w:r>
        <w:rPr>
          <w:rFonts w:ascii="Arial" w:hAnsi="Arial"/>
          <w:color w:val="202124"/>
          <w:sz w:val="21"/>
        </w:rPr>
        <w:t>Un profilage agrégé des tables avec métriques de volume, fraîcheur, schéma et colonnes.</w:t>
      </w:r>
    </w:p>
    <w:p>
      <w:pPr>
        <w:numPr>
          <w:ilvl w:val="0"/>
          <w:numId w:val="10"/>
        </w:numPr>
        <w:spacing w:after="80" w:line="288" w:lineRule="auto"/>
        <w:jc w:val="left"/>
      </w:pPr>
      <w:r>
        <w:rPr>
          <w:rFonts w:ascii="Arial" w:hAnsi="Arial"/>
          <w:color w:val="202124"/>
          <w:sz w:val="21"/>
        </w:rPr>
        <w:t>Une détection hybride : règles, z-score, Isolation Forest et STL lorsque l’historique est suffisant.</w:t>
      </w:r>
    </w:p>
    <w:p>
      <w:pPr>
        <w:numPr>
          <w:ilvl w:val="0"/>
          <w:numId w:val="10"/>
        </w:numPr>
        <w:spacing w:after="80" w:line="288" w:lineRule="auto"/>
        <w:jc w:val="left"/>
      </w:pPr>
      <w:r>
        <w:rPr>
          <w:rFonts w:ascii="Arial" w:hAnsi="Arial"/>
          <w:color w:val="202124"/>
          <w:sz w:val="21"/>
        </w:rPr>
        <w:t>Une gestion d’incidents, de narration IA et de routage d’alertes vérifiable localement.</w:t>
      </w:r>
    </w:p>
    <w:p>
      <w:pPr>
        <w:numPr>
          <w:ilvl w:val="0"/>
          <w:numId w:val="10"/>
        </w:numPr>
        <w:spacing w:after="80" w:line="288" w:lineRule="auto"/>
        <w:jc w:val="left"/>
      </w:pPr>
      <w:r>
        <w:rPr>
          <w:rFonts w:ascii="Arial" w:hAnsi="Arial"/>
          <w:color w:val="202124"/>
          <w:sz w:val="21"/>
        </w:rPr>
        <w:t>Une base de gouvernance IA observe-only qui rend les lacunes de preuve visibles sans prétendre certifier la conformité.</w:t>
      </w:r>
    </w:p>
    <w:p>
      <w:pPr>
        <w:pStyle w:val="Heading2"/>
      </w:pPr>
      <w:bookmarkStart w:id="110" w:name="body_127"/>
      <w:r>
        <w:rPr>
          <w:rFonts w:ascii="Arial" w:hAnsi="Arial"/>
          <w:b/>
          <w:color w:val="202124"/>
          <w:sz w:val="27"/>
        </w:rPr>
        <w:t>Organisation du rapport</w:t>
      </w:r>
      <w:bookmarkEnd w:id="110"/>
    </w:p>
    <w:p>
      <w:pPr>
        <w:spacing w:after="120"/>
        <w:jc w:val="both"/>
      </w:pPr>
      <w:r>
        <w:rPr>
          <w:rFonts w:ascii="Arial" w:hAnsi="Arial"/>
          <w:b w:val="0"/>
          <w:i w:val="0"/>
          <w:color w:val="202124"/>
          <w:sz w:val="22"/>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1" w:name="body_129"/>
      <w:r>
        <w:rPr>
          <w:rFonts w:ascii="Arial" w:hAnsi="Arial"/>
          <w:b/>
          <w:color w:val="202124"/>
          <w:sz w:val="36"/>
        </w:rPr>
        <w:t>CHAPITRE 1 — CADRE GÉNÉRAL ET CONDUITE DU PROJET</w:t>
      </w:r>
      <w:bookmarkEnd w:id="111"/>
    </w:p>
    <w:p>
      <w:pPr>
        <w:pStyle w:val="Heading2"/>
      </w:pPr>
      <w:bookmarkStart w:id="112" w:name="body_130"/>
      <w:r>
        <w:rPr>
          <w:rFonts w:ascii="Arial" w:hAnsi="Arial"/>
          <w:b/>
          <w:color w:val="202124"/>
          <w:sz w:val="27"/>
        </w:rPr>
        <w:t>1.1 Introduction</w:t>
      </w:r>
      <w:bookmarkEnd w:id="112"/>
    </w:p>
    <w:p>
      <w:pPr>
        <w:spacing w:after="120"/>
        <w:jc w:val="both"/>
      </w:pPr>
      <w:r>
        <w:rPr>
          <w:rFonts w:ascii="Arial" w:hAnsi="Arial"/>
          <w:b w:val="0"/>
          <w:i w:val="0"/>
          <w:color w:val="202124"/>
          <w:sz w:val="22"/>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3" w:name="body_132"/>
      <w:r>
        <w:rPr>
          <w:rFonts w:ascii="Arial" w:hAnsi="Arial"/>
          <w:b/>
          <w:color w:val="202124"/>
          <w:sz w:val="27"/>
        </w:rPr>
        <w:t>1.2 Présentation de l’organisme d’accueil</w:t>
      </w:r>
      <w:bookmarkEnd w:id="113"/>
    </w:p>
    <w:p>
      <w:pPr>
        <w:spacing w:after="120"/>
        <w:jc w:val="both"/>
      </w:pPr>
      <w:r>
        <w:rPr>
          <w:rFonts w:ascii="Arial" w:hAnsi="Arial"/>
          <w:b w:val="0"/>
          <w:i w:val="0"/>
          <w:color w:val="202124"/>
          <w:sz w:val="22"/>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4" w:name="body_134"/>
      <w:r>
        <w:rPr>
          <w:rFonts w:ascii="Arial" w:hAnsi="Arial"/>
          <w:b/>
          <w:color w:val="202124"/>
          <w:sz w:val="27"/>
        </w:rPr>
        <w:t>1.3 Présentation du projet</w:t>
      </w:r>
      <w:bookmarkEnd w:id="114"/>
    </w:p>
    <w:p>
      <w:pPr>
        <w:pStyle w:val="Heading3"/>
      </w:pPr>
      <w:r>
        <w:rPr>
          <w:rFonts w:ascii="Arial" w:hAnsi="Arial"/>
          <w:b/>
          <w:color w:val="202124"/>
          <w:sz w:val="23"/>
        </w:rPr>
        <w:t>1.3.1 Problématique</w:t>
      </w:r>
    </w:p>
    <w:p>
      <w:pPr>
        <w:spacing w:after="120"/>
        <w:jc w:val="both"/>
      </w:pPr>
      <w:r>
        <w:rPr>
          <w:rFonts w:ascii="Arial" w:hAnsi="Arial"/>
          <w:b w:val="0"/>
          <w:i w:val="0"/>
          <w:color w:val="202124"/>
          <w:sz w:val="22"/>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r>
        <w:rPr>
          <w:rFonts w:ascii="Arial" w:hAnsi="Arial"/>
          <w:b/>
          <w:color w:val="202124"/>
          <w:sz w:val="23"/>
        </w:rPr>
        <w:t>1.3.2 Solution proposée</w:t>
      </w:r>
    </w:p>
    <w:p>
      <w:pPr>
        <w:spacing w:after="120"/>
        <w:jc w:val="both"/>
      </w:pPr>
      <w:r>
        <w:rPr>
          <w:rFonts w:ascii="Arial" w:hAnsi="Arial"/>
          <w:b w:val="0"/>
          <w:i w:val="0"/>
          <w:color w:val="202124"/>
          <w:sz w:val="22"/>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15" w:name="body_139"/>
      <w:r>
        <w:rPr>
          <w:rFonts w:ascii="Arial" w:hAnsi="Arial"/>
          <w:b/>
          <w:color w:val="202124"/>
          <w:sz w:val="27"/>
        </w:rPr>
        <w:t>1.4 Méthodologie de travail</w:t>
      </w:r>
      <w:bookmarkEnd w:id="115"/>
    </w:p>
    <w:p>
      <w:pPr>
        <w:pStyle w:val="Heading3"/>
      </w:pPr>
      <w:r>
        <w:rPr>
          <w:rFonts w:ascii="Arial" w:hAnsi="Arial"/>
          <w:b/>
          <w:color w:val="202124"/>
          <w:sz w:val="23"/>
        </w:rPr>
        <w:t>1.4.1 Méthode Agile</w:t>
      </w:r>
    </w:p>
    <w:p>
      <w:pPr>
        <w:spacing w:after="120"/>
        <w:jc w:val="both"/>
      </w:pPr>
      <w:r>
        <w:rPr>
          <w:rFonts w:ascii="Arial" w:hAnsi="Arial"/>
          <w:b w:val="0"/>
          <w:i w:val="0"/>
          <w:color w:val="202124"/>
          <w:sz w:val="22"/>
        </w:rPr>
        <w:t>La conduite du projet s’appuie sur une démarche Agile courte et itérative. Les besoins sont priorisés, implémentés dans une verticale complète, puis vérifiés par des tests et une démonstration avant d’ouvrir l’incrément suivant.</w:t>
      </w:r>
    </w:p>
    <w:p>
      <w:pPr>
        <w:spacing w:after="120"/>
        <w:jc w:val="both"/>
      </w:pPr>
      <w:r>
        <w:rPr>
          <w:rFonts w:ascii="Arial" w:hAnsi="Arial"/>
          <w:b w:val="0"/>
          <w:i w:val="0"/>
          <w:color w:val="202124"/>
          <w:sz w:val="22"/>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r>
        <w:rPr>
          <w:rFonts w:ascii="Arial" w:hAnsi="Arial"/>
          <w:b/>
          <w:color w:val="202124"/>
          <w:sz w:val="23"/>
        </w:rPr>
        <w:t>1.4.2 Organisation en sprints</w:t>
      </w:r>
    </w:p>
    <w:p>
      <w:pPr>
        <w:spacing w:after="120"/>
        <w:jc w:val="both"/>
      </w:pPr>
      <w:r>
        <w:rPr>
          <w:rFonts w:ascii="Arial" w:hAnsi="Arial"/>
          <w:b w:val="0"/>
          <w:i w:val="0"/>
          <w:color w:val="202124"/>
          <w:sz w:val="22"/>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r>
        <w:rPr>
          <w:rFonts w:ascii="Arial" w:hAnsi="Arial"/>
          <w:b/>
          <w:color w:val="202124"/>
          <w:sz w:val="23"/>
        </w:rPr>
        <w:t>1.4.3 Diagramme de Gantt et jalons</w:t>
      </w:r>
    </w:p>
    <w:p>
      <w:pPr>
        <w:spacing w:after="120"/>
        <w:jc w:val="both"/>
      </w:pPr>
      <w:r>
        <w:rPr>
          <w:rFonts w:ascii="Arial" w:hAnsi="Arial"/>
          <w:b w:val="0"/>
          <w:i w:val="0"/>
          <w:color w:val="202124"/>
          <w:sz w:val="22"/>
        </w:rPr>
        <w:t>Le planning associe chaque incrément à un objectif vérifiable et à un livrable exploitable dans la démonstration. La figure 1.1 synthétise les sept sprints, leurs chevauchements et leurs principaux jalons.</w:t>
      </w:r>
    </w:p>
    <w:p>
      <w:pPr>
        <w:keepNext/>
        <w:spacing w:before="160" w:after="0"/>
        <w:jc w:val="center"/>
      </w:pPr>
      <w:r>
        <w:drawing>
          <wp:inline xmlns:a="http://schemas.openxmlformats.org/drawingml/2006/main" xmlns:pic="http://schemas.openxmlformats.org/drawingml/2006/picture">
            <wp:extent cx="5688000" cy="3725640"/>
            <wp:docPr id="2" name="Picture 2" descr="Planification du projet par sprints"/>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725640"/>
                    </a:xfrm>
                    <a:prstGeom prst="rect"/>
                  </pic:spPr>
                </pic:pic>
              </a:graphicData>
            </a:graphic>
          </wp:inline>
        </w:drawing>
      </w:r>
    </w:p>
    <w:p>
      <w:pPr>
        <w:pStyle w:val="Caption"/>
      </w:pPr>
      <w:bookmarkStart w:id="116" w:name="fig_1_1"/>
      <w:r>
        <w:rPr>
          <w:rFonts w:ascii="Arial" w:hAnsi="Arial"/>
          <w:b/>
          <w:color w:val="B1202D"/>
          <w:sz w:val="18"/>
        </w:rPr>
        <w:t>Figure 1.1</w:t>
      </w:r>
      <w:r>
        <w:rPr>
          <w:rFonts w:ascii="Arial" w:hAnsi="Arial"/>
          <w:color w:val="5F6368"/>
          <w:sz w:val="18"/>
        </w:rPr>
        <w:t xml:space="preserve"> — Planification du projet par sprints</w:t>
      </w:r>
      <w:bookmarkEnd w:id="116"/>
    </w:p>
    <w:p>
      <w:pPr>
        <w:spacing w:after="120"/>
        <w:jc w:val="both"/>
      </w:pPr>
      <w:r>
        <w:rPr>
          <w:rFonts w:ascii="Arial" w:hAnsi="Arial"/>
          <w:b w:val="0"/>
          <w:i w:val="0"/>
          <w:color w:val="202124"/>
          <w:sz w:val="22"/>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20"/>
        <w:jc w:val="both"/>
      </w:pPr>
      <w:r>
        <w:rPr>
          <w:rFonts w:ascii="Arial" w:hAnsi="Arial"/>
          <w:b w:val="0"/>
          <w:i w:val="0"/>
          <w:color w:val="202124"/>
          <w:sz w:val="22"/>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17" w:name="body_155"/>
      <w:r>
        <w:rPr>
          <w:rFonts w:ascii="Arial" w:hAnsi="Arial"/>
          <w:b/>
          <w:color w:val="202124"/>
          <w:sz w:val="27"/>
        </w:rPr>
        <w:t>1.5 Conclusion</w:t>
      </w:r>
      <w:bookmarkEnd w:id="117"/>
    </w:p>
    <w:p>
      <w:pPr>
        <w:spacing w:after="120"/>
        <w:jc w:val="both"/>
      </w:pPr>
      <w:r>
        <w:rPr>
          <w:rFonts w:ascii="Arial" w:hAnsi="Arial"/>
          <w:b w:val="0"/>
          <w:i w:val="0"/>
          <w:color w:val="202124"/>
          <w:sz w:val="22"/>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18" w:name="body_157"/>
      <w:r>
        <w:rPr>
          <w:rFonts w:ascii="Arial" w:hAnsi="Arial"/>
          <w:b/>
          <w:color w:val="202124"/>
          <w:sz w:val="36"/>
        </w:rPr>
        <w:t>CHAPITRE 2 — ÉTAT DE L’ART ET POSITIONNEMENT</w:t>
      </w:r>
      <w:bookmarkEnd w:id="118"/>
    </w:p>
    <w:p>
      <w:pPr>
        <w:pStyle w:val="Heading2"/>
      </w:pPr>
      <w:bookmarkStart w:id="119" w:name="body_158"/>
      <w:r>
        <w:rPr>
          <w:rFonts w:ascii="Arial" w:hAnsi="Arial"/>
          <w:b/>
          <w:color w:val="202124"/>
          <w:sz w:val="27"/>
        </w:rPr>
        <w:t>2.1 Introduction</w:t>
      </w:r>
      <w:bookmarkEnd w:id="119"/>
    </w:p>
    <w:p>
      <w:pPr>
        <w:spacing w:after="120"/>
        <w:jc w:val="both"/>
      </w:pPr>
      <w:r>
        <w:rPr>
          <w:rFonts w:ascii="Arial" w:hAnsi="Arial"/>
          <w:b w:val="0"/>
          <w:i w:val="0"/>
          <w:color w:val="202124"/>
          <w:sz w:val="22"/>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20" w:name="body_160"/>
      <w:r>
        <w:rPr>
          <w:rFonts w:ascii="Arial" w:hAnsi="Arial"/>
          <w:b/>
          <w:color w:val="202124"/>
          <w:sz w:val="27"/>
        </w:rPr>
        <w:t>2.2 Approches existantes</w:t>
      </w:r>
      <w:bookmarkEnd w:id="120"/>
    </w:p>
    <w:p>
      <w:pPr>
        <w:spacing w:after="120"/>
        <w:jc w:val="both"/>
      </w:pPr>
      <w:r>
        <w:rPr>
          <w:rFonts w:ascii="Arial" w:hAnsi="Arial"/>
          <w:b w:val="0"/>
          <w:i w:val="0"/>
          <w:color w:val="202124"/>
          <w:sz w:val="22"/>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20"/>
        <w:jc w:val="both"/>
      </w:pPr>
      <w:r>
        <w:rPr>
          <w:rFonts w:ascii="Arial" w:hAnsi="Arial"/>
          <w:b w:val="0"/>
          <w:i w:val="0"/>
          <w:color w:val="202124"/>
          <w:sz w:val="22"/>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21" w:name="body_163"/>
      <w:r>
        <w:rPr>
          <w:rFonts w:ascii="Arial" w:hAnsi="Arial"/>
          <w:b/>
          <w:color w:val="202124"/>
          <w:sz w:val="27"/>
        </w:rPr>
        <w:t>2.3 Originalité de la solution</w:t>
      </w:r>
      <w:bookmarkEnd w:id="121"/>
    </w:p>
    <w:p>
      <w:pPr>
        <w:spacing w:after="120"/>
        <w:jc w:val="both"/>
      </w:pPr>
      <w:r>
        <w:rPr>
          <w:rFonts w:ascii="Arial" w:hAnsi="Arial"/>
          <w:b w:val="0"/>
          <w:i w:val="0"/>
          <w:color w:val="202124"/>
          <w:sz w:val="22"/>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20"/>
        <w:jc w:val="both"/>
      </w:pPr>
      <w:r>
        <w:rPr>
          <w:rFonts w:ascii="Arial" w:hAnsi="Arial"/>
          <w:b w:val="0"/>
          <w:i w:val="0"/>
          <w:color w:val="202124"/>
          <w:sz w:val="22"/>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22" w:name="body_165"/>
      <w:r>
        <w:rPr>
          <w:rFonts w:ascii="Arial" w:hAnsi="Arial"/>
          <w:b/>
          <w:color w:val="202124"/>
          <w:sz w:val="27"/>
        </w:rPr>
        <w:t>2.4 Conclusion</w:t>
      </w:r>
      <w:bookmarkEnd w:id="122"/>
    </w:p>
    <w:p>
      <w:pPr>
        <w:spacing w:after="120"/>
        <w:jc w:val="both"/>
      </w:pPr>
      <w:r>
        <w:rPr>
          <w:rFonts w:ascii="Arial" w:hAnsi="Arial"/>
          <w:b w:val="0"/>
          <w:i w:val="0"/>
          <w:color w:val="202124"/>
          <w:sz w:val="22"/>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23" w:name="body_167"/>
      <w:r>
        <w:rPr>
          <w:rFonts w:ascii="Arial" w:hAnsi="Arial"/>
          <w:b/>
          <w:color w:val="202124"/>
          <w:sz w:val="36"/>
        </w:rPr>
        <w:t>CHAPITRE 3 — ANALYSE, CONCEPTION ET ARCHITECTURE</w:t>
      </w:r>
      <w:bookmarkEnd w:id="123"/>
    </w:p>
    <w:p>
      <w:pPr>
        <w:pStyle w:val="Heading2"/>
      </w:pPr>
      <w:bookmarkStart w:id="124" w:name="body_168"/>
      <w:r>
        <w:rPr>
          <w:rFonts w:ascii="Arial" w:hAnsi="Arial"/>
          <w:b/>
          <w:color w:val="202124"/>
          <w:sz w:val="27"/>
        </w:rPr>
        <w:t>3.1 Introduction</w:t>
      </w:r>
      <w:bookmarkEnd w:id="124"/>
    </w:p>
    <w:p>
      <w:pPr>
        <w:spacing w:after="120"/>
        <w:jc w:val="both"/>
      </w:pPr>
      <w:r>
        <w:rPr>
          <w:rFonts w:ascii="Arial" w:hAnsi="Arial"/>
          <w:b w:val="0"/>
          <w:i w:val="0"/>
          <w:color w:val="202124"/>
          <w:sz w:val="22"/>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25" w:name="body_170"/>
      <w:r>
        <w:rPr>
          <w:rFonts w:ascii="Arial" w:hAnsi="Arial"/>
          <w:b/>
          <w:color w:val="202124"/>
          <w:sz w:val="27"/>
        </w:rPr>
        <w:t>3.2 Analyse du projet</w:t>
      </w:r>
      <w:bookmarkEnd w:id="125"/>
    </w:p>
    <w:p>
      <w:pPr>
        <w:pStyle w:val="Heading3"/>
      </w:pPr>
      <w:r>
        <w:rPr>
          <w:rFonts w:ascii="Arial" w:hAnsi="Arial"/>
          <w:b/>
          <w:color w:val="202124"/>
          <w:sz w:val="23"/>
        </w:rPr>
        <w:t>3.2.1 Objectifs de la solution</w:t>
      </w:r>
    </w:p>
    <w:p>
      <w:pPr>
        <w:spacing w:after="120"/>
        <w:jc w:val="both"/>
      </w:pPr>
      <w:r>
        <w:rPr>
          <w:rFonts w:ascii="Arial" w:hAnsi="Arial"/>
          <w:b w:val="0"/>
          <w:i w:val="0"/>
          <w:color w:val="202124"/>
          <w:sz w:val="22"/>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r>
        <w:rPr>
          <w:rFonts w:ascii="Arial" w:hAnsi="Arial"/>
          <w:b/>
          <w:color w:val="202124"/>
          <w:sz w:val="23"/>
        </w:rPr>
        <w:t>3.2.2 Besoins fonctionnels</w:t>
      </w:r>
    </w:p>
    <w:p>
      <w:pPr>
        <w:spacing w:after="120"/>
        <w:jc w:val="both"/>
      </w:pPr>
      <w:r>
        <w:rPr>
          <w:rFonts w:ascii="Arial" w:hAnsi="Arial"/>
          <w:b w:val="0"/>
          <w:i w:val="0"/>
          <w:color w:val="202124"/>
          <w:sz w:val="22"/>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20"/>
        <w:jc w:val="both"/>
      </w:pPr>
      <w:r>
        <w:rPr>
          <w:rFonts w:ascii="Arial" w:hAnsi="Arial"/>
          <w:b w:val="0"/>
          <w:i w:val="0"/>
          <w:color w:val="202124"/>
          <w:sz w:val="22"/>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r>
        <w:rPr>
          <w:rFonts w:ascii="Arial" w:hAnsi="Arial"/>
          <w:b/>
          <w:color w:val="202124"/>
          <w:sz w:val="23"/>
        </w:rPr>
        <w:t>3.2.3 Besoins non fonctionnels</w:t>
      </w:r>
    </w:p>
    <w:p>
      <w:pPr>
        <w:numPr>
          <w:ilvl w:val="0"/>
          <w:numId w:val="10"/>
        </w:numPr>
        <w:spacing w:after="80" w:line="288" w:lineRule="auto"/>
        <w:jc w:val="left"/>
      </w:pPr>
      <w:r>
        <w:rPr>
          <w:rFonts w:ascii="Arial" w:hAnsi="Arial"/>
          <w:color w:val="202124"/>
          <w:sz w:val="21"/>
        </w:rPr>
        <w:t>Sécurité : chiffrement des configurations de connexion et séparation des organisations.</w:t>
      </w:r>
    </w:p>
    <w:p>
      <w:pPr>
        <w:numPr>
          <w:ilvl w:val="0"/>
          <w:numId w:val="10"/>
        </w:numPr>
        <w:spacing w:after="80" w:line="288" w:lineRule="auto"/>
        <w:jc w:val="left"/>
      </w:pPr>
      <w:r>
        <w:rPr>
          <w:rFonts w:ascii="Arial" w:hAnsi="Arial"/>
          <w:color w:val="202124"/>
          <w:sz w:val="21"/>
        </w:rPr>
        <w:t>Fiabilité : tâches idempotentes, déduplication des incidents et reprise planifiée.</w:t>
      </w:r>
    </w:p>
    <w:p>
      <w:pPr>
        <w:numPr>
          <w:ilvl w:val="0"/>
          <w:numId w:val="10"/>
        </w:numPr>
        <w:spacing w:after="80" w:line="288" w:lineRule="auto"/>
        <w:jc w:val="left"/>
      </w:pPr>
      <w:r>
        <w:rPr>
          <w:rFonts w:ascii="Arial" w:hAnsi="Arial"/>
          <w:color w:val="202124"/>
          <w:sz w:val="21"/>
        </w:rPr>
        <w:t>Performance : profilage par requêtes agrégées plutôt que lecture ligne par ligne.</w:t>
      </w:r>
    </w:p>
    <w:p>
      <w:pPr>
        <w:numPr>
          <w:ilvl w:val="0"/>
          <w:numId w:val="10"/>
        </w:numPr>
        <w:spacing w:after="80" w:line="288" w:lineRule="auto"/>
        <w:jc w:val="left"/>
      </w:pPr>
      <w:r>
        <w:rPr>
          <w:rFonts w:ascii="Arial" w:hAnsi="Arial"/>
          <w:color w:val="202124"/>
          <w:sz w:val="21"/>
        </w:rPr>
        <w:t>Maintenabilité : API typée, migrations versionnées et tests de régression.</w:t>
      </w:r>
    </w:p>
    <w:p>
      <w:pPr>
        <w:numPr>
          <w:ilvl w:val="0"/>
          <w:numId w:val="10"/>
        </w:numPr>
        <w:spacing w:after="80" w:line="288" w:lineRule="auto"/>
        <w:jc w:val="left"/>
      </w:pPr>
      <w:r>
        <w:rPr>
          <w:rFonts w:ascii="Arial" w:hAnsi="Arial"/>
          <w:color w:val="202124"/>
          <w:sz w:val="21"/>
        </w:rPr>
        <w:t>Traçabilité : profils, résultats de contrôles, incidents et versions de moniteurs conservés.</w:t>
      </w:r>
    </w:p>
    <w:p>
      <w:pPr>
        <w:numPr>
          <w:ilvl w:val="0"/>
          <w:numId w:val="10"/>
        </w:numPr>
        <w:spacing w:after="80" w:line="288" w:lineRule="auto"/>
        <w:jc w:val="left"/>
      </w:pPr>
      <w:r>
        <w:rPr>
          <w:rFonts w:ascii="Arial" w:hAnsi="Arial"/>
          <w:color w:val="202124"/>
          <w:sz w:val="21"/>
        </w:rPr>
        <w:t>Explicabilité : scores, plages attendues et raisons de contrôle visibles dans l’interface.</w:t>
      </w:r>
    </w:p>
    <w:p>
      <w:pPr>
        <w:pStyle w:val="Heading2"/>
      </w:pPr>
      <w:bookmarkStart w:id="126" w:name="body_183"/>
      <w:r>
        <w:rPr>
          <w:rFonts w:ascii="Arial" w:hAnsi="Arial"/>
          <w:b/>
          <w:color w:val="202124"/>
          <w:sz w:val="27"/>
        </w:rPr>
        <w:t>3.3 Conception de la solution</w:t>
      </w:r>
      <w:bookmarkEnd w:id="126"/>
    </w:p>
    <w:p>
      <w:pPr>
        <w:spacing w:after="120"/>
        <w:jc w:val="both"/>
      </w:pPr>
      <w:r>
        <w:rPr>
          <w:rFonts w:ascii="Arial" w:hAnsi="Arial"/>
          <w:b w:val="0"/>
          <w:i w:val="0"/>
          <w:color w:val="202124"/>
          <w:sz w:val="22"/>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keepNext/>
        <w:spacing w:before="160" w:after="0"/>
        <w:jc w:val="center"/>
      </w:pPr>
      <w:r>
        <w:drawing>
          <wp:inline xmlns:a="http://schemas.openxmlformats.org/drawingml/2006/main" xmlns:pic="http://schemas.openxmlformats.org/drawingml/2006/picture">
            <wp:extent cx="2712573" cy="5472000"/>
            <wp:docPr id="3" name="Picture 3" descr="Cas d’utilisation de DataWatch"/>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2712573" cy="5472000"/>
                    </a:xfrm>
                    <a:prstGeom prst="rect"/>
                  </pic:spPr>
                </pic:pic>
              </a:graphicData>
            </a:graphic>
          </wp:inline>
        </w:drawing>
      </w:r>
    </w:p>
    <w:p>
      <w:pPr>
        <w:pStyle w:val="Caption"/>
      </w:pPr>
      <w:bookmarkStart w:id="127" w:name="fig_3_1"/>
      <w:r>
        <w:rPr>
          <w:rFonts w:ascii="Arial" w:hAnsi="Arial"/>
          <w:b/>
          <w:color w:val="B1202D"/>
          <w:sz w:val="18"/>
        </w:rPr>
        <w:t>Figure 3.1</w:t>
      </w:r>
      <w:r>
        <w:rPr>
          <w:rFonts w:ascii="Arial" w:hAnsi="Arial"/>
          <w:color w:val="5F6368"/>
          <w:sz w:val="18"/>
        </w:rPr>
        <w:t xml:space="preserve"> — Cas d’utilisation de DataWatch</w:t>
      </w:r>
      <w:bookmarkEnd w:id="127"/>
    </w:p>
    <w:p>
      <w:pPr>
        <w:pStyle w:val="Heading3"/>
      </w:pPr>
      <w:r>
        <w:rPr>
          <w:rFonts w:ascii="Arial" w:hAnsi="Arial"/>
          <w:b/>
          <w:color w:val="202124"/>
          <w:sz w:val="23"/>
        </w:rPr>
        <w:t>3.3.1 Diagramme de séquence</w:t>
      </w:r>
    </w:p>
    <w:p>
      <w:pPr>
        <w:spacing w:after="120"/>
        <w:jc w:val="both"/>
      </w:pPr>
      <w:r>
        <w:rPr>
          <w:rFonts w:ascii="Arial" w:hAnsi="Arial"/>
          <w:b w:val="0"/>
          <w:i w:val="0"/>
          <w:color w:val="202124"/>
          <w:sz w:val="22"/>
        </w:rPr>
        <w:t>La figure 3.2 détaille la succession des échanges depuis le déclenchement planifié jusqu’à l’acquittement humain. Elle montre que le profil, les résultats des contrôles et l’incident sont persistés avant la narration et l’alerte.</w:t>
      </w:r>
    </w:p>
    <w:p>
      <w:pPr>
        <w:keepNext/>
        <w:spacing w:before="160" w:after="0"/>
        <w:jc w:val="center"/>
      </w:pPr>
      <w:r>
        <w:drawing>
          <wp:inline xmlns:a="http://schemas.openxmlformats.org/drawingml/2006/main" xmlns:pic="http://schemas.openxmlformats.org/drawingml/2006/picture">
            <wp:extent cx="5688000" cy="3485192"/>
            <wp:docPr id="4" name="Picture 4" descr="Séquence de détection et de traitement d’un incident"/>
            <wp:cNvGraphicFramePr>
              <a:graphicFrameLocks noChangeAspect="1"/>
            </wp:cNvGraphicFramePr>
            <a:graphic>
              <a:graphicData uri="http://schemas.openxmlformats.org/drawingml/2006/picture">
                <pic:pic>
                  <pic:nvPicPr>
                    <pic:cNvPr id="0" name="sequence-uml-doc.png"/>
                    <pic:cNvPicPr/>
                  </pic:nvPicPr>
                  <pic:blipFill>
                    <a:blip r:embed="rId18"/>
                    <a:stretch>
                      <a:fillRect/>
                    </a:stretch>
                  </pic:blipFill>
                  <pic:spPr>
                    <a:xfrm>
                      <a:off x="0" y="0"/>
                      <a:ext cx="5688000" cy="3485192"/>
                    </a:xfrm>
                    <a:prstGeom prst="rect"/>
                  </pic:spPr>
                </pic:pic>
              </a:graphicData>
            </a:graphic>
          </wp:inline>
        </w:drawing>
      </w:r>
    </w:p>
    <w:p>
      <w:pPr>
        <w:pStyle w:val="Caption"/>
      </w:pPr>
      <w:bookmarkStart w:id="128" w:name="fig_3_2"/>
      <w:r>
        <w:rPr>
          <w:rFonts w:ascii="Arial" w:hAnsi="Arial"/>
          <w:b/>
          <w:color w:val="B1202D"/>
          <w:sz w:val="18"/>
        </w:rPr>
        <w:t>Figure 3.2</w:t>
      </w:r>
      <w:r>
        <w:rPr>
          <w:rFonts w:ascii="Arial" w:hAnsi="Arial"/>
          <w:color w:val="5F6368"/>
          <w:sz w:val="18"/>
        </w:rPr>
        <w:t xml:space="preserve"> — Séquence de détection et de traitement d’un incident</w:t>
      </w:r>
      <w:bookmarkEnd w:id="128"/>
    </w:p>
    <w:p>
      <w:pPr>
        <w:pStyle w:val="Heading3"/>
      </w:pPr>
      <w:r>
        <w:rPr>
          <w:rFonts w:ascii="Arial" w:hAnsi="Arial"/>
          <w:b/>
          <w:color w:val="202124"/>
          <w:sz w:val="23"/>
        </w:rPr>
        <w:t>3.3.2 Diagramme de classes</w:t>
      </w:r>
    </w:p>
    <w:p>
      <w:pPr>
        <w:spacing w:after="120"/>
        <w:jc w:val="both"/>
      </w:pPr>
      <w:r>
        <w:rPr>
          <w:rFonts w:ascii="Arial" w:hAnsi="Arial"/>
          <w:b w:val="0"/>
          <w:i w:val="0"/>
          <w:color w:val="202124"/>
          <w:sz w:val="22"/>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keepNext/>
        <w:spacing w:before="160" w:after="0"/>
        <w:jc w:val="center"/>
      </w:pPr>
      <w:r>
        <w:drawing>
          <wp:inline xmlns:a="http://schemas.openxmlformats.org/drawingml/2006/main" xmlns:pic="http://schemas.openxmlformats.org/drawingml/2006/picture">
            <wp:extent cx="5688000" cy="1871869"/>
            <wp:docPr id="5" name="Picture 5" descr="Diagramme de classes métier simplifié"/>
            <wp:cNvGraphicFramePr>
              <a:graphicFrameLocks noChangeAspect="1"/>
            </wp:cNvGraphicFramePr>
            <a:graphic>
              <a:graphicData uri="http://schemas.openxmlformats.org/drawingml/2006/picture">
                <pic:pic>
                  <pic:nvPicPr>
                    <pic:cNvPr id="0" name="classes-doc.png"/>
                    <pic:cNvPicPr/>
                  </pic:nvPicPr>
                  <pic:blipFill>
                    <a:blip r:embed="rId19"/>
                    <a:stretch>
                      <a:fillRect/>
                    </a:stretch>
                  </pic:blipFill>
                  <pic:spPr>
                    <a:xfrm>
                      <a:off x="0" y="0"/>
                      <a:ext cx="5688000" cy="1871869"/>
                    </a:xfrm>
                    <a:prstGeom prst="rect"/>
                  </pic:spPr>
                </pic:pic>
              </a:graphicData>
            </a:graphic>
          </wp:inline>
        </w:drawing>
      </w:r>
    </w:p>
    <w:p>
      <w:pPr>
        <w:pStyle w:val="Caption"/>
      </w:pPr>
      <w:bookmarkStart w:id="129" w:name="fig_3_3"/>
      <w:r>
        <w:rPr>
          <w:rFonts w:ascii="Arial" w:hAnsi="Arial"/>
          <w:b/>
          <w:color w:val="B1202D"/>
          <w:sz w:val="18"/>
        </w:rPr>
        <w:t>Figure 3.3</w:t>
      </w:r>
      <w:r>
        <w:rPr>
          <w:rFonts w:ascii="Arial" w:hAnsi="Arial"/>
          <w:color w:val="5F6368"/>
          <w:sz w:val="18"/>
        </w:rPr>
        <w:t xml:space="preserve"> — Diagramme de classes métier simplifié</w:t>
      </w:r>
      <w:bookmarkEnd w:id="129"/>
    </w:p>
    <w:p>
      <w:pPr>
        <w:pStyle w:val="Heading2"/>
      </w:pPr>
      <w:bookmarkStart w:id="130" w:name="body_197"/>
      <w:r>
        <w:rPr>
          <w:rFonts w:ascii="Arial" w:hAnsi="Arial"/>
          <w:b/>
          <w:color w:val="202124"/>
          <w:sz w:val="27"/>
        </w:rPr>
        <w:t>3.4 Architecture proposée</w:t>
      </w:r>
      <w:bookmarkEnd w:id="130"/>
    </w:p>
    <w:p>
      <w:pPr>
        <w:spacing w:after="120"/>
        <w:jc w:val="both"/>
      </w:pPr>
      <w:r>
        <w:rPr>
          <w:rFonts w:ascii="Arial" w:hAnsi="Arial"/>
          <w:b w:val="0"/>
          <w:i w:val="0"/>
          <w:color w:val="202124"/>
          <w:sz w:val="22"/>
        </w:rPr>
        <w:t>Le cycle de profilage démarre dans APScheduler, qui place une tâche dans Redis. Celery déchiffre la configuration de la source dans le contexte de l’organisation, construit une requête agrégée, persiste le profil, puis déclenche les détecteurs et les moniteurs personnalisés. La narration et l’alerte sont exécutées après la persistance de l’incident afin qu’un échec externe ne supprime pas le fait technique observé.</w:t>
      </w:r>
    </w:p>
    <w:p>
      <w:pPr>
        <w:spacing w:after="120"/>
        <w:jc w:val="both"/>
      </w:pPr>
      <w:r>
        <w:rPr>
          <w:rFonts w:ascii="Arial" w:hAnsi="Arial"/>
          <w:b w:val="0"/>
          <w:i w:val="0"/>
          <w:color w:val="202124"/>
          <w:sz w:val="22"/>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keepNext/>
        <w:spacing w:before="160" w:after="0"/>
        <w:jc w:val="center"/>
      </w:pPr>
      <w:r>
        <w:drawing>
          <wp:inline xmlns:a="http://schemas.openxmlformats.org/drawingml/2006/main" xmlns:pic="http://schemas.openxmlformats.org/drawingml/2006/picture">
            <wp:extent cx="5688000" cy="4092774"/>
            <wp:docPr id="6" name="Picture 6" descr="Architecture en couches de DataWatch"/>
            <wp:cNvGraphicFramePr>
              <a:graphicFrameLocks noChangeAspect="1"/>
            </wp:cNvGraphicFramePr>
            <a:graphic>
              <a:graphicData uri="http://schemas.openxmlformats.org/drawingml/2006/picture">
                <pic:pic>
                  <pic:nvPicPr>
                    <pic:cNvPr id="0" name="architecture-doc.png"/>
                    <pic:cNvPicPr/>
                  </pic:nvPicPr>
                  <pic:blipFill>
                    <a:blip r:embed="rId20"/>
                    <a:stretch>
                      <a:fillRect/>
                    </a:stretch>
                  </pic:blipFill>
                  <pic:spPr>
                    <a:xfrm>
                      <a:off x="0" y="0"/>
                      <a:ext cx="5688000" cy="4092774"/>
                    </a:xfrm>
                    <a:prstGeom prst="rect"/>
                  </pic:spPr>
                </pic:pic>
              </a:graphicData>
            </a:graphic>
          </wp:inline>
        </w:drawing>
      </w:r>
    </w:p>
    <w:p>
      <w:pPr>
        <w:pStyle w:val="Caption"/>
      </w:pPr>
      <w:bookmarkStart w:id="131" w:name="fig_3_4"/>
      <w:r>
        <w:rPr>
          <w:rFonts w:ascii="Arial" w:hAnsi="Arial"/>
          <w:b/>
          <w:color w:val="B1202D"/>
          <w:sz w:val="18"/>
        </w:rPr>
        <w:t>Figure 3.4</w:t>
      </w:r>
      <w:r>
        <w:rPr>
          <w:rFonts w:ascii="Arial" w:hAnsi="Arial"/>
          <w:color w:val="5F6368"/>
          <w:sz w:val="18"/>
        </w:rPr>
        <w:t xml:space="preserve"> — Architecture en couches de DataWatch</w:t>
      </w:r>
      <w:bookmarkEnd w:id="131"/>
    </w:p>
    <w:p>
      <w:pPr>
        <w:pStyle w:val="Heading2"/>
      </w:pPr>
      <w:bookmarkStart w:id="132" w:name="body_205"/>
      <w:r>
        <w:rPr>
          <w:rFonts w:ascii="Arial" w:hAnsi="Arial"/>
          <w:b/>
          <w:color w:val="202124"/>
          <w:sz w:val="27"/>
        </w:rPr>
        <w:t>3.5 Modèle de données et sécurité</w:t>
      </w:r>
      <w:bookmarkEnd w:id="132"/>
    </w:p>
    <w:p>
      <w:pPr>
        <w:spacing w:after="120"/>
        <w:jc w:val="both"/>
      </w:pPr>
      <w:r>
        <w:rPr>
          <w:rFonts w:ascii="Arial" w:hAnsi="Arial"/>
          <w:b w:val="0"/>
          <w:i w:val="0"/>
          <w:color w:val="202124"/>
          <w:sz w:val="22"/>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20"/>
        <w:jc w:val="both"/>
      </w:pPr>
      <w:r>
        <w:rPr>
          <w:rFonts w:ascii="Arial" w:hAnsi="Arial"/>
          <w:b w:val="0"/>
          <w:i w:val="0"/>
          <w:color w:val="202124"/>
          <w:sz w:val="22"/>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33" w:name="body_207"/>
      <w:r>
        <w:rPr>
          <w:rFonts w:ascii="Arial" w:hAnsi="Arial"/>
          <w:b/>
          <w:color w:val="202124"/>
          <w:sz w:val="27"/>
        </w:rPr>
        <w:t>3.6 Gouvernance de la couche IA</w:t>
      </w:r>
      <w:bookmarkEnd w:id="133"/>
    </w:p>
    <w:p>
      <w:pPr>
        <w:spacing w:after="120"/>
        <w:jc w:val="both"/>
      </w:pPr>
      <w:r>
        <w:rPr>
          <w:rFonts w:ascii="Arial" w:hAnsi="Arial"/>
          <w:b w:val="0"/>
          <w:i w:val="0"/>
          <w:color w:val="202124"/>
          <w:sz w:val="22"/>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34" w:name="body_209"/>
      <w:r>
        <w:rPr>
          <w:rFonts w:ascii="Arial" w:hAnsi="Arial"/>
          <w:b/>
          <w:color w:val="202124"/>
          <w:sz w:val="27"/>
        </w:rPr>
        <w:t>3.7 Conclusion</w:t>
      </w:r>
      <w:bookmarkEnd w:id="134"/>
    </w:p>
    <w:p>
      <w:pPr>
        <w:spacing w:after="120"/>
        <w:jc w:val="both"/>
      </w:pPr>
      <w:r>
        <w:rPr>
          <w:rFonts w:ascii="Arial" w:hAnsi="Arial"/>
          <w:b w:val="0"/>
          <w:i w:val="0"/>
          <w:color w:val="202124"/>
          <w:sz w:val="22"/>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35" w:name="body_211"/>
      <w:r>
        <w:rPr>
          <w:rFonts w:ascii="Arial" w:hAnsi="Arial"/>
          <w:b/>
          <w:color w:val="202124"/>
          <w:sz w:val="36"/>
        </w:rPr>
        <w:t>CHAPITRE 4 — IMPLÉMENTATION TECHNIQUE ET TESTS</w:t>
      </w:r>
      <w:bookmarkEnd w:id="135"/>
    </w:p>
    <w:p>
      <w:pPr>
        <w:pStyle w:val="Heading2"/>
      </w:pPr>
      <w:bookmarkStart w:id="136" w:name="body_212"/>
      <w:r>
        <w:rPr>
          <w:rFonts w:ascii="Arial" w:hAnsi="Arial"/>
          <w:b/>
          <w:color w:val="202124"/>
          <w:sz w:val="27"/>
        </w:rPr>
        <w:t>4.1 Introduction</w:t>
      </w:r>
      <w:bookmarkEnd w:id="136"/>
    </w:p>
    <w:p>
      <w:pPr>
        <w:spacing w:after="120"/>
        <w:jc w:val="both"/>
      </w:pPr>
      <w:r>
        <w:rPr>
          <w:rFonts w:ascii="Arial" w:hAnsi="Arial"/>
          <w:b w:val="0"/>
          <w:i w:val="0"/>
          <w:color w:val="202124"/>
          <w:sz w:val="22"/>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37" w:name="body_214"/>
      <w:r>
        <w:rPr>
          <w:rFonts w:ascii="Arial" w:hAnsi="Arial"/>
          <w:b/>
          <w:color w:val="202124"/>
          <w:sz w:val="27"/>
        </w:rPr>
        <w:t>4.2 Workflow proposé</w:t>
      </w:r>
      <w:bookmarkEnd w:id="137"/>
    </w:p>
    <w:p>
      <w:pPr>
        <w:spacing w:after="120"/>
        <w:jc w:val="both"/>
      </w:pPr>
      <w:r>
        <w:rPr>
          <w:rFonts w:ascii="Arial" w:hAnsi="Arial"/>
          <w:b w:val="0"/>
          <w:i w:val="0"/>
          <w:color w:val="202124"/>
          <w:sz w:val="22"/>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38" w:name="body_216"/>
      <w:r>
        <w:rPr>
          <w:rFonts w:ascii="Arial" w:hAnsi="Arial"/>
          <w:b/>
          <w:color w:val="202124"/>
          <w:sz w:val="27"/>
        </w:rPr>
        <w:t>4.3 Technologies utilisées</w:t>
      </w:r>
      <w:bookmarkEnd w:id="138"/>
    </w:p>
    <w:p>
      <w:pPr>
        <w:spacing w:after="120"/>
        <w:jc w:val="both"/>
      </w:pPr>
      <w:r>
        <w:rPr>
          <w:rFonts w:ascii="Arial" w:hAnsi="Arial"/>
          <w:b w:val="0"/>
          <w:i w:val="0"/>
          <w:color w:val="202124"/>
          <w:sz w:val="22"/>
        </w:rPr>
        <w:t>Le choix des technologies répond à une logique de responsabilités clairement séparées : FastAPI pour les contrats et l’asynchronisme, PostgreSQL pour les contraintes transactionnelles et l’historique, Redis et Celery pour les travaux différés, React pour l’investigation visible, et Docker Compose pour reproduire l’environnement de démonstration. Cette organisation facilite l’évolution indépendante des composants tout en conservant un parcours de bout en bout testable.</w:t>
      </w:r>
    </w:p>
    <w:p>
      <w:pPr>
        <w:spacing w:after="120"/>
        <w:jc w:val="both"/>
      </w:pPr>
      <w:r>
        <w:rPr>
          <w:rFonts w:ascii="Arial" w:hAnsi="Arial"/>
          <w:b w:val="0"/>
          <w:i w:val="0"/>
          <w:color w:val="202124"/>
          <w:sz w:val="22"/>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20"/>
        <w:jc w:val="both"/>
      </w:pPr>
      <w:r>
        <w:rPr>
          <w:rFonts w:ascii="Arial" w:hAnsi="Arial"/>
          <w:b w:val="0"/>
          <w:i w:val="0"/>
          <w:color w:val="202124"/>
          <w:sz w:val="22"/>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39" w:name="body_219"/>
      <w:r>
        <w:rPr>
          <w:rFonts w:ascii="Arial" w:hAnsi="Arial"/>
          <w:b/>
          <w:color w:val="202124"/>
          <w:sz w:val="27"/>
        </w:rPr>
        <w:t>4.4 Présentation des interfaces</w:t>
      </w:r>
      <w:bookmarkEnd w:id="139"/>
    </w:p>
    <w:p>
      <w:pPr>
        <w:spacing w:after="120"/>
        <w:jc w:val="both"/>
      </w:pPr>
      <w:r>
        <w:rPr>
          <w:rFonts w:ascii="Arial" w:hAnsi="Arial"/>
          <w:b w:val="0"/>
          <w:i w:val="0"/>
          <w:color w:val="202124"/>
          <w:sz w:val="22"/>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r>
        <w:rPr>
          <w:rFonts w:ascii="Arial" w:hAnsi="Arial"/>
          <w:b/>
          <w:color w:val="202124"/>
          <w:sz w:val="23"/>
        </w:rPr>
        <w:t>4.4.1 Vue Opérations</w:t>
      </w:r>
    </w:p>
    <w:p>
      <w:pPr>
        <w:spacing w:after="120"/>
        <w:jc w:val="both"/>
      </w:pPr>
      <w:r>
        <w:rPr>
          <w:rFonts w:ascii="Arial" w:hAnsi="Arial"/>
          <w:b w:val="0"/>
          <w:i w:val="0"/>
          <w:color w:val="202124"/>
          <w:sz w:val="22"/>
        </w:rPr>
        <w:t>La page Opérations constitue le point d’entrée de la démonstration. Elle affiche la file d’incidents triée par sévérité, le nombre de tables actives, les sources connectées, le score de santé et le dernier profil de chaque actif.</w:t>
      </w:r>
    </w:p>
    <w:p>
      <w:pPr>
        <w:keepNext/>
        <w:spacing w:before="160" w:after="0"/>
        <w:jc w:val="center"/>
      </w:pPr>
      <w:r>
        <w:drawing>
          <wp:inline xmlns:a="http://schemas.openxmlformats.org/drawingml/2006/main" xmlns:pic="http://schemas.openxmlformats.org/drawingml/2006/picture">
            <wp:extent cx="5688000" cy="3555000"/>
            <wp:docPr id="7" name="Picture 7" descr="Vue Opérations et file d’incidents prioritaires"/>
            <wp:cNvGraphicFramePr>
              <a:graphicFrameLocks noChangeAspect="1"/>
            </wp:cNvGraphicFramePr>
            <a:graphic>
              <a:graphicData uri="http://schemas.openxmlformats.org/drawingml/2006/picture">
                <pic:pic>
                  <pic:nvPicPr>
                    <pic:cNvPr id="0" name="01-operations-report.png"/>
                    <pic:cNvPicPr/>
                  </pic:nvPicPr>
                  <pic:blipFill>
                    <a:blip r:embed="rId21"/>
                    <a:stretch>
                      <a:fillRect/>
                    </a:stretch>
                  </pic:blipFill>
                  <pic:spPr>
                    <a:xfrm>
                      <a:off x="0" y="0"/>
                      <a:ext cx="5688000" cy="3555000"/>
                    </a:xfrm>
                    <a:prstGeom prst="rect"/>
                  </pic:spPr>
                </pic:pic>
              </a:graphicData>
            </a:graphic>
          </wp:inline>
        </w:drawing>
      </w:r>
    </w:p>
    <w:p>
      <w:pPr>
        <w:pStyle w:val="Caption"/>
      </w:pPr>
      <w:bookmarkStart w:id="140" w:name="fig_4_1"/>
      <w:r>
        <w:rPr>
          <w:rFonts w:ascii="Arial" w:hAnsi="Arial"/>
          <w:b/>
          <w:color w:val="B1202D"/>
          <w:sz w:val="18"/>
        </w:rPr>
        <w:t>Figure 4.1</w:t>
      </w:r>
      <w:r>
        <w:rPr>
          <w:rFonts w:ascii="Arial" w:hAnsi="Arial"/>
          <w:color w:val="5F6368"/>
          <w:sz w:val="18"/>
        </w:rPr>
        <w:t xml:space="preserve"> — Vue Opérations et file d’incidents prioritaires</w:t>
      </w:r>
      <w:bookmarkEnd w:id="140"/>
    </w:p>
    <w:p>
      <w:pPr>
        <w:pStyle w:val="Heading3"/>
      </w:pPr>
      <w:r>
        <w:rPr>
          <w:rFonts w:ascii="Arial" w:hAnsi="Arial"/>
          <w:b/>
          <w:color w:val="202124"/>
          <w:sz w:val="23"/>
        </w:rPr>
        <w:t>4.4.2 Détail de l’incident P1</w:t>
      </w:r>
    </w:p>
    <w:p>
      <w:pPr>
        <w:spacing w:after="120"/>
        <w:jc w:val="both"/>
      </w:pPr>
      <w:r>
        <w:rPr>
          <w:rFonts w:ascii="Arial" w:hAnsi="Arial"/>
          <w:b w:val="0"/>
          <w:i w:val="0"/>
          <w:color w:val="202124"/>
          <w:sz w:val="22"/>
        </w:rPr>
        <w:t>La fiche incident réunit la chronologie, les contrôles échoués, les valeurs observées, l’analyse IA, les causes probables, les actions recommandées et une requête de diagnostic copiable. Les hypothèses générées restent distinctes des faits mesurés.</w:t>
      </w:r>
    </w:p>
    <w:p>
      <w:pPr>
        <w:keepNext/>
        <w:spacing w:before="160" w:after="0"/>
        <w:jc w:val="center"/>
      </w:pPr>
      <w:r>
        <w:drawing>
          <wp:inline xmlns:a="http://schemas.openxmlformats.org/drawingml/2006/main" xmlns:pic="http://schemas.openxmlformats.org/drawingml/2006/picture">
            <wp:extent cx="5688000" cy="3555000"/>
            <wp:docPr id="8" name="Picture 8" descr="Détail de l’incident critique orders"/>
            <wp:cNvGraphicFramePr>
              <a:graphicFrameLocks noChangeAspect="1"/>
            </wp:cNvGraphicFramePr>
            <a:graphic>
              <a:graphicData uri="http://schemas.openxmlformats.org/drawingml/2006/picture">
                <pic:pic>
                  <pic:nvPicPr>
                    <pic:cNvPr id="0" name="02-incident-orders-report.png"/>
                    <pic:cNvPicPr/>
                  </pic:nvPicPr>
                  <pic:blipFill>
                    <a:blip r:embed="rId22"/>
                    <a:stretch>
                      <a:fillRect/>
                    </a:stretch>
                  </pic:blipFill>
                  <pic:spPr>
                    <a:xfrm>
                      <a:off x="0" y="0"/>
                      <a:ext cx="5688000" cy="3555000"/>
                    </a:xfrm>
                    <a:prstGeom prst="rect"/>
                  </pic:spPr>
                </pic:pic>
              </a:graphicData>
            </a:graphic>
          </wp:inline>
        </w:drawing>
      </w:r>
    </w:p>
    <w:p>
      <w:pPr>
        <w:pStyle w:val="Caption"/>
      </w:pPr>
      <w:bookmarkStart w:id="141" w:name="fig_4_2"/>
      <w:r>
        <w:rPr>
          <w:rFonts w:ascii="Arial" w:hAnsi="Arial"/>
          <w:b/>
          <w:color w:val="B1202D"/>
          <w:sz w:val="18"/>
        </w:rPr>
        <w:t>Figure 4.2</w:t>
      </w:r>
      <w:r>
        <w:rPr>
          <w:rFonts w:ascii="Arial" w:hAnsi="Arial"/>
          <w:color w:val="5F6368"/>
          <w:sz w:val="18"/>
        </w:rPr>
        <w:t xml:space="preserve"> — Détail de l’incident critique orders</w:t>
      </w:r>
      <w:bookmarkEnd w:id="141"/>
    </w:p>
    <w:p>
      <w:pPr>
        <w:pStyle w:val="Heading3"/>
      </w:pPr>
      <w:r>
        <w:rPr>
          <w:rFonts w:ascii="Arial" w:hAnsi="Arial"/>
          <w:b/>
          <w:color w:val="202124"/>
          <w:sz w:val="23"/>
        </w:rPr>
        <w:t>4.4.3 Détail de la table surveillée</w:t>
      </w:r>
    </w:p>
    <w:p>
      <w:pPr>
        <w:spacing w:after="120"/>
        <w:jc w:val="both"/>
      </w:pPr>
      <w:r>
        <w:rPr>
          <w:rFonts w:ascii="Arial" w:hAnsi="Arial"/>
          <w:b w:val="0"/>
          <w:i w:val="0"/>
          <w:color w:val="202124"/>
          <w:sz w:val="22"/>
        </w:rPr>
        <w:t>Cette vue relie l’incident à l’actif concerné. Elle permet de présenter l’historique des profils et l’évolution des métriques de qualité avant et après l’anomalie.</w:t>
      </w:r>
    </w:p>
    <w:p>
      <w:pPr>
        <w:keepNext/>
        <w:spacing w:before="160" w:after="0"/>
        <w:jc w:val="center"/>
      </w:pPr>
      <w:r>
        <w:drawing>
          <wp:inline xmlns:a="http://schemas.openxmlformats.org/drawingml/2006/main" xmlns:pic="http://schemas.openxmlformats.org/drawingml/2006/picture">
            <wp:extent cx="5688000" cy="3555000"/>
            <wp:docPr id="9" name="Picture 9" descr="Profil et métriques de la table orders"/>
            <wp:cNvGraphicFramePr>
              <a:graphicFrameLocks noChangeAspect="1"/>
            </wp:cNvGraphicFramePr>
            <a:graphic>
              <a:graphicData uri="http://schemas.openxmlformats.org/drawingml/2006/picture">
                <pic:pic>
                  <pic:nvPicPr>
                    <pic:cNvPr id="0" name="03-table-orders-report.png"/>
                    <pic:cNvPicPr/>
                  </pic:nvPicPr>
                  <pic:blipFill>
                    <a:blip r:embed="rId23"/>
                    <a:stretch>
                      <a:fillRect/>
                    </a:stretch>
                  </pic:blipFill>
                  <pic:spPr>
                    <a:xfrm>
                      <a:off x="0" y="0"/>
                      <a:ext cx="5688000" cy="3555000"/>
                    </a:xfrm>
                    <a:prstGeom prst="rect"/>
                  </pic:spPr>
                </pic:pic>
              </a:graphicData>
            </a:graphic>
          </wp:inline>
        </w:drawing>
      </w:r>
    </w:p>
    <w:p>
      <w:pPr>
        <w:pStyle w:val="Caption"/>
      </w:pPr>
      <w:bookmarkStart w:id="142" w:name="fig_4_3"/>
      <w:r>
        <w:rPr>
          <w:rFonts w:ascii="Arial" w:hAnsi="Arial"/>
          <w:b/>
          <w:color w:val="B1202D"/>
          <w:sz w:val="18"/>
        </w:rPr>
        <w:t>Figure 4.3</w:t>
      </w:r>
      <w:r>
        <w:rPr>
          <w:rFonts w:ascii="Arial" w:hAnsi="Arial"/>
          <w:color w:val="5F6368"/>
          <w:sz w:val="18"/>
        </w:rPr>
        <w:t xml:space="preserve"> — Profil et métriques de la table orders</w:t>
      </w:r>
      <w:bookmarkEnd w:id="142"/>
    </w:p>
    <w:p>
      <w:pPr>
        <w:pStyle w:val="Heading3"/>
      </w:pPr>
      <w:r>
        <w:rPr>
          <w:rFonts w:ascii="Arial" w:hAnsi="Arial"/>
          <w:b/>
          <w:color w:val="202124"/>
          <w:sz w:val="23"/>
        </w:rPr>
        <w:t>4.4.4 Alertes et gouvernance IA</w:t>
      </w:r>
    </w:p>
    <w:p>
      <w:pPr>
        <w:spacing w:after="120"/>
        <w:jc w:val="both"/>
      </w:pPr>
      <w:r>
        <w:rPr>
          <w:rFonts w:ascii="Arial" w:hAnsi="Arial"/>
          <w:b w:val="0"/>
          <w:i w:val="0"/>
          <w:color w:val="202124"/>
          <w:sz w:val="22"/>
        </w:rPr>
        <w:t>La démonstration se poursuit dans Paramètres → Alertes avec la route email P1/P2, puis dans MailHog pour la preuve de livraison. La page Gouvernance IA présente l’inventaire, les usages déclarés, la provenance des preuves et les raisons des contrôles, dans une frontière explicitement observe-only.</w:t>
      </w:r>
    </w:p>
    <w:p>
      <w:pPr>
        <w:keepNext/>
        <w:spacing w:before="160" w:after="0"/>
        <w:jc w:val="center"/>
      </w:pPr>
      <w:r>
        <w:drawing>
          <wp:inline xmlns:a="http://schemas.openxmlformats.org/drawingml/2006/main" xmlns:pic="http://schemas.openxmlformats.org/drawingml/2006/picture">
            <wp:extent cx="5688000" cy="3555000"/>
            <wp:docPr id="10" name="Picture 10" descr="Route d’alerte e-mail configurée pour la démonstration"/>
            <wp:cNvGraphicFramePr>
              <a:graphicFrameLocks noChangeAspect="1"/>
            </wp:cNvGraphicFramePr>
            <a:graphic>
              <a:graphicData uri="http://schemas.openxmlformats.org/drawingml/2006/picture">
                <pic:pic>
                  <pic:nvPicPr>
                    <pic:cNvPr id="0" name="04-alerts-report.png"/>
                    <pic:cNvPicPr/>
                  </pic:nvPicPr>
                  <pic:blipFill>
                    <a:blip r:embed="rId24"/>
                    <a:stretch>
                      <a:fillRect/>
                    </a:stretch>
                  </pic:blipFill>
                  <pic:spPr>
                    <a:xfrm>
                      <a:off x="0" y="0"/>
                      <a:ext cx="5688000" cy="3555000"/>
                    </a:xfrm>
                    <a:prstGeom prst="rect"/>
                  </pic:spPr>
                </pic:pic>
              </a:graphicData>
            </a:graphic>
          </wp:inline>
        </w:drawing>
      </w:r>
    </w:p>
    <w:p>
      <w:pPr>
        <w:pStyle w:val="Caption"/>
      </w:pPr>
      <w:bookmarkStart w:id="143" w:name="fig_4_4"/>
      <w:r>
        <w:rPr>
          <w:rFonts w:ascii="Arial" w:hAnsi="Arial"/>
          <w:b/>
          <w:color w:val="B1202D"/>
          <w:sz w:val="18"/>
        </w:rPr>
        <w:t>Figure 4.4</w:t>
      </w:r>
      <w:r>
        <w:rPr>
          <w:rFonts w:ascii="Arial" w:hAnsi="Arial"/>
          <w:color w:val="5F6368"/>
          <w:sz w:val="18"/>
        </w:rPr>
        <w:t xml:space="preserve"> — Route d’alerte e-mail configurée pour la démonstration</w:t>
      </w:r>
      <w:bookmarkEnd w:id="143"/>
    </w:p>
    <w:p>
      <w:pPr>
        <w:keepNext/>
        <w:spacing w:before="160" w:after="0"/>
        <w:jc w:val="center"/>
      </w:pPr>
      <w:r>
        <w:drawing>
          <wp:inline xmlns:a="http://schemas.openxmlformats.org/drawingml/2006/main" xmlns:pic="http://schemas.openxmlformats.org/drawingml/2006/picture">
            <wp:extent cx="5688000" cy="3555000"/>
            <wp:docPr id="11" name="Picture 11" descr="File de travail de gouvernance IA en mode observe-only"/>
            <wp:cNvGraphicFramePr>
              <a:graphicFrameLocks noChangeAspect="1"/>
            </wp:cNvGraphicFramePr>
            <a:graphic>
              <a:graphicData uri="http://schemas.openxmlformats.org/drawingml/2006/picture">
                <pic:pic>
                  <pic:nvPicPr>
                    <pic:cNvPr id="0" name="05-ai-governance-report.png"/>
                    <pic:cNvPicPr/>
                  </pic:nvPicPr>
                  <pic:blipFill>
                    <a:blip r:embed="rId25"/>
                    <a:stretch>
                      <a:fillRect/>
                    </a:stretch>
                  </pic:blipFill>
                  <pic:spPr>
                    <a:xfrm>
                      <a:off x="0" y="0"/>
                      <a:ext cx="5688000" cy="3555000"/>
                    </a:xfrm>
                    <a:prstGeom prst="rect"/>
                  </pic:spPr>
                </pic:pic>
              </a:graphicData>
            </a:graphic>
          </wp:inline>
        </w:drawing>
      </w:r>
    </w:p>
    <w:p>
      <w:pPr>
        <w:pStyle w:val="Caption"/>
      </w:pPr>
      <w:bookmarkStart w:id="144" w:name="fig_4_5"/>
      <w:r>
        <w:rPr>
          <w:rFonts w:ascii="Arial" w:hAnsi="Arial"/>
          <w:b/>
          <w:color w:val="B1202D"/>
          <w:sz w:val="18"/>
        </w:rPr>
        <w:t>Figure 4.5</w:t>
      </w:r>
      <w:r>
        <w:rPr>
          <w:rFonts w:ascii="Arial" w:hAnsi="Arial"/>
          <w:color w:val="5F6368"/>
          <w:sz w:val="18"/>
        </w:rPr>
        <w:t xml:space="preserve"> — File de travail de gouvernance IA en mode observe-only</w:t>
      </w:r>
      <w:bookmarkEnd w:id="144"/>
    </w:p>
    <w:p>
      <w:pPr>
        <w:pStyle w:val="Heading3"/>
      </w:pPr>
      <w:r>
        <w:rPr>
          <w:rFonts w:ascii="Arial" w:hAnsi="Arial"/>
          <w:b/>
          <w:color w:val="202124"/>
          <w:sz w:val="23"/>
        </w:rPr>
        <w:t>4.4.5 Règles de présentation des captures</w:t>
      </w:r>
    </w:p>
    <w:p>
      <w:pPr>
        <w:spacing w:after="120"/>
        <w:jc w:val="both"/>
      </w:pPr>
      <w:r>
        <w:rPr>
          <w:rFonts w:ascii="Arial" w:hAnsi="Arial"/>
          <w:b w:val="0"/>
          <w:i w:val="0"/>
          <w:color w:val="202124"/>
          <w:sz w:val="22"/>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keepNext/>
        <w:spacing w:before="160" w:after="0"/>
        <w:jc w:val="center"/>
      </w:pPr>
      <w:r>
        <w:drawing>
          <wp:inline xmlns:a="http://schemas.openxmlformats.org/drawingml/2006/main" xmlns:pic="http://schemas.openxmlformats.org/drawingml/2006/picture">
            <wp:extent cx="5688000" cy="1556715"/>
            <wp:docPr id="12" name="Picture 12" descr="Parcours de démonstration de l’incident orders"/>
            <wp:cNvGraphicFramePr>
              <a:graphicFrameLocks noChangeAspect="1"/>
            </wp:cNvGraphicFramePr>
            <a:graphic>
              <a:graphicData uri="http://schemas.openxmlformats.org/drawingml/2006/picture">
                <pic:pic>
                  <pic:nvPicPr>
                    <pic:cNvPr id="0" name="demo_flow-doc.png"/>
                    <pic:cNvPicPr/>
                  </pic:nvPicPr>
                  <pic:blipFill>
                    <a:blip r:embed="rId26"/>
                    <a:stretch>
                      <a:fillRect/>
                    </a:stretch>
                  </pic:blipFill>
                  <pic:spPr>
                    <a:xfrm>
                      <a:off x="0" y="0"/>
                      <a:ext cx="5688000" cy="1556715"/>
                    </a:xfrm>
                    <a:prstGeom prst="rect"/>
                  </pic:spPr>
                </pic:pic>
              </a:graphicData>
            </a:graphic>
          </wp:inline>
        </w:drawing>
      </w:r>
    </w:p>
    <w:p>
      <w:pPr>
        <w:pStyle w:val="Caption"/>
      </w:pPr>
      <w:bookmarkStart w:id="145" w:name="fig_4_6"/>
      <w:r>
        <w:rPr>
          <w:rFonts w:ascii="Arial" w:hAnsi="Arial"/>
          <w:b/>
          <w:color w:val="B1202D"/>
          <w:sz w:val="18"/>
        </w:rPr>
        <w:t>Figure 4.6</w:t>
      </w:r>
      <w:r>
        <w:rPr>
          <w:rFonts w:ascii="Arial" w:hAnsi="Arial"/>
          <w:color w:val="5F6368"/>
          <w:sz w:val="18"/>
        </w:rPr>
        <w:t xml:space="preserve"> — Parcours de démonstration de l’incident orders</w:t>
      </w:r>
      <w:bookmarkEnd w:id="145"/>
    </w:p>
    <w:p>
      <w:pPr>
        <w:pStyle w:val="Heading2"/>
      </w:pPr>
      <w:bookmarkStart w:id="146" w:name="body_247"/>
      <w:r>
        <w:rPr>
          <w:rFonts w:ascii="Arial" w:hAnsi="Arial"/>
          <w:b/>
          <w:color w:val="202124"/>
          <w:sz w:val="27"/>
        </w:rPr>
        <w:t>4.5 Tests et validation</w:t>
      </w:r>
      <w:bookmarkEnd w:id="146"/>
    </w:p>
    <w:p>
      <w:pPr>
        <w:spacing w:after="120"/>
        <w:jc w:val="both"/>
      </w:pPr>
      <w:r>
        <w:rPr>
          <w:rFonts w:ascii="Arial" w:hAnsi="Arial"/>
          <w:b w:val="0"/>
          <w:i w:val="0"/>
          <w:color w:val="202124"/>
          <w:sz w:val="22"/>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Arial" w:hAnsi="Arial"/>
          <w:b/>
          <w:i w:val="0"/>
          <w:color w:val="202124"/>
          <w:sz w:val="22"/>
        </w:rPr>
        <w:t>VALIDATION REJOUÉE SUR LA PILE LOCALE SEEDÉE</w:t>
      </w:r>
    </w:p>
    <w:p>
      <w:pPr>
        <w:spacing w:after="120"/>
        <w:jc w:val="both"/>
      </w:pPr>
      <w:r>
        <w:rPr>
          <w:rFonts w:ascii="Arial" w:hAnsi="Arial"/>
          <w:b w:val="0"/>
          <w:i w:val="0"/>
          <w:color w:val="202124"/>
          <w:sz w:val="22"/>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20"/>
        <w:jc w:val="both"/>
      </w:pPr>
      <w:r>
        <w:rPr>
          <w:rFonts w:ascii="Arial" w:hAnsi="Arial"/>
          <w:b w:val="0"/>
          <w:i w:val="0"/>
          <w:color w:val="202124"/>
          <w:sz w:val="22"/>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20"/>
        <w:jc w:val="both"/>
      </w:pPr>
      <w:r>
        <w:rPr>
          <w:rFonts w:ascii="Arial" w:hAnsi="Arial"/>
          <w:b w:val="0"/>
          <w:i w:val="0"/>
          <w:color w:val="202124"/>
          <w:sz w:val="22"/>
        </w:rPr>
        <w:t>La suite backend exécutée directement dans l’image de service valide 321 tests, en ignore 50 et échoue sur deux contrôles qui supposent que la racine complète du dépôt est montée dans le conteneur. Le rejeu strict depuis l’environnement hôte révèle par ailleurs une incompatibilité Python 3.14/pytest-asyncio et l’absence des services optionnels Cassandra, MySQL, MariaDB et MongoDB. Ces résultats sont consignés comme limites de l’environnement, et non présentés comme une validation totale.</w:t>
      </w:r>
    </w:p>
    <w:p>
      <w:pPr>
        <w:keepNext/>
        <w:spacing w:before="160" w:after="0"/>
        <w:jc w:val="center"/>
      </w:pPr>
      <w:r>
        <w:drawing>
          <wp:inline xmlns:a="http://schemas.openxmlformats.org/drawingml/2006/main" xmlns:pic="http://schemas.openxmlformats.org/drawingml/2006/picture">
            <wp:extent cx="5688000" cy="1643200"/>
            <wp:docPr id="13" name="Picture 13" descr="Synthèse des validations locales et de leurs limites"/>
            <wp:cNvGraphicFramePr>
              <a:graphicFrameLocks noChangeAspect="1"/>
            </wp:cNvGraphicFramePr>
            <a:graphic>
              <a:graphicData uri="http://schemas.openxmlformats.org/drawingml/2006/picture">
                <pic:pic>
                  <pic:nvPicPr>
                    <pic:cNvPr id="0" name="validation-doc.png"/>
                    <pic:cNvPicPr/>
                  </pic:nvPicPr>
                  <pic:blipFill>
                    <a:blip r:embed="rId27"/>
                    <a:stretch>
                      <a:fillRect/>
                    </a:stretch>
                  </pic:blipFill>
                  <pic:spPr>
                    <a:xfrm>
                      <a:off x="0" y="0"/>
                      <a:ext cx="5688000" cy="1643200"/>
                    </a:xfrm>
                    <a:prstGeom prst="rect"/>
                  </pic:spPr>
                </pic:pic>
              </a:graphicData>
            </a:graphic>
          </wp:inline>
        </w:drawing>
      </w:r>
    </w:p>
    <w:p>
      <w:pPr>
        <w:pStyle w:val="Caption"/>
      </w:pPr>
      <w:bookmarkStart w:id="147" w:name="fig_4_7"/>
      <w:r>
        <w:rPr>
          <w:rFonts w:ascii="Arial" w:hAnsi="Arial"/>
          <w:b/>
          <w:color w:val="B1202D"/>
          <w:sz w:val="18"/>
        </w:rPr>
        <w:t>Figure 4.7</w:t>
      </w:r>
      <w:r>
        <w:rPr>
          <w:rFonts w:ascii="Arial" w:hAnsi="Arial"/>
          <w:color w:val="5F6368"/>
          <w:sz w:val="18"/>
        </w:rPr>
        <w:t xml:space="preserve"> — Synthèse des validations locales et de leurs limites</w:t>
      </w:r>
      <w:bookmarkEnd w:id="147"/>
    </w:p>
    <w:p>
      <w:pPr>
        <w:pStyle w:val="Heading2"/>
      </w:pPr>
      <w:bookmarkStart w:id="148" w:name="body_254"/>
      <w:r>
        <w:rPr>
          <w:rFonts w:ascii="Arial" w:hAnsi="Arial"/>
          <w:b/>
          <w:color w:val="202124"/>
          <w:sz w:val="27"/>
        </w:rPr>
        <w:t>4.6 Discussion des limites</w:t>
      </w:r>
      <w:bookmarkEnd w:id="148"/>
    </w:p>
    <w:p>
      <w:pPr>
        <w:spacing w:after="120"/>
        <w:jc w:val="both"/>
      </w:pPr>
      <w:r>
        <w:rPr>
          <w:rFonts w:ascii="Arial" w:hAnsi="Arial"/>
          <w:b w:val="0"/>
          <w:i w:val="0"/>
          <w:color w:val="202124"/>
          <w:sz w:val="22"/>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observe l’état des preuves ; elle ne bloque pas l’exécution et ne certifie pas la conformité.</w:t>
      </w:r>
    </w:p>
    <w:p>
      <w:pPr>
        <w:pStyle w:val="Heading2"/>
      </w:pPr>
      <w:bookmarkStart w:id="149" w:name="body_256"/>
      <w:r>
        <w:rPr>
          <w:rFonts w:ascii="Arial" w:hAnsi="Arial"/>
          <w:b/>
          <w:color w:val="202124"/>
          <w:sz w:val="27"/>
        </w:rPr>
        <w:t>4.7 Conclusion</w:t>
      </w:r>
      <w:bookmarkEnd w:id="149"/>
    </w:p>
    <w:p>
      <w:pPr>
        <w:spacing w:after="120"/>
        <w:jc w:val="both"/>
      </w:pPr>
      <w:r>
        <w:rPr>
          <w:rFonts w:ascii="Arial" w:hAnsi="Arial"/>
          <w:b w:val="0"/>
          <w:i w:val="0"/>
          <w:color w:val="202124"/>
          <w:sz w:val="22"/>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150" w:name="body_258"/>
      <w:r>
        <w:rPr>
          <w:rFonts w:ascii="Arial" w:hAnsi="Arial"/>
          <w:b/>
          <w:color w:val="202124"/>
          <w:sz w:val="36"/>
        </w:rPr>
        <w:t>CONCLUSION GÉNÉRALE ET PERSPECTIVES</w:t>
      </w:r>
      <w:bookmarkEnd w:id="150"/>
    </w:p>
    <w:p>
      <w:pPr>
        <w:pStyle w:val="Heading2"/>
      </w:pPr>
      <w:bookmarkStart w:id="151" w:name="body_259"/>
      <w:r>
        <w:rPr>
          <w:rFonts w:ascii="Arial" w:hAnsi="Arial"/>
          <w:b/>
          <w:color w:val="202124"/>
          <w:sz w:val="27"/>
        </w:rPr>
        <w:t>Cadre du travail</w:t>
      </w:r>
      <w:bookmarkEnd w:id="151"/>
    </w:p>
    <w:p>
      <w:pPr>
        <w:spacing w:after="120"/>
        <w:jc w:val="both"/>
      </w:pPr>
      <w:r>
        <w:rPr>
          <w:rFonts w:ascii="Arial" w:hAnsi="Arial"/>
          <w:b w:val="0"/>
          <w:i w:val="0"/>
          <w:color w:val="202124"/>
          <w:sz w:val="22"/>
        </w:rPr>
        <w:t>Ce projet a permis de concevoir et réaliser DataWatch, une plateforme de surveillance de la qualité des données destinée à un contexte SaaS multi-tenant. La solution couvre l’enregistrement de sources, le profilage de tables, la détection hybride d’anomalies, la gestion d’incidents, l’alerte et l’assistance par narration IA. La conception privilégie le cloisonnement des organisations, la traçabilité, l’explicabilité et la validation reproductible.</w:t>
      </w:r>
    </w:p>
    <w:p>
      <w:pPr>
        <w:pStyle w:val="Heading2"/>
      </w:pPr>
      <w:bookmarkStart w:id="152" w:name="body_261"/>
      <w:r>
        <w:rPr>
          <w:rFonts w:ascii="Arial" w:hAnsi="Arial"/>
          <w:b/>
          <w:color w:val="202124"/>
          <w:sz w:val="27"/>
        </w:rPr>
        <w:t>Synthèse des apports</w:t>
      </w:r>
      <w:bookmarkEnd w:id="152"/>
    </w:p>
    <w:p>
      <w:pPr>
        <w:spacing w:after="120"/>
        <w:jc w:val="both"/>
      </w:pPr>
      <w:r>
        <w:rPr>
          <w:rFonts w:ascii="Arial" w:hAnsi="Arial"/>
          <w:b w:val="0"/>
          <w:i w:val="0"/>
          <w:color w:val="202124"/>
          <w:sz w:val="22"/>
        </w:rPr>
        <w:t>Le dépôt contient un parcours principal déterministe autour d’un incident P1 orders, de sa narration, des alertes et de la gouvernance IA. Dans la session de révision du rapport, la pile Docker a été démarrée et seedée, cinq parcours navigateur ont été rejoués avec succès et la narration de l’incident orders a été vérifiée. La suite backend a confirmé 321 tests dans l’image de service, avec 50 tests ignorés et deux échecs liés au montage incomplet de la racine du dépôt ; le rejeu strict a également exposé les dépendances optionnelles manquantes et l’incompatibilité de l’environnement Python 3.14. Les choix de preuve limitent volontairement les affirmations : les résultats locaux ne sont ni un SLA, ni une mesure de charge à grande échelle, ni une certification de conformité.</w:t>
      </w:r>
    </w:p>
    <w:p>
      <w:pPr>
        <w:pStyle w:val="Heading2"/>
      </w:pPr>
      <w:bookmarkStart w:id="153" w:name="body_263"/>
      <w:r>
        <w:rPr>
          <w:rFonts w:ascii="Arial" w:hAnsi="Arial"/>
          <w:b/>
          <w:color w:val="202124"/>
          <w:sz w:val="27"/>
        </w:rPr>
        <w:t>Perspectives</w:t>
      </w:r>
      <w:bookmarkEnd w:id="153"/>
    </w:p>
    <w:p>
      <w:pPr>
        <w:numPr>
          <w:ilvl w:val="0"/>
          <w:numId w:val="10"/>
        </w:numPr>
        <w:spacing w:after="80" w:line="288" w:lineRule="auto"/>
        <w:jc w:val="left"/>
      </w:pPr>
      <w:r>
        <w:rPr>
          <w:rFonts w:ascii="Arial" w:hAnsi="Arial"/>
          <w:color w:val="202124"/>
          <w:sz w:val="21"/>
        </w:rPr>
        <w:t>Mener des benchmarks répétés par connecteur, volume, largeur de schéma et niveau de concurrence.</w:t>
      </w:r>
    </w:p>
    <w:p>
      <w:pPr>
        <w:numPr>
          <w:ilvl w:val="0"/>
          <w:numId w:val="10"/>
        </w:numPr>
        <w:spacing w:after="80" w:line="288" w:lineRule="auto"/>
        <w:jc w:val="left"/>
      </w:pPr>
      <w:r>
        <w:rPr>
          <w:rFonts w:ascii="Arial" w:hAnsi="Arial"/>
          <w:color w:val="202124"/>
          <w:sz w:val="21"/>
        </w:rPr>
        <w:t>Évaluer précision, rappel et faux positifs des détecteurs sur des jeux de données annotés.</w:t>
      </w:r>
    </w:p>
    <w:p>
      <w:pPr>
        <w:numPr>
          <w:ilvl w:val="0"/>
          <w:numId w:val="10"/>
        </w:numPr>
        <w:spacing w:after="80" w:line="288" w:lineRule="auto"/>
        <w:jc w:val="left"/>
      </w:pPr>
      <w:r>
        <w:rPr>
          <w:rFonts w:ascii="Arial" w:hAnsi="Arial"/>
          <w:color w:val="202124"/>
          <w:sz w:val="21"/>
        </w:rPr>
        <w:t>Ajouter des packs de politiques, exceptions temporaires et gates de publication explicitement gouvernés.</w:t>
      </w:r>
    </w:p>
    <w:p>
      <w:pPr>
        <w:numPr>
          <w:ilvl w:val="0"/>
          <w:numId w:val="10"/>
        </w:numPr>
        <w:spacing w:after="80" w:line="288" w:lineRule="auto"/>
        <w:jc w:val="left"/>
      </w:pPr>
      <w:r>
        <w:rPr>
          <w:rFonts w:ascii="Arial" w:hAnsi="Arial"/>
          <w:color w:val="202124"/>
          <w:sz w:val="21"/>
        </w:rPr>
        <w:t>Étendre les validations verticales des connecteurs cloud avec des identifiants et coûts contrôlés.</w:t>
      </w:r>
    </w:p>
    <w:p>
      <w:pPr>
        <w:numPr>
          <w:ilvl w:val="0"/>
          <w:numId w:val="10"/>
        </w:numPr>
        <w:spacing w:after="80" w:line="288" w:lineRule="auto"/>
        <w:jc w:val="left"/>
      </w:pPr>
      <w:r>
        <w:rPr>
          <w:rFonts w:ascii="Arial" w:hAnsi="Arial"/>
          <w:color w:val="202124"/>
          <w:sz w:val="21"/>
        </w:rPr>
        <w:t>Mettre en place des mécanismes de feedback humain sur les narrations IA et leurs hypothèses.</w:t>
      </w:r>
    </w:p>
    <w:p>
      <w:pPr>
        <w:numPr>
          <w:ilvl w:val="0"/>
          <w:numId w:val="10"/>
        </w:numPr>
        <w:spacing w:after="80" w:line="288" w:lineRule="auto"/>
        <w:jc w:val="left"/>
      </w:pPr>
      <w:r>
        <w:rPr>
          <w:rFonts w:ascii="Arial" w:hAnsi="Arial"/>
          <w:color w:val="202124"/>
          <w:sz w:val="21"/>
        </w:rPr>
        <w:t>Industrialiser les exports de preuves et les tableaux de bord de conformité sans assimiler observation et certification.</w:t>
      </w:r>
    </w:p>
    <w:p>
      <w:pPr>
        <w:pStyle w:val="Heading1"/>
        <w:jc w:val="left"/>
        <w:pBdr>
          <w:bottom w:val="single" w:sz="14" w:space="6" w:color="B1202D"/>
        </w:pBdr>
      </w:pPr>
      <w:bookmarkStart w:id="154" w:name="body_270"/>
      <w:r>
        <w:rPr>
          <w:rFonts w:ascii="Arial" w:hAnsi="Arial"/>
          <w:b/>
          <w:color w:val="202124"/>
          <w:sz w:val="36"/>
        </w:rPr>
        <w:t>RÉFÉRENCES</w:t>
      </w:r>
      <w:bookmarkEnd w:id="154"/>
    </w:p>
    <w:p>
      <w:pPr>
        <w:spacing w:after="100"/>
        <w:ind w:left="397" w:hanging="397"/>
        <w:jc w:val="left"/>
      </w:pPr>
      <w:r>
        <w:rPr>
          <w:rFonts w:ascii="Arial" w:hAnsi="Arial"/>
          <w:b w:val="0"/>
          <w:i w:val="0"/>
          <w:color w:val="202124"/>
          <w:sz w:val="19"/>
        </w:rPr>
        <w:t>[1] DataWatch, Documentation d’architecture du projet, dépôt source, consultée en août 2026.</w:t>
      </w:r>
    </w:p>
    <w:p>
      <w:pPr>
        <w:spacing w:after="100"/>
        <w:ind w:left="397" w:hanging="397"/>
        <w:jc w:val="left"/>
      </w:pPr>
      <w:r>
        <w:rPr>
          <w:rFonts w:ascii="Arial" w:hAnsi="Arial"/>
          <w:b w:val="0"/>
          <w:i w:val="0"/>
          <w:color w:val="202124"/>
          <w:sz w:val="19"/>
        </w:rPr>
        <w:t>[2] DataWatch, Release verification baseline — 2026-08-21, dossier docs/evidence du projet.</w:t>
      </w:r>
    </w:p>
    <w:p>
      <w:pPr>
        <w:spacing w:after="100"/>
        <w:ind w:left="397" w:hanging="397"/>
        <w:jc w:val="left"/>
      </w:pPr>
      <w:r>
        <w:rPr>
          <w:rFonts w:ascii="Arial" w:hAnsi="Arial"/>
          <w:b w:val="0"/>
          <w:i w:val="0"/>
          <w:color w:val="202124"/>
          <w:sz w:val="19"/>
        </w:rPr>
        <w:t>[3] DataWatch, AI governance phase-two evidence — 2026-08-21, dossier docs/evidence du projet.</w:t>
      </w:r>
    </w:p>
    <w:p>
      <w:pPr>
        <w:spacing w:after="100"/>
        <w:ind w:left="397" w:hanging="397"/>
        <w:jc w:val="left"/>
      </w:pPr>
      <w:r>
        <w:rPr>
          <w:rFonts w:ascii="Arial" w:hAnsi="Arial"/>
          <w:b w:val="0"/>
          <w:i w:val="0"/>
          <w:color w:val="202124"/>
          <w:sz w:val="19"/>
        </w:rPr>
        <w:t>[4] FastAPI, Documentation officielle. https://fastapi.tiangolo.com/</w:t>
      </w:r>
    </w:p>
    <w:p>
      <w:pPr>
        <w:spacing w:after="100"/>
        <w:ind w:left="397" w:hanging="397"/>
        <w:jc w:val="left"/>
      </w:pPr>
      <w:r>
        <w:rPr>
          <w:rFonts w:ascii="Arial" w:hAnsi="Arial"/>
          <w:b w:val="0"/>
          <w:i w:val="0"/>
          <w:color w:val="202124"/>
          <w:sz w:val="19"/>
        </w:rPr>
        <w:t>[5] PostgreSQL Global Development Group, Documentation PostgreSQL. https://www.postgresql.org/docs/</w:t>
      </w:r>
    </w:p>
    <w:p>
      <w:pPr>
        <w:spacing w:after="100"/>
        <w:ind w:left="397" w:hanging="397"/>
        <w:jc w:val="left"/>
      </w:pPr>
      <w:r>
        <w:rPr>
          <w:rFonts w:ascii="Arial" w:hAnsi="Arial"/>
          <w:b w:val="0"/>
          <w:i w:val="0"/>
          <w:color w:val="202124"/>
          <w:sz w:val="19"/>
        </w:rPr>
        <w:t>[6] React, Documentation officielle. https://react.dev/</w:t>
      </w:r>
    </w:p>
    <w:p>
      <w:pPr>
        <w:spacing w:after="100"/>
        <w:ind w:left="397" w:hanging="397"/>
        <w:jc w:val="left"/>
      </w:pPr>
      <w:r>
        <w:rPr>
          <w:rFonts w:ascii="Arial" w:hAnsi="Arial"/>
          <w:b w:val="0"/>
          <w:i w:val="0"/>
          <w:color w:val="202124"/>
          <w:sz w:val="19"/>
        </w:rPr>
        <w:t>[7] Celery Project, Documentation officielle. https://docs.celeryq.dev/</w:t>
      </w:r>
    </w:p>
    <w:p>
      <w:pPr>
        <w:spacing w:after="100"/>
        <w:ind w:left="397" w:hanging="397"/>
        <w:jc w:val="left"/>
      </w:pPr>
      <w:r>
        <w:rPr>
          <w:rFonts w:ascii="Arial" w:hAnsi="Arial"/>
          <w:b w:val="0"/>
          <w:i w:val="0"/>
          <w:color w:val="202124"/>
          <w:sz w:val="19"/>
        </w:rPr>
        <w:t>[8] Docker, Documentation officielle. https://docs.docker.com/</w:t>
      </w:r>
    </w:p>
    <w:p>
      <w:pPr>
        <w:spacing w:after="100"/>
        <w:ind w:left="397" w:hanging="397"/>
        <w:jc w:val="left"/>
      </w:pPr>
      <w:r>
        <w:rPr>
          <w:rFonts w:ascii="Arial" w:hAnsi="Arial"/>
          <w:b w:val="0"/>
          <w:i w:val="0"/>
          <w:color w:val="202124"/>
          <w:sz w:val="19"/>
        </w:rPr>
        <w:t>[9] ISO/IEC 25010:2023, Systems and software engineering — Product quality model.</w:t>
      </w:r>
    </w:p>
    <w:p>
      <w:pPr>
        <w:pStyle w:val="Heading1"/>
        <w:jc w:val="left"/>
        <w:pBdr>
          <w:bottom w:val="single" w:sz="14" w:space="6" w:color="B1202D"/>
        </w:pBdr>
      </w:pPr>
      <w:bookmarkStart w:id="155" w:name="body_280"/>
      <w:r>
        <w:rPr>
          <w:rFonts w:ascii="Arial" w:hAnsi="Arial"/>
          <w:b/>
          <w:color w:val="202124"/>
          <w:sz w:val="36"/>
        </w:rPr>
        <w:t>ANNEXES</w:t>
      </w:r>
      <w:bookmarkEnd w:id="155"/>
    </w:p>
    <w:p>
      <w:pPr>
        <w:pStyle w:val="Heading2"/>
      </w:pPr>
      <w:bookmarkStart w:id="156" w:name="body_281"/>
      <w:r>
        <w:rPr>
          <w:rFonts w:ascii="Arial" w:hAnsi="Arial"/>
          <w:b/>
          <w:color w:val="202124"/>
          <w:sz w:val="27"/>
        </w:rPr>
        <w:t>Annexe A — Procédure de démonstration</w:t>
      </w:r>
      <w:bookmarkEnd w:id="156"/>
    </w:p>
    <w:p>
      <w:pPr>
        <w:numPr>
          <w:ilvl w:val="0"/>
          <w:numId w:val="11"/>
        </w:numPr>
        <w:spacing w:after="80" w:line="288" w:lineRule="auto"/>
        <w:jc w:val="left"/>
      </w:pPr>
      <w:r>
        <w:rPr>
          <w:rFonts w:ascii="Arial" w:hAnsi="Arial"/>
          <w:color w:val="202124"/>
          <w:sz w:val="21"/>
        </w:rPr>
        <w:t>Démarrer la pile Docker et exécuter le seed déterministe.</w:t>
      </w:r>
    </w:p>
    <w:p>
      <w:pPr>
        <w:numPr>
          <w:ilvl w:val="0"/>
          <w:numId w:val="11"/>
        </w:numPr>
        <w:spacing w:after="80" w:line="288" w:lineRule="auto"/>
        <w:jc w:val="left"/>
      </w:pPr>
      <w:r>
        <w:rPr>
          <w:rFonts w:ascii="Arial" w:hAnsi="Arial"/>
          <w:color w:val="202124"/>
          <w:sz w:val="21"/>
        </w:rPr>
        <w:t>Se connecter à l’espace Acme et ouvrir Opérations.</w:t>
      </w:r>
    </w:p>
    <w:p>
      <w:pPr>
        <w:numPr>
          <w:ilvl w:val="0"/>
          <w:numId w:val="11"/>
        </w:numPr>
        <w:spacing w:after="80" w:line="288" w:lineRule="auto"/>
        <w:jc w:val="left"/>
      </w:pPr>
      <w:r>
        <w:rPr>
          <w:rFonts w:ascii="Arial" w:hAnsi="Arial"/>
          <w:color w:val="202124"/>
          <w:sz w:val="21"/>
        </w:rPr>
        <w:t>Ouvrir l’incident P1 orders, puis présenter les signaux, la narration et les actions.</w:t>
      </w:r>
    </w:p>
    <w:p>
      <w:pPr>
        <w:numPr>
          <w:ilvl w:val="0"/>
          <w:numId w:val="11"/>
        </w:numPr>
        <w:spacing w:after="80" w:line="288" w:lineRule="auto"/>
        <w:jc w:val="left"/>
      </w:pPr>
      <w:r>
        <w:rPr>
          <w:rFonts w:ascii="Arial" w:hAnsi="Arial"/>
          <w:color w:val="202124"/>
          <w:sz w:val="21"/>
        </w:rPr>
        <w:t>Afficher le détail de la table et la route d’alerte, puis MailHog.</w:t>
      </w:r>
    </w:p>
    <w:p>
      <w:pPr>
        <w:numPr>
          <w:ilvl w:val="0"/>
          <w:numId w:val="11"/>
        </w:numPr>
        <w:spacing w:after="80" w:line="288" w:lineRule="auto"/>
        <w:jc w:val="left"/>
      </w:pPr>
      <w:r>
        <w:rPr>
          <w:rFonts w:ascii="Arial" w:hAnsi="Arial"/>
          <w:color w:val="202124"/>
          <w:sz w:val="21"/>
        </w:rPr>
        <w:t>Présenter la gouvernance IA en précisant son périmètre observe-only.</w:t>
      </w:r>
    </w:p>
    <w:p>
      <w:pPr>
        <w:pStyle w:val="Heading2"/>
      </w:pPr>
      <w:bookmarkStart w:id="157" w:name="body_287"/>
      <w:r>
        <w:rPr>
          <w:rFonts w:ascii="Arial" w:hAnsi="Arial"/>
          <w:b/>
          <w:color w:val="202124"/>
          <w:sz w:val="27"/>
        </w:rPr>
        <w:t>Annexe B — Indicateurs à interpréter avec prudence</w:t>
      </w:r>
      <w:bookmarkEnd w:id="157"/>
    </w:p>
    <w:p>
      <w:pPr>
        <w:spacing w:after="120"/>
        <w:jc w:val="both"/>
      </w:pPr>
      <w:r>
        <w:rPr>
          <w:rFonts w:ascii="Arial" w:hAnsi="Arial"/>
          <w:b w:val="0"/>
          <w:i w:val="0"/>
          <w:color w:val="202124"/>
          <w:sz w:val="22"/>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158" w:name="body_289"/>
      <w:r>
        <w:rPr>
          <w:rFonts w:ascii="Arial" w:hAnsi="Arial"/>
          <w:b/>
          <w:color w:val="202124"/>
          <w:sz w:val="27"/>
        </w:rPr>
        <w:t>Annexe C — Guide de captures d’écran pour la soutenance</w:t>
      </w:r>
      <w:bookmarkEnd w:id="158"/>
    </w:p>
    <w:p>
      <w:pPr>
        <w:spacing w:after="120"/>
        <w:jc w:val="both"/>
      </w:pPr>
      <w:r>
        <w:rPr>
          <w:rFonts w:ascii="Arial" w:hAnsi="Arial"/>
          <w:b w:val="0"/>
          <w:i w:val="0"/>
          <w:color w:val="202124"/>
          <w:sz w:val="22"/>
        </w:rPr>
        <w:t>Cette annexe précise les captures à intégrer lorsque la pile de démonstration est démarrée. Chaque image doit être lisible, sans données sensibles, et accompagnée d’une légende expliquant le point vérifié.</w:t>
      </w:r>
    </w:p>
    <w:p>
      <w:pPr>
        <w:pStyle w:val="Heading3"/>
      </w:pPr>
      <w:r>
        <w:rPr>
          <w:rFonts w:ascii="Arial" w:hAnsi="Arial"/>
          <w:b/>
          <w:color w:val="202124"/>
          <w:sz w:val="23"/>
        </w:rPr>
        <w:t>C.1 Tableau de bord Opérations</w:t>
      </w:r>
    </w:p>
    <w:p>
      <w:pPr>
        <w:spacing w:after="120"/>
        <w:jc w:val="both"/>
      </w:pPr>
      <w:r>
        <w:rPr>
          <w:rFonts w:ascii="Arial" w:hAnsi="Arial"/>
          <w:b w:val="0"/>
          <w:i w:val="0"/>
          <w:color w:val="202124"/>
          <w:sz w:val="22"/>
        </w:rPr>
        <w:t>Capture attendue : file des incidents, actifs surveillés et état de santé des sources. La légende doit préciser la priorité de l’incident choisi.</w:t>
      </w:r>
    </w:p>
    <w:p>
      <w:pPr>
        <w:pStyle w:val="Heading3"/>
      </w:pPr>
      <w:r>
        <w:rPr>
          <w:rFonts w:ascii="Arial" w:hAnsi="Arial"/>
          <w:b/>
          <w:color w:val="202124"/>
          <w:sz w:val="23"/>
        </w:rPr>
        <w:t>C.2 Détail de l’incident orders</w:t>
      </w:r>
    </w:p>
    <w:p>
      <w:pPr>
        <w:spacing w:after="120"/>
        <w:jc w:val="both"/>
      </w:pPr>
      <w:r>
        <w:rPr>
          <w:rFonts w:ascii="Arial" w:hAnsi="Arial"/>
          <w:b w:val="0"/>
          <w:i w:val="0"/>
          <w:color w:val="202124"/>
          <w:sz w:val="22"/>
        </w:rPr>
        <w:t>Capture attendue : signaux déclencheurs, sévérité P1/P2, narration IA et actions proposées. La légende doit distinguer une hypothèse générée d’un fait observé.</w:t>
      </w:r>
    </w:p>
    <w:p>
      <w:pPr>
        <w:pStyle w:val="Heading3"/>
      </w:pPr>
      <w:r>
        <w:rPr>
          <w:rFonts w:ascii="Arial" w:hAnsi="Arial"/>
          <w:b/>
          <w:color w:val="202124"/>
          <w:sz w:val="23"/>
        </w:rPr>
        <w:t>C.3 Routage d’alerte et gouvernance IA</w:t>
      </w:r>
    </w:p>
    <w:p>
      <w:pPr>
        <w:spacing w:after="120"/>
        <w:jc w:val="both"/>
      </w:pPr>
      <w:r>
        <w:rPr>
          <w:rFonts w:ascii="Arial" w:hAnsi="Arial"/>
          <w:b w:val="0"/>
          <w:i w:val="0"/>
          <w:color w:val="202124"/>
          <w:sz w:val="22"/>
        </w:rPr>
        <w:t>Capture attendue : route MailHog ou canal configuré, puis écran de gouvernance en mode observe-only. La légende doit expliciter que cette gouvernance ne certifie pas la conformité.</w:t>
      </w:r>
    </w:p>
    <w:p>
      <w:pPr>
        <w:pStyle w:val="Heading2"/>
      </w:pPr>
      <w:bookmarkStart w:id="159" w:name="annex_d"/>
      <w:r>
        <w:rPr>
          <w:rFonts w:ascii="Arial" w:hAnsi="Arial"/>
          <w:b/>
          <w:color w:val="202124"/>
          <w:sz w:val="27"/>
        </w:rPr>
        <w:t>Annexe D — Commandes de reproduction</w:t>
      </w:r>
      <w:bookmarkEnd w:id="159"/>
    </w:p>
    <w:p>
      <w:pPr>
        <w:spacing w:after="120"/>
        <w:jc w:val="both"/>
      </w:pPr>
      <w:r>
        <w:rPr>
          <w:rFonts w:ascii="Arial" w:hAnsi="Arial"/>
          <w:b w:val="0"/>
          <w:i w:val="0"/>
          <w:color w:val="202124"/>
          <w:sz w:val="22"/>
        </w:rPr>
        <w:t>Les commandes suivantes reconstruisent la pile de démonstration, réinitialisent les données et régénèrent les cinq captures utilisées dans le rapport.</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Arial" w:hAnsi="Arial"/>
        <w:color w:val="5F6368"/>
        <w:sz w:val="17"/>
      </w:rPr>
      <w:t xml:space="preserve">—  </w:t>
    </w:r>
    <w:r>
      <w:fldChar w:fldCharType="begin"/>
    </w:r>
    <w:r>
      <w:instrText xml:space="preserve">PAGE</w:instrText>
    </w:r>
    <w:r>
      <w:fldChar w:fldCharType="separate"/>
    </w:r>
    <w:r>
      <w:fldChar w:fldCharType="end"/>
    </w:r>
    <w:r>
      <w:rPr>
        <w:rFonts w:ascii="Arial" w:hAnsi="Arial"/>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Arial" w:hAnsi="Arial"/>
        <w:color w:val="5F6368"/>
        <w:sz w:val="17"/>
      </w:rPr>
      <w:t xml:space="preserve">—  </w:t>
    </w:r>
    <w:r>
      <w:fldChar w:fldCharType="begin"/>
    </w:r>
    <w:r>
      <w:instrText xml:space="preserve">PAGE</w:instrText>
    </w:r>
    <w:r>
      <w:fldChar w:fldCharType="separate"/>
    </w:r>
    <w:r>
      <w:fldChar w:fldCharType="end"/>
    </w:r>
    <w:r>
      <w:rPr>
        <w:rFonts w:ascii="Arial" w:hAnsi="Arial"/>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rial" w:hAnsi="Arial"/>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Arial" w:hAnsi="Arial"/>
      </w:rPr>
    </w:lvl>
  </w:abstractNum>
  <w:abstractNum w:abstractNumId="9">
    <w:multiLevelType w:val="singleLevel"/>
    <w:lvl w:ilvl="0">
      <w:start w:val="1"/>
      <w:numFmt w:val="bullet"/>
      <w:lvlText w:val="•"/>
      <w:lvlJc w:val="left"/>
      <w:pPr>
        <w:tabs>
          <w:tab w:val="num" w:pos="720"/>
        </w:tabs>
        <w:ind w:left="720" w:hanging="360"/>
      </w:pPr>
      <w:rPr>
        <w:rFonts w:ascii="Arial" w:hAnsi="Arial"/>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7" w:lineRule="auto"/>
      <w:jc w:val="both"/>
    </w:pPr>
    <w:rPr>
      <w:rFonts w:ascii="Arial" w:hAnsi="Arial"/>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Arial" w:hAnsi="Arial"/>
      <w:b/>
      <w:bCs/>
      <w:color w:val="20212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202124"/>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021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Arial" w:hAnsi="Arial"/>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