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088000" cy="1227560"/>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2088000" cy="1227560"/>
                    </a:xfrm>
                    <a:prstGeom prst="rect"/>
                  </pic:spPr>
                </pic:pic>
              </a:graphicData>
            </a:graphic>
          </wp:inline>
        </w:drawing>
      </w:r>
    </w:p>
    <w:p>
      <w:pPr>
        <w:spacing w:after="40"/>
        <w:jc w:val="center"/>
      </w:pPr>
      <w:r>
        <w:rPr>
          <w:rFonts w:ascii="Times New Roman" w:hAnsi="Times New Roman"/>
          <w:b/>
          <w:color w:val="202124"/>
          <w:sz w:val="22"/>
        </w:rPr>
        <w:t>ISGA CASABLANCA</w:t>
      </w:r>
    </w:p>
    <w:p>
      <w:pPr>
        <w:spacing w:after="320"/>
        <w:jc w:val="center"/>
      </w:pPr>
      <w:r>
        <w:rPr>
          <w:rFonts w:ascii="Times New Roman" w:hAnsi="Times New Roman"/>
          <w:color w:val="5F6368"/>
          <w:sz w:val="20"/>
        </w:rPr>
        <w:t>3CI — Big Data et Intelligence Artificielle</w:t>
      </w:r>
    </w:p>
    <w:p>
      <w:pPr>
        <w:spacing w:before="120" w:after="440"/>
        <w:jc w:val="center"/>
        <w:pBdr>
          <w:bottom w:val="single" w:sz="10" w:space="10" w:color="B1202D"/>
        </w:pBdr>
      </w:pPr>
      <w:r>
        <w:rPr>
          <w:rFonts w:ascii="Times New Roman" w:hAnsi="Times New Roman"/>
          <w:b/>
          <w:color w:val="B1202D"/>
          <w:sz w:val="26"/>
        </w:rPr>
        <w:t>PROJET DE FIN D’ÉTUDES</w:t>
      </w:r>
    </w:p>
    <w:p>
      <w:pPr>
        <w:spacing w:before="320" w:after="160"/>
        <w:jc w:val="center"/>
      </w:pPr>
      <w:r>
        <w:rPr>
          <w:rFonts w:ascii="Times New Roman" w:hAnsi="Times New Roman"/>
          <w:b/>
          <w:color w:val="202124"/>
          <w:sz w:val="48"/>
        </w:rPr>
        <w:t>Conception et réalisation de DataWatch</w:t>
      </w:r>
    </w:p>
    <w:p>
      <w:pPr>
        <w:spacing w:after="68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FILIÈRE</w:t>
      </w:r>
      <w:r>
        <w:rPr>
          <w:rFonts w:ascii="Times New Roman" w:hAnsi="Times New Roman"/>
          <w:b/>
          <w:color w:val="202124"/>
          <w:sz w:val="21"/>
        </w:rPr>
        <w:tab/>
        <w:t>3CI — Big Data et Intelligence Artificielle</w:t>
      </w:r>
    </w:p>
    <w:p>
      <w:pPr>
        <w:spacing w:before="6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enfin ma famille et mes collègues pour leur soutien, leurs encouragements et leur disponibilité. Leur confiance a été déterminante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e_l_ISGA" w:history="1">
            <w:r>
              <w:rPr>
                <w:rStyle w:val="Hyperlink"/>
                <w:rFonts w:ascii="Times New Roman" w:hAnsi="Times New Roman"/>
                <w:sz w:val="17"/>
                <w:color w:val="202124"/>
              </w:rPr>
              <w:t>1.2.1 Présentation de l’ISGA</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Environnement_p_dagogique_" w:history="1">
            <w:r>
              <w:rPr>
                <w:rStyle w:val="Hyperlink"/>
                <w:rFonts w:ascii="Times New Roman" w:hAnsi="Times New Roman"/>
                <w:sz w:val="17"/>
                <w:color w:val="202124"/>
              </w:rPr>
              <w:t>1.2.2 Environnement pédagogique du projet</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6</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7</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8</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10</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11</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11</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15</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18</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21</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24</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29</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29</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30</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32</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32</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34</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37</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44</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48</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51</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52</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55</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55</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55</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57</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58</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59</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59</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59</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59</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60</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61</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 Procédure de démonstration</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 Indicateurs à interpréter avec prudence</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 Guide de captures d’écran pour la soutenance</w:t>
            </w:r>
          </w:hyperlink>
          <w:r>
            <w:rPr>
              <w:rFonts w:ascii="Times New Roman" w:hAnsi="Times New Roman"/>
              <w:b w:val="0"/>
              <w:color w:val="202124"/>
              <w:sz w:val="17"/>
            </w:rPr>
            <w:tab/>
            <w:t>61</w:t>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61</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61</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Repères techniques et reproduction</w:t>
            </w:r>
          </w:hyperlink>
          <w:r>
            <w:rPr>
              <w:rFonts w:ascii="Times New Roman" w:hAnsi="Times New Roman"/>
              <w:b w:val="0"/>
              <w:color w:val="202124"/>
              <w:sz w:val="17"/>
            </w:rPr>
            <w:tab/>
            <w:t>62</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13</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14</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15</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16</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16</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17</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17</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18</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19</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19</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20</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20</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22</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23</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25</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26</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27</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28</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32</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33</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34</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35</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36</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37</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38</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39</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40</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41</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42</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43</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44</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45</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46</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47</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48</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49</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50</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51</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52</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53</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54</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55</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Acteurs et responsabilités du projet</w:t>
        </w:r>
      </w:hyperlink>
      <w:r>
        <w:rPr>
          <w:rFonts w:ascii="Times New Roman" w:hAnsi="Times New Roman"/>
          <w:color w:val="202124"/>
          <w:sz w:val="20"/>
        </w:rPr>
        <w:tab/>
        <w:t>3</w:t>
      </w:r>
    </w:p>
    <w:p>
      <w:pPr>
        <w:tabs>
          <w:tab w:pos="8617" w:val="right" w:leader="dot"/>
        </w:tabs>
        <w:spacing w:before="0" w:after="100"/>
        <w:ind w:left="283"/>
        <w:jc w:val="left"/>
      </w:pPr>
      <w:hyperlink w:anchor="tab_1_2" w:history="1">
        <w:r>
          <w:rPr>
            <w:rStyle w:val="Hyperlink"/>
            <w:rFonts w:ascii="Times New Roman" w:hAnsi="Times New Roman"/>
            <w:sz w:val="17"/>
            <w:color w:val="202124"/>
          </w:rPr>
          <w:t>Tableau 1.2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8</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11</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12</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31</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56</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Repères vérifiables du prototype</w:t>
        </w:r>
      </w:hyperlink>
      <w:r>
        <w:rPr>
          <w:rFonts w:ascii="Times New Roman" w:hAnsi="Times New Roman"/>
          <w:color w:val="202124"/>
          <w:sz w:val="20"/>
        </w:rPr>
        <w:tab/>
        <w:t>62</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2"/>
          <w:footerReference w:type="default" r:id="rId13"/>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le cadre académique du projet, sa problématique et la méthode de conduite retenue. Le projet a été réalisé dans le cadre de la formation 3CI — Big Data et Intelligence Artificielle à l’ISGA Casablanca.</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e_l_ISGA"/>
      <w:r>
        <w:rPr>
          <w:rFonts w:ascii="Times New Roman" w:hAnsi="Times New Roman"/>
          <w:b/>
          <w:color w:val="202124"/>
          <w:sz w:val="25"/>
        </w:rPr>
        <w:t>1.2.1 Présentation de l’ISGA</w:t>
      </w:r>
      <w:bookmarkEnd w:id="116"/>
    </w:p>
    <w:p>
      <w:pPr>
        <w:spacing w:after="140"/>
        <w:jc w:val="both"/>
      </w:pPr>
      <w:r>
        <w:rPr>
          <w:rFonts w:ascii="Times New Roman" w:hAnsi="Times New Roman"/>
          <w:b w:val="0"/>
          <w:i w:val="0"/>
          <w:color w:val="202124"/>
          <w:sz w:val="24"/>
        </w:rPr>
        <w:t>L’ISGA est un établissement marocain d’enseignement supérieur qui forme des ingénieurs et des managers. Son cycle d’ingénieur s’inscrit dans un cursus de cinq années et met l’accent sur la maîtrise scientifique, la conduite de projets complexes, l’ouverture professionnelle et la capacité d’adaptation [10]. Le campus de Casablanca accueille notamment la spécialisation Intelligence Artificielle et Big Data, qui fournit le cadre académique de ce projet.</w:t>
      </w:r>
    </w:p>
    <w:p>
      <w:pPr>
        <w:pStyle w:val="Heading3"/>
      </w:pPr>
      <w:bookmarkStart w:id="117" w:name="extra_1_2_2_Environnement_p_dagogique_"/>
      <w:r>
        <w:rPr>
          <w:rFonts w:ascii="Times New Roman" w:hAnsi="Times New Roman"/>
          <w:b/>
          <w:color w:val="202124"/>
          <w:sz w:val="25"/>
        </w:rPr>
        <w:t>1.2.2 Environnement pédagogique du projet</w:t>
      </w:r>
      <w:bookmarkEnd w:id="117"/>
    </w:p>
    <w:p>
      <w:pPr>
        <w:spacing w:after="140"/>
        <w:jc w:val="both"/>
      </w:pPr>
      <w:r>
        <w:rPr>
          <w:rFonts w:ascii="Times New Roman" w:hAnsi="Times New Roman"/>
          <w:b w:val="0"/>
          <w:i w:val="0"/>
          <w:color w:val="202124"/>
          <w:sz w:val="24"/>
        </w:rPr>
        <w:t>Le projet a été réalisé dans le cadre du Projet de Fin d’Études de la troisième année du cycle ingénieur. L’encadrement assure la cohérence méthodologique, la validation de la problématique et le suivi des livrables. Le travail couvre le cadrage, la conception, l’implémentation, les tests, la préparation d’une démonstration et la rédaction scientifique. Il ne correspond pas à une mission réalisée pour un client externe ; l’organisme d’accueil désigne ici l’environnement académique qui porte et évalue le projet.</w:t>
      </w:r>
    </w:p>
    <w:p>
      <w:pPr>
        <w:pStyle w:val="Caption"/>
        <w:keepNext/>
        <w:spacing w:before="160" w:after="100"/>
        <w:jc w:val="left"/>
      </w:pPr>
      <w:bookmarkStart w:id="118" w:name="tab_1_1"/>
      <w:r>
        <w:rPr>
          <w:rFonts w:ascii="Times New Roman" w:hAnsi="Times New Roman"/>
          <w:b/>
          <w:color w:val="B1202D"/>
          <w:sz w:val="19"/>
        </w:rPr>
        <w:t>Tableau 1.1</w:t>
      </w:r>
      <w:r>
        <w:rPr>
          <w:rFonts w:ascii="Times New Roman" w:hAnsi="Times New Roman"/>
          <w:color w:val="5F6368"/>
          <w:sz w:val="19"/>
        </w:rPr>
        <w:t xml:space="preserve"> — Acteurs et responsabilités du projet</w:t>
      </w:r>
      <w:bookmarkEnd w:id="118"/>
    </w:p>
    <w:tbl>
      <w:tblPr>
        <w:tblW w:type="auto" w:w="0"/>
        <w:jc w:val="center"/>
        <w:tblLayout w:type="fixed"/>
        <w:tblLook w:firstColumn="1" w:firstRow="1" w:lastColumn="0" w:lastRow="0" w:noHBand="0" w:noVBand="1" w:val="04A0"/>
      </w:tblPr>
      <w:tblGrid>
        <w:gridCol w:w="1700"/>
        <w:gridCol w:w="3900"/>
        <w:gridCol w:w="3350"/>
      </w:tblGrid>
      <w:tr>
        <w:trPr>
          <w:tblHeader w:val="true"/>
        </w:trPr>
        <w:tc>
          <w:tcPr>
            <w:tcW w:type="dxa" w:w="1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Acteur</w:t>
            </w:r>
          </w:p>
        </w:tc>
        <w:tc>
          <w:tcPr>
            <w:tcW w:type="dxa" w:w="3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Responsabilité principale</w:t>
            </w:r>
          </w:p>
        </w:tc>
        <w:tc>
          <w:tcPr>
            <w:tcW w:type="dxa" w:w="33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Livrables associés</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Étudiant</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Analyse, conception, développement, tests et documentation</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Code source, démonstration, rapport et présentation</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Encadrant</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Orientation scientifique et validation méthodologique</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Revues, recommandations et validation du périmètre</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Jury</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Évaluation de la pertinence, de la réalisation et de la maîtrise</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Questions, appréciation et décision académique</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Utilisateur cible</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Expression des besoins d’exploitation et d’investigation</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d’usage et critères d’acceptation</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pPr>
      <w:bookmarkStart w:id="119" w:name="body_134"/>
      <w:r>
        <w:rPr>
          <w:rFonts w:ascii="Times New Roman" w:hAnsi="Times New Roman"/>
          <w:b/>
          <w:color w:val="202124"/>
          <w:sz w:val="29"/>
        </w:rPr>
        <w:t>1.3 Présentation du projet</w:t>
      </w:r>
      <w:bookmarkEnd w:id="119"/>
    </w:p>
    <w:p>
      <w:pPr>
        <w:pStyle w:val="Heading3"/>
      </w:pPr>
      <w:bookmarkStart w:id="120" w:name="extra_1_3_1_Contexte_m_tier"/>
      <w:r>
        <w:rPr>
          <w:rFonts w:ascii="Times New Roman" w:hAnsi="Times New Roman"/>
          <w:b/>
          <w:color w:val="202124"/>
          <w:sz w:val="25"/>
        </w:rPr>
        <w:t>1.3.1 Contexte métier</w:t>
      </w:r>
      <w:bookmarkEnd w:id="120"/>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1" w:name="extra_1_3_2_P_rim_tre_fonctionnel"/>
      <w:r>
        <w:rPr>
          <w:rFonts w:ascii="Times New Roman" w:hAnsi="Times New Roman"/>
          <w:b/>
          <w:color w:val="202124"/>
          <w:sz w:val="25"/>
        </w:rPr>
        <w:t>1.3.2 Périmètre fonctionnel</w:t>
      </w:r>
      <w:bookmarkEnd w:id="121"/>
    </w:p>
    <w:p>
      <w:pPr>
        <w:spacing w:after="140"/>
        <w:jc w:val="both"/>
      </w:pPr>
      <w:r>
        <w:rPr>
          <w:rFonts w:ascii="Times New Roman" w:hAnsi="Times New Roman"/>
          <w:b w:val="0"/>
          <w:i w:val="0"/>
          <w:color w:val="202124"/>
          <w:sz w:val="24"/>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2" w:name="extra_1_3_3_Utilisateurs_cibles"/>
      <w:r>
        <w:rPr>
          <w:rFonts w:ascii="Times New Roman" w:hAnsi="Times New Roman"/>
          <w:b/>
          <w:color w:val="202124"/>
          <w:sz w:val="25"/>
        </w:rPr>
        <w:t>1.3.3 Utilisateurs cibles</w:t>
      </w:r>
      <w:bookmarkEnd w:id="122"/>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3" w:name="body_135"/>
      <w:r>
        <w:rPr>
          <w:rFonts w:ascii="Times New Roman" w:hAnsi="Times New Roman"/>
          <w:b/>
          <w:color w:val="202124"/>
          <w:sz w:val="25"/>
        </w:rPr>
        <w:t>1.3.4 Problématique</w:t>
      </w:r>
      <w:bookmarkEnd w:id="123"/>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4" w:name="body_137"/>
      <w:r>
        <w:rPr>
          <w:rFonts w:ascii="Times New Roman" w:hAnsi="Times New Roman"/>
          <w:b/>
          <w:color w:val="202124"/>
          <w:sz w:val="25"/>
        </w:rPr>
        <w:t>1.3.5 Solution proposée</w:t>
      </w:r>
      <w:bookmarkEnd w:id="124"/>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5" w:name="body_139"/>
      <w:r>
        <w:rPr>
          <w:rFonts w:ascii="Times New Roman" w:hAnsi="Times New Roman"/>
          <w:b/>
          <w:color w:val="202124"/>
          <w:sz w:val="29"/>
        </w:rPr>
        <w:t>1.4 Méthodologie de travail</w:t>
      </w:r>
      <w:bookmarkEnd w:id="125"/>
    </w:p>
    <w:p>
      <w:pPr>
        <w:pStyle w:val="Heading3"/>
      </w:pPr>
      <w:bookmarkStart w:id="126" w:name="body_140"/>
      <w:r>
        <w:rPr>
          <w:rFonts w:ascii="Times New Roman" w:hAnsi="Times New Roman"/>
          <w:b/>
          <w:color w:val="202124"/>
          <w:sz w:val="25"/>
        </w:rPr>
        <w:t>1.4.1 Méthode Agile</w:t>
      </w:r>
      <w:bookmarkEnd w:id="126"/>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7" w:name="body_143"/>
      <w:r>
        <w:rPr>
          <w:rFonts w:ascii="Times New Roman" w:hAnsi="Times New Roman"/>
          <w:b/>
          <w:color w:val="202124"/>
          <w:sz w:val="25"/>
        </w:rPr>
        <w:t>1.4.2 Organisation en sprints</w:t>
      </w:r>
      <w:bookmarkEnd w:id="127"/>
    </w:p>
    <w:p>
      <w:pPr>
        <w:pStyle w:val="Caption"/>
        <w:keepNext/>
        <w:spacing w:before="160" w:after="100"/>
        <w:jc w:val="left"/>
      </w:pPr>
      <w:bookmarkStart w:id="128" w:name="tab_1_2"/>
      <w:r>
        <w:rPr>
          <w:rFonts w:ascii="Times New Roman" w:hAnsi="Times New Roman"/>
          <w:b/>
          <w:color w:val="B1202D"/>
          <w:sz w:val="19"/>
        </w:rPr>
        <w:t>Tableau 1.2</w:t>
      </w:r>
      <w:r>
        <w:rPr>
          <w:rFonts w:ascii="Times New Roman" w:hAnsi="Times New Roman"/>
          <w:color w:val="5F6368"/>
          <w:sz w:val="19"/>
        </w:rPr>
        <w:t xml:space="preserve"> — Découpage des sprints et critères de sortie</w:t>
      </w:r>
      <w:bookmarkEnd w:id="128"/>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29" w:name="body_145"/>
      <w:r>
        <w:rPr>
          <w:rFonts w:ascii="Times New Roman" w:hAnsi="Times New Roman"/>
          <w:b/>
          <w:color w:val="202124"/>
          <w:sz w:val="25"/>
        </w:rPr>
        <w:t>1.4.3 Diagramme de Gantt et jalons</w:t>
      </w:r>
      <w:bookmarkEnd w:id="129"/>
    </w:p>
    <w:p>
      <w:pPr>
        <w:spacing w:after="140"/>
        <w:jc w:val="both"/>
      </w:pPr>
      <w:r>
        <w:rPr>
          <w:rFonts w:ascii="Times New Roman" w:hAnsi="Times New Roman"/>
          <w:b w:val="0"/>
          <w:i w:val="0"/>
          <w:color w:val="202124"/>
          <w:sz w:val="24"/>
        </w:rPr>
        <w:t>Le calendrier ne simule pas une succession parfaitement linéaire. L’architecture démarre pendant le cadrage ; la détection chevauche le profilage ;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1.1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2" name="Picture 2"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6"/>
                    <a:stretch>
                      <a:fillRect/>
                    </a:stretch>
                  </pic:blipFill>
                  <pic:spPr>
                    <a:xfrm>
                      <a:off x="0" y="0"/>
                      <a:ext cx="5688000" cy="3223691"/>
                    </a:xfrm>
                    <a:prstGeom prst="rect"/>
                  </pic:spPr>
                </pic:pic>
              </a:graphicData>
            </a:graphic>
          </wp:inline>
        </w:drawing>
      </w:r>
    </w:p>
    <w:p>
      <w:pPr>
        <w:pStyle w:val="Caption"/>
      </w:pPr>
      <w:bookmarkStart w:id="130" w:name="fig_1_1"/>
      <w:r>
        <w:rPr>
          <w:rFonts w:ascii="Times New Roman" w:hAnsi="Times New Roman"/>
          <w:b/>
          <w:color w:val="B1202D"/>
          <w:sz w:val="18"/>
        </w:rPr>
        <w:t>Figure 1.1</w:t>
      </w:r>
      <w:r>
        <w:rPr>
          <w:rFonts w:ascii="Times New Roman" w:hAnsi="Times New Roman"/>
          <w:color w:val="5F6368"/>
          <w:sz w:val="18"/>
        </w:rPr>
        <w:t xml:space="preserve"> — Planification du PFE du 1er juin au 31 août et continuité du produit</w:t>
      </w:r>
      <w:bookmarkEnd w:id="130"/>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1.1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1.1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1" w:name="body_155"/>
      <w:r>
        <w:rPr>
          <w:rFonts w:ascii="Times New Roman" w:hAnsi="Times New Roman"/>
          <w:b/>
          <w:color w:val="202124"/>
          <w:sz w:val="29"/>
        </w:rPr>
        <w:t>1.5 Conclusion</w:t>
      </w:r>
      <w:bookmarkEnd w:id="131"/>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2" w:name="body_157"/>
      <w:r>
        <w:rPr>
          <w:rFonts w:ascii="Times New Roman" w:hAnsi="Times New Roman"/>
          <w:b/>
          <w:color w:val="202124"/>
          <w:sz w:val="38"/>
        </w:rPr>
        <w:t>CHAPITRE 2 — ÉTAT DE L’ART ET POSITIONNEMENT</w:t>
      </w:r>
      <w:bookmarkEnd w:id="132"/>
    </w:p>
    <w:p>
      <w:pPr>
        <w:pStyle w:val="Heading2"/>
      </w:pPr>
      <w:bookmarkStart w:id="133" w:name="body_158"/>
      <w:r>
        <w:rPr>
          <w:rFonts w:ascii="Times New Roman" w:hAnsi="Times New Roman"/>
          <w:b/>
          <w:color w:val="202124"/>
          <w:sz w:val="29"/>
        </w:rPr>
        <w:t>2.1 Introduction</w:t>
      </w:r>
      <w:bookmarkEnd w:id="133"/>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pPr>
      <w:bookmarkStart w:id="134" w:name="body_160"/>
      <w:r>
        <w:rPr>
          <w:rFonts w:ascii="Times New Roman" w:hAnsi="Times New Roman"/>
          <w:b/>
          <w:color w:val="202124"/>
          <w:sz w:val="29"/>
        </w:rPr>
        <w:t>2.2 Approches existantes</w:t>
      </w:r>
      <w:bookmarkEnd w:id="134"/>
    </w:p>
    <w:p>
      <w:pPr>
        <w:pStyle w:val="Heading3"/>
      </w:pPr>
      <w:bookmarkStart w:id="135" w:name="extra_2_2_1_Contr_les_d_claratifs"/>
      <w:r>
        <w:rPr>
          <w:rFonts w:ascii="Times New Roman" w:hAnsi="Times New Roman"/>
          <w:b/>
          <w:color w:val="202124"/>
          <w:sz w:val="25"/>
        </w:rPr>
        <w:t>2.2.1 Contrôles déclaratifs</w:t>
      </w:r>
      <w:bookmarkEnd w:id="135"/>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6" w:name="extra_2_2_2_D_tection_statistique_et_a"/>
      <w:r>
        <w:rPr>
          <w:rFonts w:ascii="Times New Roman" w:hAnsi="Times New Roman"/>
          <w:b/>
          <w:color w:val="202124"/>
          <w:sz w:val="25"/>
        </w:rPr>
        <w:t>2.2.2 Détection statistique et apprentissage non supervisé</w:t>
      </w:r>
      <w:bookmarkEnd w:id="136"/>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 Isolation Forest repère des observations rares dans un espace multivarié ; STL sépare tendance, saison et résidu. Ces méthodes réduisent l’effort de configuration, mais nécessitent un historique minimal et peuvent produire des faux positifs lorsque le contexte métier change.</w:t>
      </w:r>
    </w:p>
    <w:p>
      <w:pPr>
        <w:pStyle w:val="Heading3"/>
      </w:pPr>
      <w:bookmarkStart w:id="137" w:name="extra_2_2_3_Observabilit_et_gestion_d_"/>
      <w:r>
        <w:rPr>
          <w:rFonts w:ascii="Times New Roman" w:hAnsi="Times New Roman"/>
          <w:b/>
          <w:color w:val="202124"/>
          <w:sz w:val="25"/>
        </w:rPr>
        <w:t>2.2.3 Observabilité et gestion d’incidents</w:t>
      </w:r>
      <w:bookmarkEnd w:id="137"/>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38"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38"/>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39" w:name="body_163"/>
      <w:r>
        <w:rPr>
          <w:rFonts w:ascii="Times New Roman" w:hAnsi="Times New Roman"/>
          <w:b/>
          <w:color w:val="202124"/>
          <w:sz w:val="29"/>
        </w:rPr>
        <w:t>2.3 Originalité de la solution</w:t>
      </w:r>
      <w:bookmarkEnd w:id="139"/>
    </w:p>
    <w:p>
      <w:pPr>
        <w:spacing w:after="140"/>
        <w:jc w:val="both"/>
      </w:pPr>
      <w:r>
        <w:rPr>
          <w:rFonts w:ascii="Times New Roman" w:hAnsi="Times New Roman"/>
          <w:b w:val="0"/>
          <w:i w:val="0"/>
          <w:color w:val="202124"/>
          <w:sz w:val="24"/>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0" w:name="body_165"/>
      <w:r>
        <w:rPr>
          <w:rFonts w:ascii="Times New Roman" w:hAnsi="Times New Roman"/>
          <w:b/>
          <w:color w:val="202124"/>
          <w:sz w:val="29"/>
        </w:rPr>
        <w:t>2.4 Conclusion</w:t>
      </w:r>
      <w:bookmarkEnd w:id="140"/>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1" w:name="body_167"/>
      <w:r>
        <w:rPr>
          <w:rFonts w:ascii="Times New Roman" w:hAnsi="Times New Roman"/>
          <w:b/>
          <w:color w:val="202124"/>
          <w:sz w:val="38"/>
        </w:rPr>
        <w:t>CHAPITRE 3 — ANALYSE, CONCEPTION ET ARCHITECTURE</w:t>
      </w:r>
      <w:bookmarkEnd w:id="141"/>
    </w:p>
    <w:p>
      <w:pPr>
        <w:pStyle w:val="Heading2"/>
      </w:pPr>
      <w:bookmarkStart w:id="142" w:name="body_168"/>
      <w:r>
        <w:rPr>
          <w:rFonts w:ascii="Times New Roman" w:hAnsi="Times New Roman"/>
          <w:b/>
          <w:color w:val="202124"/>
          <w:sz w:val="29"/>
        </w:rPr>
        <w:t>3.1 Introduction</w:t>
      </w:r>
      <w:bookmarkEnd w:id="142"/>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3" w:name="body_170"/>
      <w:r>
        <w:rPr>
          <w:rFonts w:ascii="Times New Roman" w:hAnsi="Times New Roman"/>
          <w:b/>
          <w:color w:val="202124"/>
          <w:sz w:val="29"/>
        </w:rPr>
        <w:t>3.2 Analyse du projet</w:t>
      </w:r>
      <w:bookmarkEnd w:id="143"/>
    </w:p>
    <w:p>
      <w:pPr>
        <w:pStyle w:val="Heading3"/>
      </w:pPr>
      <w:bookmarkStart w:id="144" w:name="body_171"/>
      <w:r>
        <w:rPr>
          <w:rFonts w:ascii="Times New Roman" w:hAnsi="Times New Roman"/>
          <w:b/>
          <w:color w:val="202124"/>
          <w:sz w:val="25"/>
        </w:rPr>
        <w:t>3.2.1 Objectifs de la solution</w:t>
      </w:r>
      <w:bookmarkEnd w:id="144"/>
    </w:p>
    <w:p>
      <w:pPr>
        <w:spacing w:after="140"/>
        <w:jc w:val="both"/>
      </w:pPr>
      <w:r>
        <w:rPr>
          <w:rFonts w:ascii="Times New Roman" w:hAnsi="Times New Roman"/>
          <w:b w:val="0"/>
          <w:i w:val="0"/>
          <w:color w:val="202124"/>
          <w:sz w:val="24"/>
        </w:rPr>
        <w:t>L’objectif général est décliné en résultats vérifiables : enregistrer une source sans stocker ses secrets en clair ; réduire une table potentiellement volumineuse à un profil agrégé et horodaté ; distribuer les travaux de surveillance sans bloquer l’API ; choisir un détecteur selon l’historique disponible ; expliquer chaque contrôle par une valeur observée, un score et une plage attendue ; conserver un incident unique tant que le défaut persiste ; livrer l’alerte selon sa sévérité ; puis produire une narration structurée qui sépare résumé, causes plausibles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5" w:name="body_173"/>
      <w:r>
        <w:rPr>
          <w:rFonts w:ascii="Times New Roman" w:hAnsi="Times New Roman"/>
          <w:b/>
          <w:color w:val="202124"/>
          <w:sz w:val="25"/>
        </w:rPr>
        <w:t>3.2.2 Besoins fonctionnels</w:t>
      </w:r>
      <w:bookmarkEnd w:id="145"/>
    </w:p>
    <w:p>
      <w:pPr>
        <w:pStyle w:val="Caption"/>
        <w:keepNext/>
        <w:spacing w:before="160" w:after="100"/>
        <w:jc w:val="left"/>
      </w:pPr>
      <w:bookmarkStart w:id="146"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6"/>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 sélectionner les tables à surveiller ; produire des profils périodiques ; appliquer des règles et détecteurs hybrides ; ouvrir, affecter, acquitter puis résoudre les incidents ;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7" w:name="body_176"/>
      <w:r>
        <w:rPr>
          <w:rFonts w:ascii="Times New Roman" w:hAnsi="Times New Roman"/>
          <w:b/>
          <w:color w:val="202124"/>
          <w:sz w:val="25"/>
        </w:rPr>
        <w:t>3.2.3 Besoins non fonctionnels</w:t>
      </w:r>
      <w:bookmarkEnd w:id="147"/>
    </w:p>
    <w:p>
      <w:pPr>
        <w:pStyle w:val="Caption"/>
        <w:keepNext/>
        <w:spacing w:before="160" w:after="100"/>
        <w:jc w:val="left"/>
      </w:pPr>
      <w:bookmarkStart w:id="148"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48"/>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49" w:name="body_183"/>
      <w:r>
        <w:rPr>
          <w:rFonts w:ascii="Times New Roman" w:hAnsi="Times New Roman"/>
          <w:b/>
          <w:color w:val="202124"/>
          <w:sz w:val="29"/>
        </w:rPr>
        <w:t>3.3 Conception de la solution</w:t>
      </w:r>
      <w:bookmarkEnd w:id="149"/>
    </w:p>
    <w:p>
      <w:pPr>
        <w:pStyle w:val="Heading3"/>
      </w:pPr>
      <w:bookmarkStart w:id="150" w:name="extra_3_3_1_Acteurs_et_cas_d_utilisati"/>
      <w:r>
        <w:rPr>
          <w:rFonts w:ascii="Times New Roman" w:hAnsi="Times New Roman"/>
          <w:b/>
          <w:color w:val="202124"/>
          <w:sz w:val="25"/>
        </w:rPr>
        <w:t>3.3.1 Acteurs et cas d’utilisation</w:t>
      </w:r>
      <w:bookmarkEnd w:id="150"/>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 l’administrateur ajoute les sources, configure les tables, les moniteurs et les alertes ;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3" name="Picture 3"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7"/>
                    <a:stretch>
                      <a:fillRect/>
                    </a:stretch>
                  </pic:blipFill>
                  <pic:spPr>
                    <a:xfrm>
                      <a:off x="0" y="0"/>
                      <a:ext cx="5688000" cy="4872491"/>
                    </a:xfrm>
                    <a:prstGeom prst="rect"/>
                  </pic:spPr>
                </pic:pic>
              </a:graphicData>
            </a:graphic>
          </wp:inline>
        </w:drawing>
      </w:r>
    </w:p>
    <w:p>
      <w:pPr>
        <w:pStyle w:val="Caption"/>
      </w:pPr>
      <w:bookmarkStart w:id="151"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1"/>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4" name="Picture 4"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8"/>
                    <a:stretch>
                      <a:fillRect/>
                    </a:stretch>
                  </pic:blipFill>
                  <pic:spPr>
                    <a:xfrm>
                      <a:off x="0" y="0"/>
                      <a:ext cx="3941370" cy="5472000"/>
                    </a:xfrm>
                    <a:prstGeom prst="rect"/>
                  </pic:spPr>
                </pic:pic>
              </a:graphicData>
            </a:graphic>
          </wp:inline>
        </w:drawing>
      </w:r>
    </w:p>
    <w:p>
      <w:pPr>
        <w:pStyle w:val="Caption"/>
      </w:pPr>
      <w:bookmarkStart w:id="152"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2"/>
    </w:p>
    <w:p>
      <w:pPr>
        <w:keepLines/>
        <w:spacing w:after="180"/>
        <w:jc w:val="both"/>
      </w:pPr>
      <w:r>
        <w:rPr>
          <w:rFonts w:ascii="Times New Roman" w:hAnsi="Times New Roman"/>
          <w:b w:val="0"/>
          <w:i w:val="0"/>
          <w:color w:val="202124"/>
          <w:sz w:val="24"/>
        </w:rPr>
        <w:t>Deux responsabilités ressortent. Le propriétaire configure sources, membres et notifications ;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5" name="Picture 5"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19"/>
                    <a:stretch>
                      <a:fillRect/>
                    </a:stretch>
                  </pic:blipFill>
                  <pic:spPr>
                    <a:xfrm>
                      <a:off x="0" y="0"/>
                      <a:ext cx="5688000" cy="2978764"/>
                    </a:xfrm>
                    <a:prstGeom prst="rect"/>
                  </pic:spPr>
                </pic:pic>
              </a:graphicData>
            </a:graphic>
          </wp:inline>
        </w:drawing>
      </w:r>
    </w:p>
    <w:p>
      <w:pPr>
        <w:pStyle w:val="Caption"/>
      </w:pPr>
      <w:bookmarkStart w:id="153"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3"/>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4" w:name="body_191"/>
      <w:r>
        <w:rPr>
          <w:rFonts w:ascii="Times New Roman" w:hAnsi="Times New Roman"/>
          <w:b/>
          <w:color w:val="202124"/>
          <w:sz w:val="25"/>
        </w:rPr>
        <w:t>3.3.2 Diagramme de séquence</w:t>
      </w:r>
      <w:bookmarkEnd w:id="154"/>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6" name="Picture 6"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0"/>
                    <a:stretch>
                      <a:fillRect/>
                    </a:stretch>
                  </pic:blipFill>
                  <pic:spPr>
                    <a:xfrm>
                      <a:off x="0" y="0"/>
                      <a:ext cx="5688000" cy="3156080"/>
                    </a:xfrm>
                    <a:prstGeom prst="rect"/>
                  </pic:spPr>
                </pic:pic>
              </a:graphicData>
            </a:graphic>
          </wp:inline>
        </w:drawing>
      </w:r>
    </w:p>
    <w:p>
      <w:pPr>
        <w:pStyle w:val="Caption"/>
      </w:pPr>
      <w:bookmarkStart w:id="155"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5"/>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7" name="Picture 7"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1"/>
                    <a:stretch>
                      <a:fillRect/>
                    </a:stretch>
                  </pic:blipFill>
                  <pic:spPr>
                    <a:xfrm>
                      <a:off x="0" y="0"/>
                      <a:ext cx="5688000" cy="2461548"/>
                    </a:xfrm>
                    <a:prstGeom prst="rect"/>
                  </pic:spPr>
                </pic:pic>
              </a:graphicData>
            </a:graphic>
          </wp:inline>
        </w:drawing>
      </w:r>
    </w:p>
    <w:p>
      <w:pPr>
        <w:pStyle w:val="Caption"/>
      </w:pPr>
      <w:bookmarkStart w:id="156"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6"/>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8" name="Picture 8"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2"/>
                    <a:stretch>
                      <a:fillRect/>
                    </a:stretch>
                  </pic:blipFill>
                  <pic:spPr>
                    <a:xfrm>
                      <a:off x="0" y="0"/>
                      <a:ext cx="5688000" cy="2703619"/>
                    </a:xfrm>
                    <a:prstGeom prst="rect"/>
                  </pic:spPr>
                </pic:pic>
              </a:graphicData>
            </a:graphic>
          </wp:inline>
        </w:drawing>
      </w:r>
    </w:p>
    <w:p>
      <w:pPr>
        <w:pStyle w:val="Caption"/>
      </w:pPr>
      <w:bookmarkStart w:id="157"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7"/>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9" name="Picture 9"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3"/>
                    <a:stretch>
                      <a:fillRect/>
                    </a:stretch>
                  </pic:blipFill>
                  <pic:spPr>
                    <a:xfrm>
                      <a:off x="0" y="0"/>
                      <a:ext cx="5688000" cy="2365570"/>
                    </a:xfrm>
                    <a:prstGeom prst="rect"/>
                  </pic:spPr>
                </pic:pic>
              </a:graphicData>
            </a:graphic>
          </wp:inline>
        </w:drawing>
      </w:r>
    </w:p>
    <w:p>
      <w:pPr>
        <w:pStyle w:val="Caption"/>
      </w:pPr>
      <w:bookmarkStart w:id="158"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58"/>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0" name="Picture 10"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4"/>
                    <a:stretch>
                      <a:fillRect/>
                    </a:stretch>
                  </pic:blipFill>
                  <pic:spPr>
                    <a:xfrm>
                      <a:off x="0" y="0"/>
                      <a:ext cx="3329499" cy="5472000"/>
                    </a:xfrm>
                    <a:prstGeom prst="rect"/>
                  </pic:spPr>
                </pic:pic>
              </a:graphicData>
            </a:graphic>
          </wp:inline>
        </w:drawing>
      </w:r>
    </w:p>
    <w:p>
      <w:pPr>
        <w:pStyle w:val="Caption"/>
      </w:pPr>
      <w:bookmarkStart w:id="159"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59"/>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0" w:name="body_194"/>
      <w:r>
        <w:rPr>
          <w:rFonts w:ascii="Times New Roman" w:hAnsi="Times New Roman"/>
          <w:b/>
          <w:color w:val="202124"/>
          <w:sz w:val="25"/>
        </w:rPr>
        <w:t>3.3.3 Diagramme de classes</w:t>
      </w:r>
      <w:bookmarkEnd w:id="160"/>
    </w:p>
    <w:p>
      <w:pPr>
        <w:spacing w:after="140"/>
        <w:jc w:val="both"/>
      </w:pPr>
      <w:r>
        <w:rPr>
          <w:rFonts w:ascii="Times New Roman" w:hAnsi="Times New Roman"/>
          <w:b w:val="0"/>
          <w:i w:val="0"/>
          <w:color w:val="202124"/>
          <w:sz w:val="24"/>
        </w:rPr>
        <w:t>Le modèle de domaine s’organise autour de l’agrégat Organization. DataSource et MonitoredTable décrivent les actifs ; TableProfile et CheckResult constituent la preuve de mesure ; Incident regroupe les occurrences liées ;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1" name="Picture 11"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5"/>
                    <a:stretch>
                      <a:fillRect/>
                    </a:stretch>
                  </pic:blipFill>
                  <pic:spPr>
                    <a:xfrm>
                      <a:off x="0" y="0"/>
                      <a:ext cx="5688000" cy="2421959"/>
                    </a:xfrm>
                    <a:prstGeom prst="rect"/>
                  </pic:spPr>
                </pic:pic>
              </a:graphicData>
            </a:graphic>
          </wp:inline>
        </w:drawing>
      </w:r>
    </w:p>
    <w:p>
      <w:pPr>
        <w:pStyle w:val="Caption"/>
      </w:pPr>
      <w:bookmarkStart w:id="161"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1"/>
    </w:p>
    <w:p>
      <w:pPr>
        <w:keepLines/>
        <w:spacing w:after="180"/>
        <w:jc w:val="both"/>
      </w:pPr>
      <w:r>
        <w:rPr>
          <w:rFonts w:ascii="Times New Roman" w:hAnsi="Times New Roman"/>
          <w:b w:val="0"/>
          <w:i w:val="0"/>
          <w:color w:val="202124"/>
          <w:sz w:val="24"/>
        </w:rPr>
        <w:t>DataSource possède les actifs surveillés ;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2" name="Picture 12"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6"/>
                    <a:stretch>
                      <a:fillRect/>
                    </a:stretch>
                  </pic:blipFill>
                  <pic:spPr>
                    <a:xfrm>
                      <a:off x="0" y="0"/>
                      <a:ext cx="5688000" cy="1672498"/>
                    </a:xfrm>
                    <a:prstGeom prst="rect"/>
                  </pic:spPr>
                </pic:pic>
              </a:graphicData>
            </a:graphic>
          </wp:inline>
        </w:drawing>
      </w:r>
    </w:p>
    <w:p>
      <w:pPr>
        <w:pStyle w:val="Caption"/>
      </w:pPr>
      <w:bookmarkStart w:id="162"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2"/>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3" name="Picture 13"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7"/>
                    <a:stretch>
                      <a:fillRect/>
                    </a:stretch>
                  </pic:blipFill>
                  <pic:spPr>
                    <a:xfrm>
                      <a:off x="0" y="0"/>
                      <a:ext cx="5688000" cy="1972382"/>
                    </a:xfrm>
                    <a:prstGeom prst="rect"/>
                  </pic:spPr>
                </pic:pic>
              </a:graphicData>
            </a:graphic>
          </wp:inline>
        </w:drawing>
      </w:r>
    </w:p>
    <w:p>
      <w:pPr>
        <w:pStyle w:val="Caption"/>
      </w:pPr>
      <w:bookmarkStart w:id="163"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3"/>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4" name="Picture 14"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8"/>
                    <a:stretch>
                      <a:fillRect/>
                    </a:stretch>
                  </pic:blipFill>
                  <pic:spPr>
                    <a:xfrm>
                      <a:off x="0" y="0"/>
                      <a:ext cx="5688000" cy="2465159"/>
                    </a:xfrm>
                    <a:prstGeom prst="rect"/>
                  </pic:spPr>
                </pic:pic>
              </a:graphicData>
            </a:graphic>
          </wp:inline>
        </w:drawing>
      </w:r>
    </w:p>
    <w:p>
      <w:pPr>
        <w:pStyle w:val="Caption"/>
      </w:pPr>
      <w:bookmarkStart w:id="164"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4"/>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 chaque source expose des tables surveillées, dont les profils alimentent les contrôles, incidents, moniteurs et alertes. Les révisions de moniteur sont immuables afin de conserver l’historique des définitions.</w:t>
      </w:r>
    </w:p>
    <w:p>
      <w:pPr>
        <w:pStyle w:val="Heading2"/>
      </w:pPr>
      <w:bookmarkStart w:id="165" w:name="body_197"/>
      <w:r>
        <w:rPr>
          <w:rFonts w:ascii="Times New Roman" w:hAnsi="Times New Roman"/>
          <w:b/>
          <w:color w:val="202124"/>
          <w:sz w:val="29"/>
        </w:rPr>
        <w:t>3.4 Architecture proposée</w:t>
      </w:r>
      <w:bookmarkEnd w:id="165"/>
    </w:p>
    <w:p>
      <w:pPr>
        <w:pStyle w:val="Heading3"/>
      </w:pPr>
      <w:bookmarkStart w:id="166" w:name="extra_3_4_1_Vue_logique_en_couches"/>
      <w:r>
        <w:rPr>
          <w:rFonts w:ascii="Times New Roman" w:hAnsi="Times New Roman"/>
          <w:b/>
          <w:color w:val="202124"/>
          <w:sz w:val="25"/>
        </w:rPr>
        <w:t>3.4.1 Vue logique en couches</w:t>
      </w:r>
      <w:bookmarkEnd w:id="166"/>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7" w:name="extra_3_4_2_Ex_cution_asynchrone"/>
      <w:r>
        <w:rPr>
          <w:rFonts w:ascii="Times New Roman" w:hAnsi="Times New Roman"/>
          <w:b/>
          <w:color w:val="202124"/>
          <w:sz w:val="25"/>
        </w:rPr>
        <w:t>3.4.2 Exécution asynchrone</w:t>
      </w:r>
      <w:bookmarkEnd w:id="167"/>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68" w:name="extra_3_4_3_Architecture_des_connecteu"/>
      <w:r>
        <w:rPr>
          <w:rFonts w:ascii="Times New Roman" w:hAnsi="Times New Roman"/>
          <w:b/>
          <w:color w:val="202124"/>
          <w:sz w:val="25"/>
        </w:rPr>
        <w:t>3.4.3 Architecture des connecteurs</w:t>
      </w:r>
      <w:bookmarkEnd w:id="168"/>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 DuckDB et SQLite sont positionnés en bêta ;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5" name="Picture 15"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29"/>
                    <a:stretch>
                      <a:fillRect/>
                    </a:stretch>
                  </pic:blipFill>
                  <pic:spPr>
                    <a:xfrm>
                      <a:off x="0" y="0"/>
                      <a:ext cx="5098789" cy="5472000"/>
                    </a:xfrm>
                    <a:prstGeom prst="rect"/>
                  </pic:spPr>
                </pic:pic>
              </a:graphicData>
            </a:graphic>
          </wp:inline>
        </w:drawing>
      </w:r>
    </w:p>
    <w:p>
      <w:pPr>
        <w:pStyle w:val="Caption"/>
      </w:pPr>
      <w:bookmarkStart w:id="169"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69"/>
    </w:p>
    <w:p>
      <w:pPr>
        <w:keepLines/>
        <w:spacing w:after="180"/>
        <w:jc w:val="both"/>
      </w:pPr>
      <w:r>
        <w:rPr>
          <w:rFonts w:ascii="Times New Roman" w:hAnsi="Times New Roman"/>
          <w:b w:val="0"/>
          <w:i w:val="0"/>
          <w:color w:val="202124"/>
          <w:sz w:val="24"/>
        </w:rPr>
        <w:t>L’API FastAPI centralise contrats et autorisations ; Celery absorbe les opérations longues ;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6" name="Picture 16"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0"/>
                    <a:stretch>
                      <a:fillRect/>
                    </a:stretch>
                  </pic:blipFill>
                  <pic:spPr>
                    <a:xfrm>
                      <a:off x="0" y="0"/>
                      <a:ext cx="5688000" cy="3294840"/>
                    </a:xfrm>
                    <a:prstGeom prst="rect"/>
                  </pic:spPr>
                </pic:pic>
              </a:graphicData>
            </a:graphic>
          </wp:inline>
        </w:drawing>
      </w:r>
    </w:p>
    <w:p>
      <w:pPr>
        <w:pStyle w:val="Caption"/>
      </w:pPr>
      <w:bookmarkStart w:id="170"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0"/>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 une dépendance externe défaillante ne supprime donc jamais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1" w:name="body_205"/>
      <w:r>
        <w:rPr>
          <w:rFonts w:ascii="Times New Roman" w:hAnsi="Times New Roman"/>
          <w:b/>
          <w:color w:val="202124"/>
          <w:sz w:val="29"/>
        </w:rPr>
        <w:t>3.5 Modèle de données et sécurité</w:t>
      </w:r>
      <w:bookmarkEnd w:id="171"/>
    </w:p>
    <w:p>
      <w:pPr>
        <w:pStyle w:val="Heading3"/>
      </w:pPr>
      <w:bookmarkStart w:id="172" w:name="extra_3_5_1_Isolation_multi_tenant"/>
      <w:r>
        <w:rPr>
          <w:rFonts w:ascii="Times New Roman" w:hAnsi="Times New Roman"/>
          <w:b/>
          <w:color w:val="202124"/>
          <w:sz w:val="25"/>
        </w:rPr>
        <w:t>3.5.1 Isolation multi-tenant</w:t>
      </w:r>
      <w:bookmarkEnd w:id="172"/>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3" w:name="extra_3_5_2_Protection_des_secrets"/>
      <w:r>
        <w:rPr>
          <w:rFonts w:ascii="Times New Roman" w:hAnsi="Times New Roman"/>
          <w:b/>
          <w:color w:val="202124"/>
          <w:sz w:val="25"/>
        </w:rPr>
        <w:t>3.5.2 Protection des secrets</w:t>
      </w:r>
      <w:bookmarkEnd w:id="173"/>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4" w:name="extra_3_5_3_Int_grit_et_conservation"/>
      <w:r>
        <w:rPr>
          <w:rFonts w:ascii="Times New Roman" w:hAnsi="Times New Roman"/>
          <w:b/>
          <w:color w:val="202124"/>
          <w:sz w:val="25"/>
        </w:rPr>
        <w:t>3.5.3 Intégrité et conservation</w:t>
      </w:r>
      <w:bookmarkEnd w:id="174"/>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5" w:name="extra_3_5_4_Structure_relationnelle_co"/>
      <w:r>
        <w:rPr>
          <w:rFonts w:ascii="Times New Roman" w:hAnsi="Times New Roman"/>
          <w:b/>
          <w:color w:val="202124"/>
          <w:sz w:val="25"/>
        </w:rPr>
        <w:t>3.5.4 Structure relationnelle complète</w:t>
      </w:r>
      <w:bookmarkEnd w:id="175"/>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 colonnes, types, nullabilité, clés et effectifs seedés —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7" name="Picture 17"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1"/>
                    <a:stretch>
                      <a:fillRect/>
                    </a:stretch>
                  </pic:blipFill>
                  <pic:spPr>
                    <a:xfrm>
                      <a:off x="0" y="0"/>
                      <a:ext cx="5688000" cy="2390732"/>
                    </a:xfrm>
                    <a:prstGeom prst="rect"/>
                  </pic:spPr>
                </pic:pic>
              </a:graphicData>
            </a:graphic>
          </wp:inline>
        </w:drawing>
      </w:r>
    </w:p>
    <w:p>
      <w:pPr>
        <w:pStyle w:val="Caption"/>
      </w:pPr>
      <w:bookmarkStart w:id="176"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6"/>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18" name="Picture 18"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2"/>
                    <a:stretch>
                      <a:fillRect/>
                    </a:stretch>
                  </pic:blipFill>
                  <pic:spPr>
                    <a:xfrm>
                      <a:off x="0" y="0"/>
                      <a:ext cx="5411344" cy="5472000"/>
                    </a:xfrm>
                    <a:prstGeom prst="rect"/>
                  </pic:spPr>
                </pic:pic>
              </a:graphicData>
            </a:graphic>
          </wp:inline>
        </w:drawing>
      </w:r>
    </w:p>
    <w:p>
      <w:pPr>
        <w:pStyle w:val="Caption"/>
      </w:pPr>
      <w:bookmarkStart w:id="177"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7"/>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19" name="Picture 19"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3"/>
                    <a:stretch>
                      <a:fillRect/>
                    </a:stretch>
                  </pic:blipFill>
                  <pic:spPr>
                    <a:xfrm>
                      <a:off x="0" y="0"/>
                      <a:ext cx="5688000" cy="4002778"/>
                    </a:xfrm>
                    <a:prstGeom prst="rect"/>
                  </pic:spPr>
                </pic:pic>
              </a:graphicData>
            </a:graphic>
          </wp:inline>
        </w:drawing>
      </w:r>
    </w:p>
    <w:p>
      <w:pPr>
        <w:pStyle w:val="Caption"/>
      </w:pPr>
      <w:bookmarkStart w:id="178"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78"/>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0" name="Picture 20"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4"/>
                    <a:stretch>
                      <a:fillRect/>
                    </a:stretch>
                  </pic:blipFill>
                  <pic:spPr>
                    <a:xfrm>
                      <a:off x="0" y="0"/>
                      <a:ext cx="3873828" cy="5472000"/>
                    </a:xfrm>
                    <a:prstGeom prst="rect"/>
                  </pic:spPr>
                </pic:pic>
              </a:graphicData>
            </a:graphic>
          </wp:inline>
        </w:drawing>
      </w:r>
    </w:p>
    <w:p>
      <w:pPr>
        <w:pStyle w:val="Caption"/>
      </w:pPr>
      <w:bookmarkStart w:id="179"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79"/>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0" w:name="body_207"/>
      <w:r>
        <w:rPr>
          <w:rFonts w:ascii="Times New Roman" w:hAnsi="Times New Roman"/>
          <w:b/>
          <w:color w:val="202124"/>
          <w:sz w:val="29"/>
        </w:rPr>
        <w:t>3.6 Gouvernance de la couche IA</w:t>
      </w:r>
      <w:bookmarkEnd w:id="180"/>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1" w:name="body_209"/>
      <w:r>
        <w:rPr>
          <w:rFonts w:ascii="Times New Roman" w:hAnsi="Times New Roman"/>
          <w:b/>
          <w:color w:val="202124"/>
          <w:sz w:val="29"/>
        </w:rPr>
        <w:t>3.7 Conclusion</w:t>
      </w:r>
      <w:bookmarkEnd w:id="181"/>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2" w:name="body_211"/>
      <w:r>
        <w:rPr>
          <w:rFonts w:ascii="Times New Roman" w:hAnsi="Times New Roman"/>
          <w:b/>
          <w:color w:val="202124"/>
          <w:sz w:val="38"/>
        </w:rPr>
        <w:t>CHAPITRE 4 — IMPLÉMENTATION TECHNIQUE ET TESTS</w:t>
      </w:r>
      <w:bookmarkEnd w:id="182"/>
    </w:p>
    <w:p>
      <w:pPr>
        <w:pStyle w:val="Heading2"/>
      </w:pPr>
      <w:bookmarkStart w:id="183" w:name="body_212"/>
      <w:r>
        <w:rPr>
          <w:rFonts w:ascii="Times New Roman" w:hAnsi="Times New Roman"/>
          <w:b/>
          <w:color w:val="202124"/>
          <w:sz w:val="29"/>
        </w:rPr>
        <w:t>4.1 Introduction</w:t>
      </w:r>
      <w:bookmarkEnd w:id="183"/>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4" w:name="body_214"/>
      <w:r>
        <w:rPr>
          <w:rFonts w:ascii="Times New Roman" w:hAnsi="Times New Roman"/>
          <w:b/>
          <w:color w:val="202124"/>
          <w:sz w:val="29"/>
        </w:rPr>
        <w:t>4.2 Workflow proposé</w:t>
      </w:r>
      <w:bookmarkEnd w:id="184"/>
    </w:p>
    <w:p>
      <w:pPr>
        <w:pStyle w:val="Heading3"/>
      </w:pPr>
      <w:bookmarkStart w:id="185" w:name="extra_4_2_1_Enregistrement_et_planific"/>
      <w:r>
        <w:rPr>
          <w:rFonts w:ascii="Times New Roman" w:hAnsi="Times New Roman"/>
          <w:b/>
          <w:color w:val="202124"/>
          <w:sz w:val="25"/>
        </w:rPr>
        <w:t>4.2.1 Enregistrement et planification</w:t>
      </w:r>
      <w:bookmarkEnd w:id="185"/>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 les recommandations considérées risquées ou reposant sur du SQL personnalisé sont laissées en attente de revue.</w:t>
      </w:r>
    </w:p>
    <w:p>
      <w:pPr>
        <w:pStyle w:val="Heading3"/>
      </w:pPr>
      <w:bookmarkStart w:id="186" w:name="extra_4_2_2_Profilage_et_d_tection"/>
      <w:r>
        <w:rPr>
          <w:rFonts w:ascii="Times New Roman" w:hAnsi="Times New Roman"/>
          <w:b/>
          <w:color w:val="202124"/>
          <w:sz w:val="25"/>
        </w:rPr>
        <w:t>4.2.2 Profilage et détection</w:t>
      </w:r>
      <w:bookmarkEnd w:id="186"/>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 les méthodes historiques s’activent seulement lorsque le nombre de profils est suffisant. Le score et la plage attendue sont persistés afin que l’interface puisse expliquer pourquoi un contrôle a échoué.</w:t>
      </w:r>
    </w:p>
    <w:p>
      <w:pPr>
        <w:pStyle w:val="Heading3"/>
      </w:pPr>
      <w:bookmarkStart w:id="187" w:name="extra_4_2_3_Incident_narration_et_aler"/>
      <w:r>
        <w:rPr>
          <w:rFonts w:ascii="Times New Roman" w:hAnsi="Times New Roman"/>
          <w:b/>
          <w:color w:val="202124"/>
          <w:sz w:val="25"/>
        </w:rPr>
        <w:t>4.2.3 Incident, narration et alerte</w:t>
      </w:r>
      <w:bookmarkEnd w:id="187"/>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 les dérives de schéma et cumuls d’échecs produisent généralement P2 ;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88" w:name="body_216"/>
      <w:r>
        <w:rPr>
          <w:rFonts w:ascii="Times New Roman" w:hAnsi="Times New Roman"/>
          <w:b/>
          <w:color w:val="202124"/>
          <w:sz w:val="29"/>
        </w:rPr>
        <w:t>4.3 Technologies utilisées</w:t>
      </w:r>
      <w:bookmarkEnd w:id="188"/>
    </w:p>
    <w:p>
      <w:pPr>
        <w:pStyle w:val="Caption"/>
        <w:keepNext/>
        <w:spacing w:before="160" w:after="100"/>
        <w:jc w:val="left"/>
      </w:pPr>
      <w:bookmarkStart w:id="189"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89"/>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Aucune technologie n’est ici décorative. PostgreSQL conserve l’historique et les contraintes ; Redis et Celery encaissent la cadence variable des profils ; les connecteurs absorbent la diversité des dialectes ; scikit-learn et statsmodels portent les détecteurs non supervisés et temporels ; l’API compatible OpenAI transforme enfin les faits déjà calculés en explication structurée. L’architecture Big Data et IA vient de cet enchaînement, pas de l’ajout nominal d’un outil isolé.</w:t>
      </w:r>
    </w:p>
    <w:p>
      <w:pPr>
        <w:spacing w:after="140"/>
        <w:jc w:val="both"/>
      </w:pPr>
      <w:r>
        <w:rPr>
          <w:rFonts w:ascii="Times New Roman" w:hAnsi="Times New Roman"/>
          <w:b w:val="0"/>
          <w:i w:val="0"/>
          <w:color w:val="202124"/>
          <w:sz w:val="24"/>
        </w:rPr>
        <w:t>Le choix des technologies suit les points de pression réels du produit : FastAPI expose des contrats asynchrones ; PostgreSQL verrouille transactions, historique et isolation ; Redis et Celery découplent la cadence de collecte du temps de réponse utilisateur ; les bibliothèques statistiques exécutent les détecteurs ; React rend l’enquête lisible ; Docker Compose fige la démonstration. L’ensemble peut évoluer composant par composant sans casser la chaîne de preuve de bout en bout.</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0" w:name="body_219"/>
      <w:r>
        <w:rPr>
          <w:rFonts w:ascii="Times New Roman" w:hAnsi="Times New Roman"/>
          <w:b/>
          <w:color w:val="202124"/>
          <w:sz w:val="29"/>
        </w:rPr>
        <w:t>4.4 Présentation des interfaces</w:t>
      </w:r>
      <w:bookmarkEnd w:id="190"/>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1" w:name="body_221"/>
      <w:r>
        <w:rPr>
          <w:rFonts w:ascii="Times New Roman" w:hAnsi="Times New Roman"/>
          <w:b/>
          <w:color w:val="202124"/>
          <w:sz w:val="25"/>
        </w:rPr>
        <w:t>4.4.1 Vue Opérations</w:t>
      </w:r>
      <w:bookmarkEnd w:id="191"/>
    </w:p>
    <w:p>
      <w:pPr>
        <w:spacing w:after="140"/>
        <w:jc w:val="both"/>
      </w:pPr>
      <w:r>
        <w:rPr>
          <w:rFonts w:ascii="Times New Roman" w:hAnsi="Times New Roman"/>
          <w:b w:val="0"/>
          <w:i w:val="0"/>
          <w:color w:val="202124"/>
          <w:sz w:val="24"/>
        </w:rPr>
        <w:t>Le parcours commence avant le tableau de bord. Le sous-domaine dans l’URL fixe le workspace ;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1" name="Picture 21"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5"/>
                    <a:stretch>
                      <a:fillRect/>
                    </a:stretch>
                  </pic:blipFill>
                  <pic:spPr>
                    <a:xfrm>
                      <a:off x="0" y="0"/>
                      <a:ext cx="5688000" cy="3555000"/>
                    </a:xfrm>
                    <a:prstGeom prst="rect"/>
                  </pic:spPr>
                </pic:pic>
              </a:graphicData>
            </a:graphic>
          </wp:inline>
        </w:drawing>
      </w:r>
    </w:p>
    <w:p>
      <w:pPr>
        <w:pStyle w:val="Caption"/>
      </w:pPr>
      <w:bookmarkStart w:id="192"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2"/>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2" name="Picture 22"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3"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3"/>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3" name="Picture 23"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4"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4"/>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5" w:name="body_225"/>
      <w:r>
        <w:rPr>
          <w:rFonts w:ascii="Times New Roman" w:hAnsi="Times New Roman"/>
          <w:b/>
          <w:color w:val="202124"/>
          <w:sz w:val="25"/>
        </w:rPr>
        <w:t>4.4.2 Détail de l’incident P1</w:t>
      </w:r>
      <w:bookmarkEnd w:id="195"/>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4" name="Picture 24"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6"/>
    </w:p>
    <w:p>
      <w:pPr>
        <w:keepLines/>
        <w:spacing w:after="180"/>
        <w:jc w:val="both"/>
      </w:pPr>
      <w:r>
        <w:rPr>
          <w:rFonts w:ascii="Times New Roman" w:hAnsi="Times New Roman"/>
          <w:b w:val="0"/>
          <w:i w:val="0"/>
          <w:color w:val="202124"/>
          <w:sz w:val="24"/>
        </w:rPr>
        <w:t>Les onglets séparent ouverts, en cours d’analyse, résolus et ignorés ;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5" name="Picture 25"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7"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7"/>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6" name="Picture 26"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8"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198"/>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199" w:name="body_229"/>
      <w:r>
        <w:rPr>
          <w:rFonts w:ascii="Times New Roman" w:hAnsi="Times New Roman"/>
          <w:b/>
          <w:color w:val="202124"/>
          <w:sz w:val="25"/>
        </w:rPr>
        <w:t>4.4.3 Détail de la table surveillée</w:t>
      </w:r>
      <w:bookmarkEnd w:id="199"/>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7" name="Picture 27"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0"/>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28" name="Picture 28"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1"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1"/>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29" name="Picture 29"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2"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2"/>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0" name="Picture 30"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3"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3"/>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4" w:name="body_233"/>
      <w:r>
        <w:rPr>
          <w:rFonts w:ascii="Times New Roman" w:hAnsi="Times New Roman"/>
          <w:b/>
          <w:color w:val="202124"/>
          <w:sz w:val="25"/>
        </w:rPr>
        <w:t>4.4.4 Alertes et gouvernance IA</w:t>
      </w:r>
      <w:bookmarkEnd w:id="204"/>
    </w:p>
    <w:p>
      <w:pPr>
        <w:pStyle w:val="Heading3"/>
      </w:pPr>
      <w:bookmarkStart w:id="205" w:name="extra_4_4_4_1_Rapports_quipes_et_astre"/>
      <w:r>
        <w:rPr>
          <w:rFonts w:ascii="Times New Roman" w:hAnsi="Times New Roman"/>
          <w:b/>
          <w:color w:val="202124"/>
          <w:sz w:val="25"/>
        </w:rPr>
        <w:t>4.4.4.1 Rapports, équipes et astreintes</w:t>
      </w:r>
      <w:bookmarkEnd w:id="205"/>
    </w:p>
    <w:p>
      <w:pPr>
        <w:spacing w:after="140"/>
        <w:jc w:val="both"/>
      </w:pPr>
      <w:r>
        <w:rPr>
          <w:rFonts w:ascii="Times New Roman" w:hAnsi="Times New Roman"/>
          <w:b w:val="0"/>
          <w:i w:val="0"/>
          <w:color w:val="202124"/>
          <w:sz w:val="24"/>
        </w:rPr>
        <w:t>La réponse à l’incident dépasse l’écran technique. Les rapports condensent une semaine ; les équipes rendent l’affectation concrète ;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1" name="Picture 31"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6"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6"/>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2" name="Picture 32"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7"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7"/>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3" name="Picture 33"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8"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08"/>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09" w:name="extra_4_4_4_2_Sources_connecteurs_et_n"/>
      <w:r>
        <w:rPr>
          <w:rFonts w:ascii="Times New Roman" w:hAnsi="Times New Roman"/>
          <w:b/>
          <w:color w:val="202124"/>
          <w:sz w:val="25"/>
        </w:rPr>
        <w:t>4.4.4.2 Sources, connecteurs et notifications</w:t>
      </w:r>
      <w:bookmarkEnd w:id="209"/>
    </w:p>
    <w:p>
      <w:pPr>
        <w:spacing w:after="140"/>
        <w:jc w:val="both"/>
      </w:pPr>
      <w:r>
        <w:rPr>
          <w:rFonts w:ascii="Times New Roman" w:hAnsi="Times New Roman"/>
          <w:b w:val="0"/>
          <w:i w:val="0"/>
          <w:color w:val="202124"/>
          <w:sz w:val="24"/>
        </w:rPr>
        <w:t>Le catalogue distingue les capacités annoncées de chaque moteur. La source seedée sert de verticale vérifiée ;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4" name="Picture 34"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0"/>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5" name="Picture 35"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1"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1"/>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6" name="Picture 36"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2"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2"/>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7" name="Picture 37"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3"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3"/>
    </w:p>
    <w:p>
      <w:pPr>
        <w:keepLines/>
        <w:spacing w:after="180"/>
        <w:jc w:val="both"/>
      </w:pPr>
      <w:r>
        <w:rPr>
          <w:rFonts w:ascii="Times New Roman" w:hAnsi="Times New Roman"/>
          <w:b w:val="0"/>
          <w:i w:val="0"/>
          <w:color w:val="202124"/>
          <w:sz w:val="24"/>
        </w:rPr>
        <w:t>Les bascules distinguent attribution, activité d’équipe et changement d’état ; le digest quotidien possède sa propre heure et son fuseau. Une route d’organisation définit donc la livraison possible, tandis que ces préférences règlent ce que chaque personne souhaite recevoir.</w:t>
      </w:r>
    </w:p>
    <w:p>
      <w:pPr>
        <w:pStyle w:val="Heading3"/>
      </w:pPr>
      <w:bookmarkStart w:id="214" w:name="extra_4_4_4_3_Registre_de_gouvernance_"/>
      <w:r>
        <w:rPr>
          <w:rFonts w:ascii="Times New Roman" w:hAnsi="Times New Roman"/>
          <w:b/>
          <w:color w:val="202124"/>
          <w:sz w:val="25"/>
        </w:rPr>
        <w:t>4.4.4.3 Registre de gouvernance IA</w:t>
      </w:r>
      <w:bookmarkEnd w:id="214"/>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38" name="Picture 38"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5"/>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39" name="Picture 39"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6"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6"/>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0" name="Picture 40"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7"/>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18" w:name="extra_4_4_4_4_Limites_du_prototype_de_"/>
      <w:r>
        <w:rPr>
          <w:rFonts w:ascii="Times New Roman" w:hAnsi="Times New Roman"/>
          <w:b/>
          <w:color w:val="202124"/>
          <w:sz w:val="25"/>
        </w:rPr>
        <w:t>4.4.4.4 Limites du prototype de gouvernance IA</w:t>
      </w:r>
      <w:bookmarkEnd w:id="218"/>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19" w:name="extra_4_4_4_5_Portail_staff"/>
      <w:r>
        <w:rPr>
          <w:rFonts w:ascii="Times New Roman" w:hAnsi="Times New Roman"/>
          <w:b/>
          <w:color w:val="202124"/>
          <w:sz w:val="25"/>
        </w:rPr>
        <w:t>4.4.4.5 Portail staff</w:t>
      </w:r>
      <w:bookmarkEnd w:id="219"/>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1" name="Picture 41"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20"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0"/>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2" name="Picture 42"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1"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1"/>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3" name="Picture 43"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2"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2"/>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4" name="Picture 44"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3"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3"/>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 il sert à éprouver le modèle de données et l’interface, pas à prouver une gouvernance industrielle.</w:t>
      </w:r>
    </w:p>
    <w:p>
      <w:pPr>
        <w:pStyle w:val="Heading3"/>
      </w:pPr>
      <w:bookmarkStart w:id="224" w:name="body_239"/>
      <w:r>
        <w:rPr>
          <w:rFonts w:ascii="Times New Roman" w:hAnsi="Times New Roman"/>
          <w:b/>
          <w:color w:val="202124"/>
          <w:sz w:val="25"/>
        </w:rPr>
        <w:t>4.4.5 Règles de présentation des captures</w:t>
      </w:r>
      <w:bookmarkEnd w:id="224"/>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5" w:name="body_247"/>
      <w:r>
        <w:rPr>
          <w:rFonts w:ascii="Times New Roman" w:hAnsi="Times New Roman"/>
          <w:b/>
          <w:color w:val="202124"/>
          <w:sz w:val="29"/>
        </w:rPr>
        <w:t>4.5 Tests et validation</w:t>
      </w:r>
      <w:bookmarkEnd w:id="225"/>
    </w:p>
    <w:p>
      <w:pPr>
        <w:pStyle w:val="Heading3"/>
      </w:pPr>
      <w:bookmarkStart w:id="226" w:name="extra_4_5_1_Strat_gie_de_test"/>
      <w:r>
        <w:rPr>
          <w:rFonts w:ascii="Times New Roman" w:hAnsi="Times New Roman"/>
          <w:b/>
          <w:color w:val="202124"/>
          <w:sz w:val="25"/>
        </w:rPr>
        <w:t>4.5.1 Stratégie de test</w:t>
      </w:r>
      <w:bookmarkEnd w:id="226"/>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7" w:name="extra_4_5_2_Sc_narios_fonctionnels"/>
      <w:r>
        <w:rPr>
          <w:rFonts w:ascii="Times New Roman" w:hAnsi="Times New Roman"/>
          <w:b/>
          <w:color w:val="202124"/>
          <w:sz w:val="25"/>
        </w:rPr>
        <w:t>4.5.2 Scénarios fonctionnels</w:t>
      </w:r>
      <w:bookmarkEnd w:id="227"/>
    </w:p>
    <w:p>
      <w:pPr>
        <w:pStyle w:val="Caption"/>
        <w:keepNext/>
        <w:spacing w:before="160" w:after="100"/>
        <w:jc w:val="left"/>
      </w:pPr>
      <w:bookmarkStart w:id="228"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28"/>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29" w:name="extra_4_5_3_R_sultats_et_interpr_tatio"/>
      <w:r>
        <w:rPr>
          <w:rFonts w:ascii="Times New Roman" w:hAnsi="Times New Roman"/>
          <w:b/>
          <w:color w:val="202124"/>
          <w:sz w:val="25"/>
        </w:rPr>
        <w:t>4.5.3 Résultats et interprétation</w:t>
      </w:r>
      <w:bookmarkEnd w:id="229"/>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 une suite avec dépendances simulées ne prouve pas qu’une transaction réelle fonctionne ;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 elles ne deviennent pas, par glissement de vocabulaire, une validation totale.</w:t>
      </w:r>
    </w:p>
    <w:p>
      <w:pPr>
        <w:pStyle w:val="Heading2"/>
      </w:pPr>
      <w:bookmarkStart w:id="230" w:name="body_254"/>
      <w:r>
        <w:rPr>
          <w:rFonts w:ascii="Times New Roman" w:hAnsi="Times New Roman"/>
          <w:b/>
          <w:color w:val="202124"/>
          <w:sz w:val="29"/>
        </w:rPr>
        <w:t>4.6 Discussion des limites</w:t>
      </w:r>
      <w:bookmarkEnd w:id="230"/>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1" w:name="body_256"/>
      <w:r>
        <w:rPr>
          <w:rFonts w:ascii="Times New Roman" w:hAnsi="Times New Roman"/>
          <w:b/>
          <w:color w:val="202124"/>
          <w:sz w:val="29"/>
        </w:rPr>
        <w:t>4.7 Conclusion</w:t>
      </w:r>
      <w:bookmarkEnd w:id="231"/>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2" w:name="body_258"/>
      <w:r>
        <w:rPr>
          <w:rFonts w:ascii="Times New Roman" w:hAnsi="Times New Roman"/>
          <w:b/>
          <w:color w:val="202124"/>
          <w:sz w:val="38"/>
        </w:rPr>
        <w:t>CONCLUSION GÉNÉRALE ET PERSPECTIVES</w:t>
      </w:r>
      <w:bookmarkEnd w:id="232"/>
    </w:p>
    <w:p>
      <w:pPr>
        <w:pStyle w:val="Heading2"/>
      </w:pPr>
      <w:bookmarkStart w:id="233" w:name="body_259"/>
      <w:r>
        <w:rPr>
          <w:rFonts w:ascii="Times New Roman" w:hAnsi="Times New Roman"/>
          <w:b/>
          <w:color w:val="202124"/>
          <w:sz w:val="29"/>
        </w:rPr>
        <w:t>Cadre du travail</w:t>
      </w:r>
      <w:bookmarkEnd w:id="233"/>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4" w:name="body_261"/>
      <w:r>
        <w:rPr>
          <w:rFonts w:ascii="Times New Roman" w:hAnsi="Times New Roman"/>
          <w:b/>
          <w:color w:val="202124"/>
          <w:sz w:val="29"/>
        </w:rPr>
        <w:t>Synthèse des apports</w:t>
      </w:r>
      <w:bookmarkEnd w:id="234"/>
    </w:p>
    <w:p>
      <w:pPr>
        <w:spacing w:after="140"/>
        <w:jc w:val="both"/>
      </w:pPr>
      <w:r>
        <w:rPr>
          <w:rFonts w:ascii="Times New Roman" w:hAnsi="Times New Roman"/>
          <w:b w:val="0"/>
          <w:i w:val="0"/>
          <w:color w:val="202124"/>
          <w:sz w:val="24"/>
        </w:rPr>
        <w:t>Sur le plan technique, le projet relie les quatre contraintes classiques d’un système data — volume, variété, vélocité et véracité — à une chaîne concrète : connecteurs, agrégats, file de tâches, profils, détecteurs, incidents, narration et alertes. L’apport IA n’est donc pas un écran ajouté après coup. Il réside dans la comparaison de méthodes déterministes, statistiques, non supervisées et temporelles, puis dans une explication générative tenue à distance de la décision. Sur le plan méthodologique, capacités déclarées, états explicites, révisions immuables et résultats reproductibles forment une discipline de preuve. Sur le plan utilisateur, des métriques éparses deviennent un parcours d’investigation.</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5" w:name="body_263"/>
      <w:r>
        <w:rPr>
          <w:rFonts w:ascii="Times New Roman" w:hAnsi="Times New Roman"/>
          <w:b/>
          <w:color w:val="202124"/>
          <w:sz w:val="29"/>
        </w:rPr>
        <w:t>Perspectives</w:t>
      </w:r>
      <w:bookmarkEnd w:id="235"/>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6" w:name="body_269"/>
      <w:r>
        <w:rPr>
          <w:rFonts w:ascii="Times New Roman" w:hAnsi="Times New Roman"/>
          <w:b/>
          <w:color w:val="202124"/>
          <w:sz w:val="38"/>
        </w:rPr>
        <w:t>RÉFÉRENCES</w:t>
      </w:r>
      <w:bookmarkEnd w:id="236"/>
    </w:p>
    <w:p>
      <w:pPr>
        <w:spacing w:after="140"/>
        <w:jc w:val="both"/>
      </w:pPr>
      <w:r>
        <w:rPr>
          <w:rFonts w:ascii="Times New Roman" w:hAnsi="Times New Roman"/>
          <w:b w:val="0"/>
          <w:i w:val="0"/>
          <w:color w:val="202124"/>
          <w:sz w:val="24"/>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 2026-08-21, dossier docs/evidence du projet.</w:t>
      </w:r>
    </w:p>
    <w:p>
      <w:pPr>
        <w:spacing w:after="100"/>
        <w:ind w:left="397" w:hanging="397"/>
        <w:jc w:val="left"/>
      </w:pPr>
      <w:r>
        <w:rPr>
          <w:rFonts w:ascii="Times New Roman" w:hAnsi="Times New Roman"/>
          <w:b w:val="0"/>
          <w:i w:val="0"/>
          <w:color w:val="202124"/>
          <w:sz w:val="19"/>
        </w:rPr>
        <w:t>[3] DataWatch, AI governance phase-two evidence —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 SQuaRE — Data quality model, version confirmée en 2025.</w:t>
      </w:r>
    </w:p>
    <w:p>
      <w:pPr>
        <w:pStyle w:val="Heading1"/>
        <w:jc w:val="left"/>
        <w:pBdr>
          <w:bottom w:val="single" w:sz="14" w:space="6" w:color="B1202D"/>
        </w:pBdr>
      </w:pPr>
      <w:bookmarkStart w:id="237" w:name="body_279"/>
      <w:r>
        <w:rPr>
          <w:rFonts w:ascii="Times New Roman" w:hAnsi="Times New Roman"/>
          <w:b/>
          <w:color w:val="202124"/>
          <w:sz w:val="38"/>
        </w:rPr>
        <w:t>ANNEXES</w:t>
      </w:r>
      <w:bookmarkEnd w:id="237"/>
    </w:p>
    <w:p>
      <w:pPr>
        <w:pStyle w:val="Heading2"/>
      </w:pPr>
      <w:bookmarkStart w:id="238" w:name="body_280"/>
      <w:r>
        <w:rPr>
          <w:rFonts w:ascii="Times New Roman" w:hAnsi="Times New Roman"/>
          <w:b/>
          <w:color w:val="202124"/>
          <w:sz w:val="29"/>
        </w:rPr>
        <w:t>Annexe A — Procédure de démonstration</w:t>
      </w:r>
      <w:bookmarkEnd w:id="238"/>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39" w:name="body_286"/>
      <w:r>
        <w:rPr>
          <w:rFonts w:ascii="Times New Roman" w:hAnsi="Times New Roman"/>
          <w:b/>
          <w:color w:val="202124"/>
          <w:sz w:val="29"/>
        </w:rPr>
        <w:t>Annexe B — Indicateurs à interpréter avec prudence</w:t>
      </w:r>
      <w:bookmarkEnd w:id="239"/>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0" w:name="body_288"/>
      <w:r>
        <w:rPr>
          <w:rFonts w:ascii="Times New Roman" w:hAnsi="Times New Roman"/>
          <w:b/>
          <w:color w:val="202124"/>
          <w:sz w:val="29"/>
        </w:rPr>
        <w:t>Annexe C — Guide de captures d’écran pour la soutenance</w:t>
      </w:r>
      <w:bookmarkEnd w:id="240"/>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1" w:name="body_290"/>
      <w:r>
        <w:rPr>
          <w:rFonts w:ascii="Times New Roman" w:hAnsi="Times New Roman"/>
          <w:b/>
          <w:color w:val="202124"/>
          <w:sz w:val="25"/>
        </w:rPr>
        <w:t>C.1 Tableau de bord Opérations</w:t>
      </w:r>
      <w:bookmarkEnd w:id="241"/>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2" w:name="body_292"/>
      <w:r>
        <w:rPr>
          <w:rFonts w:ascii="Times New Roman" w:hAnsi="Times New Roman"/>
          <w:b/>
          <w:color w:val="202124"/>
          <w:sz w:val="25"/>
        </w:rPr>
        <w:t>C.2 Détail de l’incident orders</w:t>
      </w:r>
      <w:bookmarkEnd w:id="242"/>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3" w:name="body_294"/>
      <w:r>
        <w:rPr>
          <w:rFonts w:ascii="Times New Roman" w:hAnsi="Times New Roman"/>
          <w:b/>
          <w:color w:val="202124"/>
          <w:sz w:val="25"/>
        </w:rPr>
        <w:t>C.3 Routage d’alerte et gouvernance IA</w:t>
      </w:r>
      <w:bookmarkEnd w:id="243"/>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4" w:name="annex_d"/>
      <w:r>
        <w:rPr>
          <w:rFonts w:ascii="Times New Roman" w:hAnsi="Times New Roman"/>
          <w:b/>
          <w:color w:val="202124"/>
          <w:sz w:val="29"/>
        </w:rPr>
        <w:t>Annexe D — Repères techniques et reproduction</w:t>
      </w:r>
      <w:bookmarkEnd w:id="244"/>
    </w:p>
    <w:p>
      <w:pPr>
        <w:spacing w:after="140"/>
        <w:jc w:val="both"/>
      </w:pPr>
      <w:r>
        <w:rPr>
          <w:rFonts w:ascii="Times New Roman" w:hAnsi="Times New Roman"/>
          <w:b w:val="0"/>
          <w:i w:val="0"/>
          <w:color w:val="202124"/>
          <w:sz w:val="24"/>
        </w:rPr>
        <w:t>Cette annexe conserve uniquement les chiffres nécessaires pour relire la démonstration et reproduire le rapport. Le modèle relationnel complet est déjà présenté par les figures 3.15 à 3.18 ; répéter ici les colonnes de chacune des 29 tables alourdissait le document sans améliorer l’analyse.</w:t>
      </w:r>
    </w:p>
    <w:p>
      <w:pPr>
        <w:pStyle w:val="Caption"/>
        <w:keepNext/>
        <w:spacing w:before="160" w:after="100"/>
        <w:jc w:val="left"/>
      </w:pPr>
      <w:bookmarkStart w:id="245" w:name="tab_d_1"/>
      <w:r>
        <w:rPr>
          <w:rFonts w:ascii="Times New Roman" w:hAnsi="Times New Roman"/>
          <w:b/>
          <w:color w:val="B1202D"/>
          <w:sz w:val="19"/>
        </w:rPr>
        <w:t>Tableau D.1</w:t>
      </w:r>
      <w:r>
        <w:rPr>
          <w:rFonts w:ascii="Times New Roman" w:hAnsi="Times New Roman"/>
          <w:color w:val="5F6368"/>
          <w:sz w:val="19"/>
        </w:rPr>
        <w:t xml:space="preserve"> — Repères vérifiables du prototype</w:t>
      </w:r>
      <w:bookmarkEnd w:id="245"/>
    </w:p>
    <w:tbl>
      <w:tblPr>
        <w:tblW w:type="auto" w:w="0"/>
        <w:jc w:val="center"/>
        <w:tblLayout w:type="fixed"/>
        <w:tblLook w:firstColumn="1" w:firstRow="1" w:lastColumn="0" w:lastRow="0" w:noHBand="0" w:noVBand="1" w:val="04A0"/>
      </w:tblPr>
      <w:tblGrid>
        <w:gridCol w:w="2850"/>
        <w:gridCol w:w="1200"/>
        <w:gridCol w:w="4850"/>
      </w:tblGrid>
      <w:tr>
        <w:trPr>
          <w:tblHeader w:val="true"/>
        </w:trPr>
        <w:tc>
          <w:tcPr>
            <w:tcW w:type="dxa" w:w="2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Repère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Valeur</w:t>
            </w:r>
          </w:p>
        </w:tc>
        <w:tc>
          <w:tcPr>
            <w:tcW w:type="dxa" w:w="4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Modèle applicatif</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29</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Tables SQLAlchemy, hors table technique de migration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Jeu de démonstration</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922</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Lignes applicatives seedées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Profils de table</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utilisé par les courbes et détecteurs</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Résultats de contrôle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Observations persistées et explicables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Tables surveillées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Actifs configurés dans les workspaces de démonstration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ouverts ou historisés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Contrôles de gouvernance IA</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Preuves du prototype observe-only</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r>
        <w:rPr>
          <w:rFonts w:ascii="Times New Roman" w:hAnsi="Times New Roman"/>
          <w:b/>
          <w:color w:val="202124"/>
          <w:sz w:val="25"/>
        </w:rPr>
        <w:t>D.1 Commandes de reproduction</w:t>
      </w:r>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vues du rapport. Les identifiants de démonstration restent dans le guide local ;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4"/>
      <w:footerReference w:type="default" r:id="rId15"/>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 DataWatch</dc:title>
  <dc:subject>Conception et réalisation d’une plateforme SaaS de surveillance de la qualité des données</dc:subject>
  <dc:creator>Mounir Gaiby</dc:creator>
  <cp:keywords>DataWatch, qualité des données, SaaS, intelligence artificielle, ISGA</cp:keywords>
  <dc:description>Rapport de Projet de Fin d’Études — ISGA Casablanca</dc:description>
  <cp:lastModifiedBy/>
  <cp:revision>1</cp:revision>
  <dcterms:created xsi:type="dcterms:W3CDTF">2013-12-23T23:15:00Z</dcterms:created>
  <dcterms:modified xsi:type="dcterms:W3CDTF">2013-12-23T23:15:00Z</dcterms:modified>
  <cp:category/>
</cp:coreProperties>
</file>