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ptos" w:hAnsi="Aptos"/>
          <w:b/>
          <w:color w:val="1F4E79"/>
          <w:sz w:val="44"/>
        </w:rPr>
        <w:t>ISGA CASABLANCA</w:t>
      </w:r>
    </w:p>
    <w:p>
      <w:pPr>
        <w:jc w:val="center"/>
      </w:pPr>
      <w:r>
        <w:rPr>
          <w:rFonts w:ascii="Aptos" w:hAnsi="Aptos"/>
          <w:color w:val="5B6573"/>
          <w:sz w:val="24"/>
        </w:rPr>
        <w:t>3CI — Big Data et Intelligence Artificielle</w:t>
      </w:r>
    </w:p>
    <w:p/>
    <w:p>
      <w:pPr>
        <w:jc w:val="center"/>
      </w:pPr>
      <w:r>
        <w:rPr>
          <w:rFonts w:ascii="Aptos" w:hAnsi="Aptos"/>
          <w:b/>
          <w:color w:val="1F4E79"/>
          <w:sz w:val="32"/>
        </w:rPr>
        <w:t>PROJET DE FIN D’ÉTUDES</w:t>
      </w:r>
    </w:p>
    <w:p/>
    <w:p/>
    <w:p/>
    <w:p>
      <w:pPr>
        <w:spacing w:after="280"/>
        <w:jc w:val="center"/>
      </w:pPr>
      <w:r>
        <w:rPr>
          <w:rFonts w:ascii="Aptos" w:hAnsi="Aptos"/>
          <w:b/>
          <w:color w:val="17212B"/>
          <w:sz w:val="52"/>
        </w:rPr>
        <w:t>Conception et réalisation de DataWatch</w:t>
      </w:r>
    </w:p>
    <w:p>
      <w:pPr>
        <w:jc w:val="center"/>
      </w:pPr>
      <w:r>
        <w:rPr>
          <w:rFonts w:ascii="Aptos" w:hAnsi="Aptos"/>
          <w:color w:val="5B6573"/>
          <w:sz w:val="28"/>
        </w:rPr>
        <w:t>Plateforme SaaS multi-tenant de surveillance de la qualité des données, enrichie par l’IA pour l’explication des incidents</w:t>
      </w:r>
    </w:p>
    <w:p/>
    <w:p/>
    <w:p/>
    <w:p/>
    <w:p/>
    <w:p/>
    <w:tbl>
      <w:tblPr>
        <w:tblW w:type="auto" w:w="0"/>
        <w:jc w:val="center"/>
        <w:tblLayout w:type="fixed"/>
        <w:tblLook w:firstColumn="1" w:firstRow="1" w:lastColumn="0" w:lastRow="0" w:noHBand="0" w:noVBand="1" w:val="04A0"/>
      </w:tblPr>
      <w:tblGrid>
        <w:gridCol w:w="4759"/>
        <w:gridCol w:w="4759"/>
      </w:tblGrid>
      <w:tr>
        <w:trPr>
          <w:tblHeader w:val="true"/>
        </w:trPr>
        <w:tc>
          <w:tcPr>
            <w:tcW w:type="dxa" w:w="4649"/>
            <w:shd w:fill="1F4E79"/>
            <w:tcBorders>
              <w:top w:val="single" w:sz="6" w:color="FFFFFF"/>
              <w:left w:val="single" w:sz="6" w:color="FFFFFF"/>
              <w:bottom w:val="single" w:sz="6" w:color="FFFFFF"/>
              <w:right w:val="single" w:sz="6" w:color="FFFFFF"/>
            </w:tcBorders>
            <w:vAlign w:val="center"/>
          </w:tcPr>
          <w:p>
            <w:pPr>
              <w:jc w:val="left"/>
            </w:pPr>
            <w:r/>
            <w:r>
              <w:rPr>
                <w:rFonts w:ascii="Aptos" w:hAnsi="Aptos"/>
                <w:b/>
                <w:color w:val="FFFFFF"/>
                <w:sz w:val="22"/>
              </w:rPr>
              <w:t>Réalisé par</w:t>
            </w:r>
          </w:p>
        </w:tc>
        <w:tc>
          <w:tcPr>
            <w:tcW w:type="dxa" w:w="4649"/>
            <w:shd w:fill="1F4E79"/>
            <w:tcBorders>
              <w:top w:val="single" w:sz="6" w:color="FFFFFF"/>
              <w:left w:val="single" w:sz="6" w:color="FFFFFF"/>
              <w:bottom w:val="single" w:sz="6" w:color="FFFFFF"/>
              <w:right w:val="single" w:sz="6" w:color="FFFFFF"/>
            </w:tcBorders>
            <w:vAlign w:val="center"/>
          </w:tcPr>
          <w:p>
            <w:pPr>
              <w:jc w:val="left"/>
            </w:pPr>
            <w:r/>
            <w:r>
              <w:rPr>
                <w:rFonts w:ascii="Aptos" w:hAnsi="Aptos"/>
                <w:b/>
                <w:color w:val="FFFFFF"/>
                <w:sz w:val="22"/>
              </w:rPr>
              <w:t>Encadré par</w:t>
            </w:r>
          </w:p>
        </w:tc>
      </w:tr>
      <w:tr>
        <w:tc>
          <w:tcPr>
            <w:tcW w:type="dxa" w:w="4649"/>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22"/>
              </w:rPr>
              <w:t>Mounir Gaiby</w:t>
            </w:r>
          </w:p>
        </w:tc>
        <w:tc>
          <w:tcPr>
            <w:tcW w:type="dxa" w:w="4649"/>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22"/>
              </w:rPr>
              <w:t>Dr. HANINE MOHAMED</w:t>
            </w:r>
          </w:p>
        </w:tc>
      </w:tr>
    </w:tbl>
    <w:p/>
    <w:p>
      <w:pPr>
        <w:jc w:val="center"/>
      </w:pPr>
      <w:r>
        <w:rPr>
          <w:rFonts w:ascii="Aptos" w:hAnsi="Aptos"/>
          <w:color w:val="5B6573"/>
          <w:sz w:val="22"/>
        </w:rPr>
        <w:t>Année universitaire 2025-2026</w:t>
      </w:r>
    </w:p>
    <w:p>
      <w:pPr>
        <w:sectPr>
          <w:footerReference w:type="default" r:id="rId9"/>
          <w:pgSz w:w="12240" w:h="15840"/>
          <w:pgMar w:top="1247" w:right="1361" w:bottom="1134" w:left="1361" w:header="720" w:footer="720" w:gutter="0"/>
          <w:cols w:space="720"/>
          <w:titlePg/>
          <w:docGrid w:linePitch="360"/>
        </w:sectPr>
      </w:pPr>
    </w:p>
    <w:p>
      <w:pPr>
        <w:jc w:val="center"/>
      </w:pPr>
      <w:r>
        <w:rPr>
          <w:rFonts w:ascii="Aptos" w:hAnsi="Aptos"/>
          <w:b/>
          <w:color w:val="1F4E79"/>
          <w:sz w:val="40"/>
        </w:rPr>
        <w:t>Dédicace</w:t>
      </w:r>
    </w:p>
    <w:p/>
    <w:p/>
    <w:p/>
    <w:p/>
    <w:p/>
    <w:p/>
    <w:p>
      <w:pPr>
        <w:jc w:val="center"/>
      </w:pPr>
      <w:r>
        <w:rPr>
          <w:rFonts w:ascii="Aptos" w:hAnsi="Aptos"/>
          <w:i/>
          <w:color w:val="5B6573"/>
          <w:sz w:val="26"/>
        </w:rPr>
        <w:t>Je dédie ce travail à ma famille, à mes proches et à toutes les personnes qui ont soutenu mon parcours académique.</w:t>
      </w:r>
    </w:p>
    <w:p>
      <w:r>
        <w:br w:type="page"/>
      </w:r>
    </w:p>
    <w:p>
      <w:pPr>
        <w:jc w:val="center"/>
      </w:pPr>
      <w:r>
        <w:rPr>
          <w:rFonts w:ascii="Aptos" w:hAnsi="Aptos"/>
          <w:b/>
          <w:color w:val="1F4E79"/>
          <w:sz w:val="40"/>
        </w:rPr>
        <w:t>Remerciements</w:t>
      </w:r>
    </w:p>
    <w:p>
      <w:pPr>
        <w:spacing w:after="160" w:line="307" w:lineRule="auto"/>
        <w:jc w:val="both"/>
      </w:pPr>
      <w:r>
        <w:rPr>
          <w:rFonts w:ascii="Aptos" w:hAnsi="Aptos"/>
          <w:color w:val="17212B"/>
          <w:sz w:val="22"/>
        </w:rPr>
        <w:t>Je tiens à exprimer ma reconnaissance à Dr. HANINE MOHAMED pour son encadrement, ses orientations méthodologiques et ses retours tout au long de ce projet. Mes remerciements s’adressent également aux enseignants de l’ISGA Casablanca, dont les enseignements ont constitué le socle technique et scientifique de ce travail.</w:t>
      </w:r>
    </w:p>
    <w:p>
      <w:pPr>
        <w:spacing w:after="160" w:line="307" w:lineRule="auto"/>
        <w:jc w:val="both"/>
      </w:pPr>
      <w:r>
        <w:rPr>
          <w:rFonts w:ascii="Aptos" w:hAnsi="Aptos"/>
          <w:color w:val="17212B"/>
          <w:sz w:val="22"/>
        </w:rPr>
        <w:t>Je remercie enfin ma famille et mes collègues pour leur soutien, leurs encouragements et leur disponibilité. Leur confiance a été déterminante dans l’aboutissement de ce projet de fin d’études.</w:t>
      </w:r>
    </w:p>
    <w:p>
      <w:r>
        <w:br w:type="page"/>
      </w:r>
    </w:p>
    <w:p>
      <w:pPr>
        <w:jc w:val="center"/>
      </w:pPr>
      <w:r>
        <w:rPr>
          <w:rFonts w:ascii="Aptos" w:hAnsi="Aptos"/>
          <w:b/>
          <w:color w:val="1F4E79"/>
          <w:sz w:val="40"/>
        </w:rPr>
        <w:t>Résumé</w:t>
      </w:r>
    </w:p>
    <w:p>
      <w:pPr>
        <w:spacing w:after="160" w:line="307" w:lineRule="auto"/>
        <w:jc w:val="both"/>
      </w:pPr>
      <w:r>
        <w:rPr>
          <w:rFonts w:ascii="Aptos" w:hAnsi="Aptos"/>
          <w:color w:val="17212B"/>
          <w:sz w:val="22"/>
        </w:rPr>
        <w:t>La qualité des données est un enjeu critique pour les organisations qui prennent des décisions à partir d’entrepôts, de bases opérationnelles et de flux analytiques. Pourtant, les défauts de fraîcheur, les ruptures de schéma, les pics de valeurs nulles ou les anomalies de volume sont souvent détectés tardivement, sans contexte exploitable par les équipes.</w:t>
      </w:r>
    </w:p>
    <w:p>
      <w:pPr>
        <w:spacing w:after="160" w:line="307" w:lineRule="auto"/>
        <w:jc w:val="both"/>
      </w:pPr>
      <w:r>
        <w:rPr>
          <w:rFonts w:ascii="Aptos" w:hAnsi="Aptos"/>
          <w:color w:val="17212B"/>
          <w:sz w:val="22"/>
        </w:rPr>
        <w:t>Ce projet présente DataWatch, une plateforme SaaS multi-tenant de surveillance de la qualité des données. La solution profile les tables surveillées, applique des règles métier, des méthodes statistiques et des modèles d’apprentissage automatique, puis crée des incidents priorisés. Une couche de narration par grand modèle de langage propose un résumé, des hypothèses et des actions de diagnostic, tout en conservant une décision humaine.</w:t>
      </w:r>
    </w:p>
    <w:p>
      <w:pPr>
        <w:spacing w:after="160" w:line="307" w:lineRule="auto"/>
        <w:jc w:val="both"/>
      </w:pPr>
      <w:r>
        <w:rPr>
          <w:rFonts w:ascii="Aptos" w:hAnsi="Aptos"/>
          <w:color w:val="17212B"/>
          <w:sz w:val="22"/>
        </w:rPr>
        <w:t>La réalisation s’appuie sur FastAPI, PostgreSQL, Redis, Celery, React et Docker. Une validation locale reproductible a couvert les parcours de surveillance, d’alerte, de moniteurs et de gouvernance IA. Les résultats montrent la faisabilité d’une chaîne complète de détection, d’explication et d’alerte, tout en distinguant clairement les preuves locales des garanties de production.</w:t>
      </w:r>
    </w:p>
    <w:p>
      <w:r>
        <w:rPr>
          <w:rFonts w:ascii="Aptos" w:hAnsi="Aptos"/>
          <w:b/>
          <w:color w:val="1F4E79"/>
          <w:sz w:val="21"/>
        </w:rPr>
        <w:t xml:space="preserve">Mots-clés : </w:t>
      </w:r>
      <w:r>
        <w:rPr>
          <w:rFonts w:ascii="Aptos" w:hAnsi="Aptos"/>
          <w:i/>
          <w:sz w:val="21"/>
        </w:rPr>
        <w:t>qualité des données, observabilité, SaaS, multi-tenancy, détection d’anomalies, IA générative, gouvernance IA.</w:t>
      </w:r>
    </w:p>
    <w:p>
      <w:r>
        <w:br w:type="page"/>
      </w:r>
    </w:p>
    <w:p>
      <w:pPr>
        <w:jc w:val="center"/>
      </w:pPr>
      <w:r>
        <w:rPr>
          <w:rFonts w:ascii="Aptos" w:hAnsi="Aptos"/>
          <w:b/>
          <w:color w:val="1F4E79"/>
          <w:sz w:val="40"/>
        </w:rPr>
        <w:t>Abstract</w:t>
      </w:r>
    </w:p>
    <w:p>
      <w:pPr>
        <w:spacing w:after="160" w:line="307" w:lineRule="auto"/>
        <w:jc w:val="both"/>
      </w:pPr>
      <w:r>
        <w:rPr>
          <w:rFonts w:ascii="Aptos" w:hAnsi="Aptos"/>
          <w:color w:val="17212B"/>
          <w:sz w:val="22"/>
        </w:rPr>
        <w:t>Data quality is essential for organisations that rely on warehouses, operational databases and analytical flows. Freshness breaches, schema changes, null-value spikes and volume anomalies are often detected too late and without enough context for effective investigation.</w:t>
      </w:r>
    </w:p>
    <w:p>
      <w:pPr>
        <w:spacing w:after="160" w:line="307" w:lineRule="auto"/>
        <w:jc w:val="both"/>
      </w:pPr>
      <w:r>
        <w:rPr>
          <w:rFonts w:ascii="Aptos" w:hAnsi="Aptos"/>
          <w:color w:val="17212B"/>
          <w:sz w:val="22"/>
        </w:rPr>
        <w:t>This project presents DataWatch, a multi-tenant SaaS platform for data-quality monitoring. The solution profiles monitored tables, applies business rules, statistical methods and machine-learning models, then creates prioritised incidents. A large-language-model narration layer provides a structured summary, plausible hypotheses and investigation actions while keeping the operator in control.</w:t>
      </w:r>
    </w:p>
    <w:p>
      <w:pPr>
        <w:spacing w:after="160" w:line="307" w:lineRule="auto"/>
        <w:jc w:val="both"/>
      </w:pPr>
      <w:r>
        <w:rPr>
          <w:rFonts w:ascii="Aptos" w:hAnsi="Aptos"/>
          <w:color w:val="17212B"/>
          <w:sz w:val="22"/>
        </w:rPr>
        <w:t>The implementation uses FastAPI, PostgreSQL, Redis, Celery, React and Docker. A reproducible local validation covered monitoring, alerts, monitors and AI-governance flows. The work demonstrates an end-to-end detection, explanation and alerting chain while explicitly separating local evidence from production guarantees.</w:t>
      </w:r>
    </w:p>
    <w:p>
      <w:r>
        <w:rPr>
          <w:rFonts w:ascii="Aptos" w:hAnsi="Aptos"/>
          <w:b/>
          <w:color w:val="1F4E79"/>
          <w:sz w:val="21"/>
        </w:rPr>
        <w:t xml:space="preserve">Keywords: </w:t>
      </w:r>
      <w:r>
        <w:rPr>
          <w:rFonts w:ascii="Aptos" w:hAnsi="Aptos"/>
          <w:i/>
          <w:sz w:val="21"/>
        </w:rPr>
        <w:t>data quality, observability, SaaS, multi-tenancy, anomaly detection, generative AI, AI governance.</w:t>
      </w:r>
    </w:p>
    <w:p>
      <w:r>
        <w:br w:type="page"/>
      </w:r>
    </w:p>
    <w:p>
      <w:pPr>
        <w:pStyle w:val="Heading1"/>
        <w:keepNext/>
      </w:pPr>
      <w:r>
        <w:rPr>
          <w:rFonts w:ascii="Aptos" w:hAnsi="Aptos"/>
          <w:b/>
          <w:color w:val="1F4E79"/>
          <w:sz w:val="32"/>
        </w:rPr>
        <w:t>Table des matières</w:t>
      </w:r>
    </w:p>
    <w:p>
      <w:pPr>
        <w:spacing w:after="100"/>
      </w:pPr>
      <w:r>
        <w:rPr>
          <w:rFonts w:ascii="Aptos" w:hAnsi="Aptos"/>
          <w:color w:val="17212B"/>
          <w:sz w:val="22"/>
        </w:rPr>
        <w:t>Introduction générale</w:t>
      </w:r>
      <w:r>
        <w:rPr>
          <w:rFonts w:ascii="Aptos" w:hAnsi="Aptos"/>
          <w:color w:val="5B6573"/>
          <w:sz w:val="20"/>
        </w:rPr>
        <w:t xml:space="preserve"> ........................................................... 1</w:t>
      </w:r>
    </w:p>
    <w:p>
      <w:pPr>
        <w:spacing w:after="100"/>
      </w:pPr>
      <w:r>
        <w:rPr>
          <w:rFonts w:ascii="Aptos" w:hAnsi="Aptos"/>
          <w:color w:val="17212B"/>
          <w:sz w:val="22"/>
        </w:rPr>
        <w:t>Chapitre 1 — Cadre général et conduite du projet</w:t>
      </w:r>
      <w:r>
        <w:rPr>
          <w:rFonts w:ascii="Aptos" w:hAnsi="Aptos"/>
          <w:color w:val="5B6573"/>
          <w:sz w:val="20"/>
        </w:rPr>
        <w:t xml:space="preserve"> ................................ 1</w:t>
      </w:r>
    </w:p>
    <w:p>
      <w:pPr>
        <w:spacing w:after="100"/>
      </w:pPr>
      <w:r>
        <w:rPr>
          <w:rFonts w:ascii="Aptos" w:hAnsi="Aptos"/>
          <w:color w:val="17212B"/>
          <w:sz w:val="22"/>
        </w:rPr>
        <w:t>Chapitre 2 — État de l’art et positionnement</w:t>
      </w:r>
      <w:r>
        <w:rPr>
          <w:rFonts w:ascii="Aptos" w:hAnsi="Aptos"/>
          <w:color w:val="5B6573"/>
          <w:sz w:val="20"/>
        </w:rPr>
        <w:t xml:space="preserve"> .................................... 3</w:t>
      </w:r>
    </w:p>
    <w:p>
      <w:pPr>
        <w:spacing w:after="100"/>
      </w:pPr>
      <w:r>
        <w:rPr>
          <w:rFonts w:ascii="Aptos" w:hAnsi="Aptos"/>
          <w:color w:val="17212B"/>
          <w:sz w:val="22"/>
        </w:rPr>
        <w:t>Chapitre 3 — Analyse, conception et architecture</w:t>
      </w:r>
      <w:r>
        <w:rPr>
          <w:rFonts w:ascii="Aptos" w:hAnsi="Aptos"/>
          <w:color w:val="5B6573"/>
          <w:sz w:val="20"/>
        </w:rPr>
        <w:t xml:space="preserve"> ................................ 3</w:t>
      </w:r>
    </w:p>
    <w:p>
      <w:pPr>
        <w:spacing w:after="100"/>
      </w:pPr>
      <w:r>
        <w:rPr>
          <w:rFonts w:ascii="Aptos" w:hAnsi="Aptos"/>
          <w:color w:val="17212B"/>
          <w:sz w:val="22"/>
        </w:rPr>
        <w:t>Chapitre 4 — Réalisation technique et validation</w:t>
      </w:r>
      <w:r>
        <w:rPr>
          <w:rFonts w:ascii="Aptos" w:hAnsi="Aptos"/>
          <w:color w:val="5B6573"/>
          <w:sz w:val="20"/>
        </w:rPr>
        <w:t xml:space="preserve"> ................................ 5</w:t>
      </w:r>
    </w:p>
    <w:p>
      <w:pPr>
        <w:spacing w:after="100"/>
      </w:pPr>
      <w:r>
        <w:rPr>
          <w:rFonts w:ascii="Aptos" w:hAnsi="Aptos"/>
          <w:color w:val="17212B"/>
          <w:sz w:val="22"/>
        </w:rPr>
        <w:t>Conclusion générale et perspectives</w:t>
      </w:r>
      <w:r>
        <w:rPr>
          <w:rFonts w:ascii="Aptos" w:hAnsi="Aptos"/>
          <w:color w:val="5B6573"/>
          <w:sz w:val="20"/>
        </w:rPr>
        <w:t xml:space="preserve"> ............................................. 7</w:t>
      </w:r>
    </w:p>
    <w:p>
      <w:pPr>
        <w:spacing w:after="100"/>
      </w:pPr>
      <w:r>
        <w:rPr>
          <w:rFonts w:ascii="Aptos" w:hAnsi="Aptos"/>
          <w:color w:val="17212B"/>
          <w:sz w:val="22"/>
        </w:rPr>
        <w:t>Références</w:t>
      </w:r>
      <w:r>
        <w:rPr>
          <w:rFonts w:ascii="Aptos" w:hAnsi="Aptos"/>
          <w:color w:val="5B6573"/>
          <w:sz w:val="20"/>
        </w:rPr>
        <w:t xml:space="preserve"> ...................................................................... 7</w:t>
      </w:r>
    </w:p>
    <w:p>
      <w:pPr>
        <w:spacing w:after="100"/>
      </w:pPr>
      <w:r>
        <w:rPr>
          <w:rFonts w:ascii="Aptos" w:hAnsi="Aptos"/>
          <w:color w:val="17212B"/>
          <w:sz w:val="22"/>
        </w:rPr>
        <w:t>Annexes</w:t>
      </w:r>
      <w:r>
        <w:rPr>
          <w:rFonts w:ascii="Aptos" w:hAnsi="Aptos"/>
          <w:color w:val="5B6573"/>
          <w:sz w:val="20"/>
        </w:rPr>
        <w:t xml:space="preserve"> ......................................................................... 8</w:t>
      </w:r>
    </w:p>
    <w:p>
      <w:r>
        <w:br w:type="page"/>
      </w:r>
    </w:p>
    <w:p>
      <w:pPr>
        <w:pStyle w:val="Heading1"/>
        <w:keepNext/>
      </w:pPr>
      <w:r>
        <w:rPr>
          <w:rFonts w:ascii="Aptos" w:hAnsi="Aptos"/>
          <w:b/>
          <w:color w:val="1F4E79"/>
          <w:sz w:val="32"/>
        </w:rPr>
        <w:t>Liste des figures</w:t>
      </w:r>
    </w:p>
    <w:p>
      <w:pPr>
        <w:pStyle w:val="ListBullet"/>
        <w:spacing w:after="60" w:line="283" w:lineRule="auto"/>
      </w:pPr>
      <w:r>
        <w:rPr>
          <w:rFonts w:ascii="Aptos" w:hAnsi="Aptos"/>
          <w:color w:val="17212B"/>
          <w:sz w:val="21"/>
        </w:rPr>
        <w:t>Figure 1.1 - Cycle de travail itératif adopté</w:t>
      </w:r>
    </w:p>
    <w:p>
      <w:pPr>
        <w:pStyle w:val="ListBullet"/>
        <w:spacing w:after="60" w:line="283" w:lineRule="auto"/>
      </w:pPr>
      <w:r>
        <w:rPr>
          <w:rFonts w:ascii="Aptos" w:hAnsi="Aptos"/>
          <w:color w:val="17212B"/>
          <w:sz w:val="21"/>
        </w:rPr>
        <w:t>Figure 3.1 - Architecture logique de DataWatch</w:t>
      </w:r>
    </w:p>
    <w:p>
      <w:pPr>
        <w:pStyle w:val="ListBullet"/>
        <w:spacing w:after="60" w:line="283" w:lineRule="auto"/>
      </w:pPr>
      <w:r>
        <w:rPr>
          <w:rFonts w:ascii="Aptos" w:hAnsi="Aptos"/>
          <w:color w:val="17212B"/>
          <w:sz w:val="21"/>
        </w:rPr>
        <w:t>Figure 3.2 - Chaîne de profilage, détection et alerte</w:t>
      </w:r>
    </w:p>
    <w:p>
      <w:pPr>
        <w:pStyle w:val="ListBullet"/>
        <w:spacing w:after="60" w:line="283" w:lineRule="auto"/>
      </w:pPr>
      <w:r>
        <w:rPr>
          <w:rFonts w:ascii="Aptos" w:hAnsi="Aptos"/>
          <w:color w:val="17212B"/>
          <w:sz w:val="21"/>
        </w:rPr>
        <w:t>Figure 4.1 - Parcours de démonstration de l’incident orders</w:t>
      </w:r>
    </w:p>
    <w:p>
      <w:pPr>
        <w:pStyle w:val="Heading1"/>
        <w:keepNext/>
      </w:pPr>
      <w:r>
        <w:rPr>
          <w:rFonts w:ascii="Aptos" w:hAnsi="Aptos"/>
          <w:b/>
          <w:color w:val="1F4E79"/>
          <w:sz w:val="32"/>
        </w:rPr>
        <w:t>Liste des tableaux</w:t>
      </w:r>
    </w:p>
    <w:p>
      <w:pPr>
        <w:pStyle w:val="ListBullet"/>
        <w:spacing w:after="60" w:line="283" w:lineRule="auto"/>
      </w:pPr>
      <w:r>
        <w:rPr>
          <w:rFonts w:ascii="Aptos" w:hAnsi="Aptos"/>
          <w:color w:val="17212B"/>
          <w:sz w:val="21"/>
        </w:rPr>
        <w:t>Tableau 1.1 - Planification des incréments</w:t>
      </w:r>
    </w:p>
    <w:p>
      <w:pPr>
        <w:pStyle w:val="ListBullet"/>
        <w:spacing w:after="60" w:line="283" w:lineRule="auto"/>
      </w:pPr>
      <w:r>
        <w:rPr>
          <w:rFonts w:ascii="Aptos" w:hAnsi="Aptos"/>
          <w:color w:val="17212B"/>
          <w:sz w:val="21"/>
        </w:rPr>
        <w:t>Tableau 2.1 - Comparaison des approches de surveillance</w:t>
      </w:r>
    </w:p>
    <w:p>
      <w:pPr>
        <w:pStyle w:val="ListBullet"/>
        <w:spacing w:after="60" w:line="283" w:lineRule="auto"/>
      </w:pPr>
      <w:r>
        <w:rPr>
          <w:rFonts w:ascii="Aptos" w:hAnsi="Aptos"/>
          <w:color w:val="17212B"/>
          <w:sz w:val="21"/>
        </w:rPr>
        <w:t>Tableau 3.1 - Exigences fonctionnelles</w:t>
      </w:r>
    </w:p>
    <w:p>
      <w:pPr>
        <w:pStyle w:val="ListBullet"/>
        <w:spacing w:after="60" w:line="283" w:lineRule="auto"/>
      </w:pPr>
      <w:r>
        <w:rPr>
          <w:rFonts w:ascii="Aptos" w:hAnsi="Aptos"/>
          <w:color w:val="17212B"/>
          <w:sz w:val="21"/>
        </w:rPr>
        <w:t>Tableau 4.1 - Technologies utilisées</w:t>
      </w:r>
    </w:p>
    <w:p>
      <w:pPr>
        <w:pStyle w:val="ListBullet"/>
        <w:spacing w:after="60" w:line="283" w:lineRule="auto"/>
      </w:pPr>
      <w:r>
        <w:rPr>
          <w:rFonts w:ascii="Aptos" w:hAnsi="Aptos"/>
          <w:color w:val="17212B"/>
          <w:sz w:val="21"/>
        </w:rPr>
        <w:t>Tableau 4.2 - Résultats de validation</w:t>
      </w:r>
    </w:p>
    <w:p>
      <w:pPr>
        <w:pStyle w:val="Heading1"/>
        <w:keepNext/>
      </w:pPr>
      <w:r>
        <w:rPr>
          <w:rFonts w:ascii="Aptos" w:hAnsi="Aptos"/>
          <w:b/>
          <w:color w:val="1F4E79"/>
          <w:sz w:val="32"/>
        </w:rPr>
        <w:t>Liste des abréviations</w:t>
      </w:r>
    </w:p>
    <w:tbl>
      <w:tblPr>
        <w:tblW w:type="auto" w:w="0"/>
        <w:jc w:val="center"/>
        <w:tblLayout w:type="fixed"/>
        <w:tblLook w:firstColumn="1" w:firstRow="1" w:lastColumn="0" w:lastRow="0" w:noHBand="0" w:noVBand="1" w:val="04A0"/>
      </w:tblPr>
      <w:tblGrid>
        <w:gridCol w:w="4759"/>
        <w:gridCol w:w="4759"/>
      </w:tblGrid>
      <w:tr>
        <w:trPr>
          <w:tblHeader w:val="true"/>
        </w:trPr>
        <w:tc>
          <w:tcPr>
            <w:tcW w:type="dxa" w:w="2268"/>
            <w:shd w:fill="1F4E79"/>
            <w:tcBorders>
              <w:top w:val="single" w:sz="6" w:color="FFFFFF"/>
              <w:left w:val="single" w:sz="6" w:color="FFFFFF"/>
              <w:bottom w:val="single" w:sz="6" w:color="FFFFFF"/>
              <w:right w:val="single" w:sz="6" w:color="FFFFFF"/>
            </w:tcBorders>
            <w:vAlign w:val="center"/>
          </w:tcPr>
          <w:p>
            <w:pPr>
              <w:jc w:val="left"/>
            </w:pPr>
            <w:r/>
            <w:r>
              <w:rPr>
                <w:rFonts w:ascii="Aptos" w:hAnsi="Aptos"/>
                <w:b/>
                <w:color w:val="FFFFFF"/>
                <w:sz w:val="19"/>
              </w:rPr>
              <w:t>Abréviation</w:t>
            </w:r>
          </w:p>
        </w:tc>
        <w:tc>
          <w:tcPr>
            <w:tcW w:type="dxa" w:w="7030"/>
            <w:shd w:fill="1F4E79"/>
            <w:tcBorders>
              <w:top w:val="single" w:sz="6" w:color="FFFFFF"/>
              <w:left w:val="single" w:sz="6" w:color="FFFFFF"/>
              <w:bottom w:val="single" w:sz="6" w:color="FFFFFF"/>
              <w:right w:val="single" w:sz="6" w:color="FFFFFF"/>
            </w:tcBorders>
            <w:vAlign w:val="center"/>
          </w:tcPr>
          <w:p>
            <w:pPr>
              <w:jc w:val="left"/>
            </w:pPr>
            <w:r/>
            <w:r>
              <w:rPr>
                <w:rFonts w:ascii="Aptos" w:hAnsi="Aptos"/>
                <w:b/>
                <w:color w:val="FFFFFF"/>
                <w:sz w:val="19"/>
              </w:rPr>
              <w:t>Signification</w:t>
            </w:r>
          </w:p>
        </w:tc>
      </w:tr>
      <w:tr>
        <w:tc>
          <w:tcPr>
            <w:tcW w:type="dxa" w:w="2268"/>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9"/>
              </w:rPr>
              <w:t>API</w:t>
            </w:r>
          </w:p>
        </w:tc>
        <w:tc>
          <w:tcPr>
            <w:tcW w:type="dxa" w:w="7030"/>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9"/>
              </w:rPr>
              <w:t>Application Programming Interface</w:t>
            </w:r>
          </w:p>
        </w:tc>
      </w:tr>
      <w:tr>
        <w:tc>
          <w:tcPr>
            <w:tcW w:type="dxa" w:w="2268"/>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9"/>
              </w:rPr>
              <w:t>IA</w:t>
            </w:r>
          </w:p>
        </w:tc>
        <w:tc>
          <w:tcPr>
            <w:tcW w:type="dxa" w:w="7030"/>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9"/>
              </w:rPr>
              <w:t>Intelligence artificielle</w:t>
            </w:r>
          </w:p>
        </w:tc>
      </w:tr>
      <w:tr>
        <w:tc>
          <w:tcPr>
            <w:tcW w:type="dxa" w:w="2268"/>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9"/>
              </w:rPr>
              <w:t>LLM</w:t>
            </w:r>
          </w:p>
        </w:tc>
        <w:tc>
          <w:tcPr>
            <w:tcW w:type="dxa" w:w="7030"/>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9"/>
              </w:rPr>
              <w:t>Large Language Model</w:t>
            </w:r>
          </w:p>
        </w:tc>
      </w:tr>
      <w:tr>
        <w:tc>
          <w:tcPr>
            <w:tcW w:type="dxa" w:w="2268"/>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9"/>
              </w:rPr>
              <w:t>SaaS</w:t>
            </w:r>
          </w:p>
        </w:tc>
        <w:tc>
          <w:tcPr>
            <w:tcW w:type="dxa" w:w="7030"/>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9"/>
              </w:rPr>
              <w:t>Software as a Service</w:t>
            </w:r>
          </w:p>
        </w:tc>
      </w:tr>
      <w:tr>
        <w:tc>
          <w:tcPr>
            <w:tcW w:type="dxa" w:w="2268"/>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9"/>
              </w:rPr>
              <w:t>SLA</w:t>
            </w:r>
          </w:p>
        </w:tc>
        <w:tc>
          <w:tcPr>
            <w:tcW w:type="dxa" w:w="7030"/>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9"/>
              </w:rPr>
              <w:t>Service Level Agreement</w:t>
            </w:r>
          </w:p>
        </w:tc>
      </w:tr>
      <w:tr>
        <w:tc>
          <w:tcPr>
            <w:tcW w:type="dxa" w:w="2268"/>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9"/>
              </w:rPr>
              <w:t>JWT</w:t>
            </w:r>
          </w:p>
        </w:tc>
        <w:tc>
          <w:tcPr>
            <w:tcW w:type="dxa" w:w="7030"/>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9"/>
              </w:rPr>
              <w:t>JSON Web Token</w:t>
            </w:r>
          </w:p>
        </w:tc>
      </w:tr>
      <w:tr>
        <w:tc>
          <w:tcPr>
            <w:tcW w:type="dxa" w:w="2268"/>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9"/>
              </w:rPr>
              <w:t>ORM</w:t>
            </w:r>
          </w:p>
        </w:tc>
        <w:tc>
          <w:tcPr>
            <w:tcW w:type="dxa" w:w="7030"/>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9"/>
              </w:rPr>
              <w:t>Object Relational Mapping</w:t>
            </w:r>
          </w:p>
        </w:tc>
      </w:tr>
      <w:tr>
        <w:tc>
          <w:tcPr>
            <w:tcW w:type="dxa" w:w="2268"/>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9"/>
              </w:rPr>
              <w:t>CI</w:t>
            </w:r>
          </w:p>
        </w:tc>
        <w:tc>
          <w:tcPr>
            <w:tcW w:type="dxa" w:w="7030"/>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9"/>
              </w:rPr>
              <w:t>Continuous Integration</w:t>
            </w:r>
          </w:p>
        </w:tc>
      </w:tr>
    </w:tbl>
    <w:p/>
    <w:p>
      <w:pPr>
        <w:sectPr>
          <w:footerReference w:type="default" r:id="rId10"/>
          <w:pgSz w:w="12240" w:h="15840"/>
          <w:pgMar w:top="1247" w:right="1361" w:bottom="1134" w:left="1361" w:header="720" w:footer="720" w:gutter="0"/>
          <w:cols w:space="720"/>
          <w:titlePg/>
          <w:docGrid w:linePitch="360"/>
          <w:pgNumType w:start="1"/>
        </w:sectPr>
      </w:pPr>
    </w:p>
    <w:p>
      <w:pPr>
        <w:pStyle w:val="Heading1"/>
        <w:keepNext/>
      </w:pPr>
      <w:r>
        <w:rPr>
          <w:rFonts w:ascii="Aptos" w:hAnsi="Aptos"/>
          <w:b/>
          <w:color w:val="1F4E79"/>
          <w:sz w:val="32"/>
        </w:rPr>
        <w:t>Introduction générale</w:t>
      </w:r>
    </w:p>
    <w:p>
      <w:pPr>
        <w:spacing w:after="160" w:line="307" w:lineRule="auto"/>
        <w:jc w:val="both"/>
      </w:pPr>
      <w:r>
        <w:rPr>
          <w:rFonts w:ascii="Aptos" w:hAnsi="Aptos"/>
          <w:color w:val="17212B"/>
          <w:sz w:val="22"/>
        </w:rPr>
        <w:t>Les entreprises s’appuient de plus en plus sur des données distribuées entre applications transactionnelles, entrepôts analytiques et services cloud. Dans cet environnement, une mauvaise qualité de données ne se limite pas à une erreur technique : elle perturbe les tableaux de bord, les décisions métiers, les traitements automatisés et la confiance des utilisateurs. La difficulté consiste donc à détecter rapidement les écarts significatifs et à fournir aux opérateurs un contexte utilisable pour agir.</w:t>
      </w:r>
    </w:p>
    <w:p>
      <w:pPr>
        <w:spacing w:after="160" w:line="307" w:lineRule="auto"/>
        <w:jc w:val="both"/>
      </w:pPr>
      <w:r>
        <w:rPr>
          <w:rFonts w:ascii="Aptos" w:hAnsi="Aptos"/>
          <w:color w:val="17212B"/>
          <w:sz w:val="22"/>
        </w:rPr>
        <w:t>L’objectif de ce projet est de concevoir et réaliser DataWatch, une plateforme de surveillance de la qualité des données adaptée à un contexte SaaS multi-tenant. La solution doit inventorier les sources, suivre les tables, produire des profils, détecter des anomalies, ouvrir des incidents et acheminer des alertes. Elle doit aussi exploiter l’IA générative pour transformer des signaux techniques en explications structurées, sans confondre une recommandation avec une décision automatique.</w:t>
      </w:r>
    </w:p>
    <w:p>
      <w:pPr>
        <w:pStyle w:val="Heading2"/>
        <w:keepNext/>
      </w:pPr>
      <w:r>
        <w:rPr>
          <w:rFonts w:ascii="Aptos" w:hAnsi="Aptos"/>
          <w:b/>
          <w:color w:val="1F4E79"/>
          <w:sz w:val="26"/>
        </w:rPr>
        <w:t>Résultats attendus</w:t>
      </w:r>
    </w:p>
    <w:p>
      <w:pPr>
        <w:pStyle w:val="ListBullet"/>
        <w:spacing w:after="60" w:line="283" w:lineRule="auto"/>
      </w:pPr>
      <w:r>
        <w:rPr>
          <w:rFonts w:ascii="Aptos" w:hAnsi="Aptos"/>
          <w:color w:val="17212B"/>
          <w:sz w:val="21"/>
        </w:rPr>
        <w:t>Une architecture multi-tenant séparant les données et les identités des organisations.</w:t>
      </w:r>
    </w:p>
    <w:p>
      <w:pPr>
        <w:pStyle w:val="ListBullet"/>
        <w:spacing w:after="60" w:line="283" w:lineRule="auto"/>
      </w:pPr>
      <w:r>
        <w:rPr>
          <w:rFonts w:ascii="Aptos" w:hAnsi="Aptos"/>
          <w:color w:val="17212B"/>
          <w:sz w:val="21"/>
        </w:rPr>
        <w:t>Un profilage agrégé des tables avec métriques de volume, fraîcheur, schéma et colonnes.</w:t>
      </w:r>
    </w:p>
    <w:p>
      <w:pPr>
        <w:pStyle w:val="ListBullet"/>
        <w:spacing w:after="60" w:line="283" w:lineRule="auto"/>
      </w:pPr>
      <w:r>
        <w:rPr>
          <w:rFonts w:ascii="Aptos" w:hAnsi="Aptos"/>
          <w:color w:val="17212B"/>
          <w:sz w:val="21"/>
        </w:rPr>
        <w:t>Une détection hybride : règles, z-score, Isolation Forest et STL lorsque l’historique est suffisant.</w:t>
      </w:r>
    </w:p>
    <w:p>
      <w:pPr>
        <w:pStyle w:val="ListBullet"/>
        <w:spacing w:after="60" w:line="283" w:lineRule="auto"/>
      </w:pPr>
      <w:r>
        <w:rPr>
          <w:rFonts w:ascii="Aptos" w:hAnsi="Aptos"/>
          <w:color w:val="17212B"/>
          <w:sz w:val="21"/>
        </w:rPr>
        <w:t>Une gestion d’incidents, de narration IA et de routage d’alertes vérifiable localement.</w:t>
      </w:r>
    </w:p>
    <w:p>
      <w:pPr>
        <w:pStyle w:val="ListBullet"/>
        <w:spacing w:after="60" w:line="283" w:lineRule="auto"/>
      </w:pPr>
      <w:r>
        <w:rPr>
          <w:rFonts w:ascii="Aptos" w:hAnsi="Aptos"/>
          <w:color w:val="17212B"/>
          <w:sz w:val="21"/>
        </w:rPr>
        <w:t>Une base de gouvernance IA observe-only qui rend les lacunes de preuve visibles sans prétendre certifier la conformité.</w:t>
      </w:r>
    </w:p>
    <w:p>
      <w:pPr>
        <w:pStyle w:val="Heading2"/>
        <w:keepNext/>
      </w:pPr>
      <w:r>
        <w:rPr>
          <w:rFonts w:ascii="Aptos" w:hAnsi="Aptos"/>
          <w:b/>
          <w:color w:val="1F4E79"/>
          <w:sz w:val="26"/>
        </w:rPr>
        <w:t>Organisation du rapport</w:t>
      </w:r>
    </w:p>
    <w:p>
      <w:pPr>
        <w:spacing w:after="160" w:line="307" w:lineRule="auto"/>
        <w:jc w:val="both"/>
      </w:pPr>
      <w:r>
        <w:rPr>
          <w:rFonts w:ascii="Aptos" w:hAnsi="Aptos"/>
          <w:color w:val="17212B"/>
          <w:sz w:val="22"/>
        </w:rPr>
        <w:t>Le premier chapitre présente le contexte et la démarche. Le deuxième chapitre situe la solution par rapport aux approches existantes. Le troisième chapitre analyse les besoins et expose la conception ainsi que l’architecture. Le quatrième chapitre détaille la réalisation technique et les validations. Enfin, la conclusion générale synthétise les apports et ouvre les perspectives.</w:t>
      </w:r>
    </w:p>
    <w:p>
      <w:pPr>
        <w:pStyle w:val="Heading1"/>
        <w:keepNext/>
      </w:pPr>
      <w:r>
        <w:rPr>
          <w:rFonts w:ascii="Aptos" w:hAnsi="Aptos"/>
          <w:b/>
          <w:color w:val="1F4E79"/>
          <w:sz w:val="32"/>
        </w:rPr>
        <w:t>Chapitre 1 — Cadre général et conduite du projet</w:t>
      </w:r>
    </w:p>
    <w:p>
      <w:pPr>
        <w:pStyle w:val="Heading2"/>
        <w:keepNext/>
      </w:pPr>
      <w:r>
        <w:rPr>
          <w:rFonts w:ascii="Aptos" w:hAnsi="Aptos"/>
          <w:b/>
          <w:color w:val="1F4E79"/>
          <w:sz w:val="26"/>
        </w:rPr>
        <w:t>Introduction</w:t>
      </w:r>
    </w:p>
    <w:p>
      <w:pPr>
        <w:spacing w:after="160" w:line="307" w:lineRule="auto"/>
        <w:jc w:val="both"/>
      </w:pPr>
      <w:r>
        <w:rPr>
          <w:rFonts w:ascii="Aptos" w:hAnsi="Aptos"/>
          <w:color w:val="17212B"/>
          <w:sz w:val="22"/>
        </w:rPr>
        <w:t>Ce chapitre présente le cadre académique du projet, sa problématique et la méthode de conduite retenue. Le projet a été réalisé dans le cadre de la formation 3CI — Big Data et Intelligence Artificielle à l’ISGA Casablanca.</w:t>
      </w:r>
    </w:p>
    <w:p>
      <w:pPr>
        <w:pStyle w:val="Heading2"/>
        <w:keepNext/>
      </w:pPr>
      <w:r>
        <w:rPr>
          <w:rFonts w:ascii="Aptos" w:hAnsi="Aptos"/>
          <w:b/>
          <w:color w:val="1F4E79"/>
          <w:sz w:val="26"/>
        </w:rPr>
        <w:t>Présentation de l’organisme d’accueil</w:t>
      </w:r>
    </w:p>
    <w:p>
      <w:pPr>
        <w:spacing w:after="160" w:line="307" w:lineRule="auto"/>
        <w:jc w:val="both"/>
      </w:pPr>
      <w:r>
        <w:rPr>
          <w:rFonts w:ascii="Aptos" w:hAnsi="Aptos"/>
          <w:color w:val="17212B"/>
          <w:sz w:val="22"/>
        </w:rPr>
        <w:t>Le projet est mené dans un cadre académique à l’ISGA Casablanca. L’établissement fournit l’environnement pédagogique, l’encadrement scientifique et le contexte de validation. Cette configuration oriente le travail vers une démonstration technique reproductible, documentée et utile pour une soutenance, plutôt que vers une revendication de déploiement industriel à grande échelle.</w:t>
      </w:r>
    </w:p>
    <w:p>
      <w:pPr>
        <w:pStyle w:val="Heading2"/>
        <w:keepNext/>
      </w:pPr>
      <w:r>
        <w:rPr>
          <w:rFonts w:ascii="Aptos" w:hAnsi="Aptos"/>
          <w:b/>
          <w:color w:val="1F4E79"/>
          <w:sz w:val="26"/>
        </w:rPr>
        <w:t>Présentation du projet</w:t>
      </w:r>
    </w:p>
    <w:p>
      <w:pPr>
        <w:pStyle w:val="Heading3"/>
        <w:keepNext/>
      </w:pPr>
      <w:r>
        <w:rPr>
          <w:rFonts w:ascii="Aptos" w:hAnsi="Aptos"/>
          <w:b/>
          <w:color w:val="1F4E79"/>
          <w:sz w:val="23"/>
        </w:rPr>
        <w:t>Problématique</w:t>
      </w:r>
    </w:p>
    <w:p>
      <w:pPr>
        <w:spacing w:after="160" w:line="307" w:lineRule="auto"/>
        <w:jc w:val="both"/>
      </w:pPr>
      <w:r>
        <w:rPr>
          <w:rFonts w:ascii="Aptos" w:hAnsi="Aptos"/>
          <w:color w:val="17212B"/>
          <w:sz w:val="22"/>
        </w:rPr>
        <w:t>Les équipes data disposent rarement d’une vue centralisée de la santé de leurs actifs. Les contrôles sont souvent isolés dans des scripts, les alertes manquent de contexte et les anomalies statistiques demandent une expertise difficile à mobiliser immédiatement. Dans une plateforme SaaS, la difficulté augmente : l’isolement entre organisations, le chiffrement des connexions et la traçabilité des actions deviennent des exigences de conception.</w:t>
      </w:r>
    </w:p>
    <w:p>
      <w:pPr>
        <w:pStyle w:val="Heading3"/>
        <w:keepNext/>
      </w:pPr>
      <w:r>
        <w:rPr>
          <w:rFonts w:ascii="Aptos" w:hAnsi="Aptos"/>
          <w:b/>
          <w:color w:val="1F4E79"/>
          <w:sz w:val="23"/>
        </w:rPr>
        <w:t>Solution proposée</w:t>
      </w:r>
    </w:p>
    <w:p>
      <w:pPr>
        <w:spacing w:after="160" w:line="307" w:lineRule="auto"/>
        <w:jc w:val="both"/>
      </w:pPr>
      <w:r>
        <w:rPr>
          <w:rFonts w:ascii="Aptos" w:hAnsi="Aptos"/>
          <w:color w:val="17212B"/>
          <w:sz w:val="22"/>
        </w:rPr>
        <w:t>DataWatch centralise les sources de données, les tables surveillées, les profils et les incidents. Le système exécute des vérifications périodiques, agrège les résultats et déduplique les incidents ouverts par table. Les alertes sont routées selon le canal et la sévérité. Une narration LLM, validée selon un schéma structuré, complète la fiche incident par des hypothèses et des recommandations de diagnostic.</w:t>
      </w:r>
    </w:p>
    <w:p>
      <w:pPr>
        <w:pStyle w:val="Heading2"/>
        <w:keepNext/>
      </w:pPr>
      <w:r>
        <w:rPr>
          <w:rFonts w:ascii="Aptos" w:hAnsi="Aptos"/>
          <w:b/>
          <w:color w:val="1F4E79"/>
          <w:sz w:val="26"/>
        </w:rPr>
        <w:t>Méthodologie de travail</w:t>
      </w:r>
    </w:p>
    <w:p>
      <w:pPr>
        <w:spacing w:after="160" w:line="307" w:lineRule="auto"/>
        <w:jc w:val="both"/>
      </w:pPr>
      <w:r>
        <w:rPr>
          <w:rFonts w:ascii="Aptos" w:hAnsi="Aptos"/>
          <w:color w:val="17212B"/>
          <w:sz w:val="22"/>
        </w:rPr>
        <w:t>Une démarche Agile et itérative a été adoptée. Chaque incrément vise une verticale complète : besoin, modèle de données, API, interface, tests et documentation. Cette approche limite les fonctionnalités décoratives et rend chaque avancée démontrable sur une pile locale reproductible.</w:t>
      </w:r>
    </w:p>
    <w:tbl>
      <w:tblPr>
        <w:tblW w:type="auto" w:w="0"/>
        <w:jc w:val="center"/>
        <w:tblLayout w:type="fixed"/>
        <w:tblLook w:firstColumn="1" w:firstRow="1" w:lastColumn="0" w:lastRow="0" w:noHBand="0" w:noVBand="1" w:val="04A0"/>
      </w:tblPr>
      <w:tblGrid>
        <w:gridCol w:w="1904"/>
        <w:gridCol w:w="1904"/>
        <w:gridCol w:w="1904"/>
        <w:gridCol w:w="1904"/>
        <w:gridCol w:w="1904"/>
      </w:tblGrid>
      <w:tr>
        <w:tc>
          <w:tcPr>
            <w:tcW w:type="dxa" w:w="1871"/>
            <w:tcBorders>
              <w:top w:val="single" w:sz="6" w:color="1F4E79"/>
              <w:left w:val="single" w:sz="6" w:color="1F4E79"/>
              <w:bottom w:val="single" w:sz="6" w:color="1F4E79"/>
              <w:right w:val="single" w:sz="6" w:color="1F4E79"/>
            </w:tcBorders>
            <w:shd w:fill="EAF3F8"/>
          </w:tcPr>
          <w:p>
            <w:pPr>
              <w:jc w:val="center"/>
            </w:pPr>
            <w:r>
              <w:rPr>
                <w:rFonts w:ascii="Aptos" w:hAnsi="Aptos"/>
                <w:b/>
                <w:color w:val="1F4E79"/>
                <w:sz w:val="20"/>
              </w:rPr>
              <w:t>Cadrage</w:t>
              <w:br/>
            </w:r>
            <w:r>
              <w:rPr>
                <w:rFonts w:ascii="Aptos" w:hAnsi="Aptos"/>
                <w:color w:val="5B6573"/>
                <w:sz w:val="16"/>
              </w:rPr>
              <w:t>besoins et limites</w:t>
            </w:r>
          </w:p>
          <w:p>
            <w:pPr>
              <w:jc w:val="center"/>
            </w:pPr>
            <w:r>
              <w:rPr>
                <w:rFonts w:ascii="Aptos" w:hAnsi="Aptos"/>
                <w:b/>
                <w:color w:val="1F4E79"/>
                <w:sz w:val="28"/>
              </w:rPr>
              <w:t>→</w:t>
            </w:r>
          </w:p>
        </w:tc>
        <w:tc>
          <w:tcPr>
            <w:tcW w:type="dxa" w:w="1871"/>
            <w:tcBorders>
              <w:top w:val="single" w:sz="6" w:color="1F4E79"/>
              <w:left w:val="single" w:sz="6" w:color="1F4E79"/>
              <w:bottom w:val="single" w:sz="6" w:color="1F4E79"/>
              <w:right w:val="single" w:sz="6" w:color="1F4E79"/>
            </w:tcBorders>
            <w:shd w:fill="EAF3F8"/>
          </w:tcPr>
          <w:p>
            <w:pPr>
              <w:jc w:val="center"/>
            </w:pPr>
            <w:r>
              <w:rPr>
                <w:rFonts w:ascii="Aptos" w:hAnsi="Aptos"/>
                <w:b/>
                <w:color w:val="1F4E79"/>
                <w:sz w:val="20"/>
              </w:rPr>
              <w:t>Conception</w:t>
              <w:br/>
            </w:r>
            <w:r>
              <w:rPr>
                <w:rFonts w:ascii="Aptos" w:hAnsi="Aptos"/>
                <w:color w:val="5B6573"/>
                <w:sz w:val="16"/>
              </w:rPr>
              <w:t>modèles et contrats</w:t>
            </w:r>
          </w:p>
          <w:p>
            <w:pPr>
              <w:jc w:val="center"/>
            </w:pPr>
            <w:r>
              <w:rPr>
                <w:rFonts w:ascii="Aptos" w:hAnsi="Aptos"/>
                <w:b/>
                <w:color w:val="1F4E79"/>
                <w:sz w:val="28"/>
              </w:rPr>
              <w:t>→</w:t>
            </w:r>
          </w:p>
        </w:tc>
        <w:tc>
          <w:tcPr>
            <w:tcW w:type="dxa" w:w="1871"/>
            <w:tcBorders>
              <w:top w:val="single" w:sz="6" w:color="1F4E79"/>
              <w:left w:val="single" w:sz="6" w:color="1F4E79"/>
              <w:bottom w:val="single" w:sz="6" w:color="1F4E79"/>
              <w:right w:val="single" w:sz="6" w:color="1F4E79"/>
            </w:tcBorders>
            <w:shd w:fill="EAF3F8"/>
          </w:tcPr>
          <w:p>
            <w:pPr>
              <w:jc w:val="center"/>
            </w:pPr>
            <w:r>
              <w:rPr>
                <w:rFonts w:ascii="Aptos" w:hAnsi="Aptos"/>
                <w:b/>
                <w:color w:val="1F4E79"/>
                <w:sz w:val="20"/>
              </w:rPr>
              <w:t>Réalisation</w:t>
              <w:br/>
            </w:r>
            <w:r>
              <w:rPr>
                <w:rFonts w:ascii="Aptos" w:hAnsi="Aptos"/>
                <w:color w:val="5B6573"/>
                <w:sz w:val="16"/>
              </w:rPr>
              <w:t>API, worker, interface</w:t>
            </w:r>
          </w:p>
          <w:p>
            <w:pPr>
              <w:jc w:val="center"/>
            </w:pPr>
            <w:r>
              <w:rPr>
                <w:rFonts w:ascii="Aptos" w:hAnsi="Aptos"/>
                <w:b/>
                <w:color w:val="1F4E79"/>
                <w:sz w:val="28"/>
              </w:rPr>
              <w:t>→</w:t>
            </w:r>
          </w:p>
        </w:tc>
        <w:tc>
          <w:tcPr>
            <w:tcW w:type="dxa" w:w="1871"/>
            <w:tcBorders>
              <w:top w:val="single" w:sz="6" w:color="1F4E79"/>
              <w:left w:val="single" w:sz="6" w:color="1F4E79"/>
              <w:bottom w:val="single" w:sz="6" w:color="1F4E79"/>
              <w:right w:val="single" w:sz="6" w:color="1F4E79"/>
            </w:tcBorders>
            <w:shd w:fill="EAF3F8"/>
          </w:tcPr>
          <w:p>
            <w:pPr>
              <w:jc w:val="center"/>
            </w:pPr>
            <w:r>
              <w:rPr>
                <w:rFonts w:ascii="Aptos" w:hAnsi="Aptos"/>
                <w:b/>
                <w:color w:val="1F4E79"/>
                <w:sz w:val="20"/>
              </w:rPr>
              <w:t>Validation</w:t>
              <w:br/>
            </w:r>
            <w:r>
              <w:rPr>
                <w:rFonts w:ascii="Aptos" w:hAnsi="Aptos"/>
                <w:color w:val="5B6573"/>
                <w:sz w:val="16"/>
              </w:rPr>
              <w:t>tests et démo</w:t>
            </w:r>
          </w:p>
          <w:p>
            <w:pPr>
              <w:jc w:val="center"/>
            </w:pPr>
            <w:r>
              <w:rPr>
                <w:rFonts w:ascii="Aptos" w:hAnsi="Aptos"/>
                <w:b/>
                <w:color w:val="1F4E79"/>
                <w:sz w:val="28"/>
              </w:rPr>
              <w:t>→</w:t>
            </w:r>
          </w:p>
        </w:tc>
        <w:tc>
          <w:tcPr>
            <w:tcW w:type="dxa" w:w="1871"/>
            <w:tcBorders>
              <w:top w:val="single" w:sz="6" w:color="1F4E79"/>
              <w:left w:val="single" w:sz="6" w:color="1F4E79"/>
              <w:bottom w:val="single" w:sz="6" w:color="1F4E79"/>
              <w:right w:val="single" w:sz="6" w:color="1F4E79"/>
            </w:tcBorders>
            <w:shd w:fill="EAF3F8"/>
          </w:tcPr>
          <w:p>
            <w:pPr>
              <w:jc w:val="center"/>
            </w:pPr>
            <w:r>
              <w:rPr>
                <w:rFonts w:ascii="Aptos" w:hAnsi="Aptos"/>
                <w:b/>
                <w:color w:val="1F4E79"/>
                <w:sz w:val="20"/>
              </w:rPr>
              <w:t>Itération</w:t>
              <w:br/>
            </w:r>
            <w:r>
              <w:rPr>
                <w:rFonts w:ascii="Aptos" w:hAnsi="Aptos"/>
                <w:color w:val="5B6573"/>
                <w:sz w:val="16"/>
              </w:rPr>
              <w:t>retours et corrections</w:t>
            </w:r>
          </w:p>
        </w:tc>
      </w:tr>
    </w:tbl>
    <w:p>
      <w:pPr>
        <w:spacing w:before="40" w:after="200"/>
        <w:jc w:val="center"/>
      </w:pPr>
      <w:r>
        <w:rPr>
          <w:rFonts w:ascii="Aptos" w:hAnsi="Aptos"/>
          <w:i/>
          <w:color w:val="5B6573"/>
          <w:sz w:val="19"/>
        </w:rPr>
        <w:t>Figure 1.1 - Représentation synthétique du fonctionnement de DataWatch.</w:t>
      </w:r>
    </w:p>
    <w:tbl>
      <w:tblPr>
        <w:tblW w:type="auto" w:w="0"/>
        <w:jc w:val="center"/>
        <w:tblLayout w:type="fixed"/>
        <w:tblLook w:firstColumn="1" w:firstRow="1" w:lastColumn="0" w:lastRow="0" w:noHBand="0" w:noVBand="1" w:val="04A0"/>
      </w:tblPr>
      <w:tblGrid>
        <w:gridCol w:w="3173"/>
        <w:gridCol w:w="3173"/>
        <w:gridCol w:w="3173"/>
      </w:tblGrid>
      <w:tr>
        <w:trPr>
          <w:tblHeader w:val="true"/>
        </w:trPr>
        <w:tc>
          <w:tcPr>
            <w:tcW w:type="dxa" w:w="1134"/>
            <w:shd w:fill="1F4E79"/>
            <w:tcBorders>
              <w:top w:val="single" w:sz="6" w:color="FFFFFF"/>
              <w:left w:val="single" w:sz="6" w:color="FFFFFF"/>
              <w:bottom w:val="single" w:sz="6" w:color="FFFFFF"/>
              <w:right w:val="single" w:sz="6" w:color="FFFFFF"/>
            </w:tcBorders>
            <w:vAlign w:val="center"/>
          </w:tcPr>
          <w:p>
            <w:pPr>
              <w:jc w:val="left"/>
            </w:pPr>
            <w:r/>
            <w:r>
              <w:rPr>
                <w:rFonts w:ascii="Aptos" w:hAnsi="Aptos"/>
                <w:b/>
                <w:color w:val="FFFFFF"/>
                <w:sz w:val="18"/>
              </w:rPr>
              <w:t>Incrément</w:t>
            </w:r>
          </w:p>
        </w:tc>
        <w:tc>
          <w:tcPr>
            <w:tcW w:type="dxa" w:w="3628"/>
            <w:shd w:fill="1F4E79"/>
            <w:tcBorders>
              <w:top w:val="single" w:sz="6" w:color="FFFFFF"/>
              <w:left w:val="single" w:sz="6" w:color="FFFFFF"/>
              <w:bottom w:val="single" w:sz="6" w:color="FFFFFF"/>
              <w:right w:val="single" w:sz="6" w:color="FFFFFF"/>
            </w:tcBorders>
            <w:vAlign w:val="center"/>
          </w:tcPr>
          <w:p>
            <w:pPr>
              <w:jc w:val="left"/>
            </w:pPr>
            <w:r/>
            <w:r>
              <w:rPr>
                <w:rFonts w:ascii="Aptos" w:hAnsi="Aptos"/>
                <w:b/>
                <w:color w:val="FFFFFF"/>
                <w:sz w:val="18"/>
              </w:rPr>
              <w:t>Objectif</w:t>
            </w:r>
          </w:p>
        </w:tc>
        <w:tc>
          <w:tcPr>
            <w:tcW w:type="dxa" w:w="4536"/>
            <w:shd w:fill="1F4E79"/>
            <w:tcBorders>
              <w:top w:val="single" w:sz="6" w:color="FFFFFF"/>
              <w:left w:val="single" w:sz="6" w:color="FFFFFF"/>
              <w:bottom w:val="single" w:sz="6" w:color="FFFFFF"/>
              <w:right w:val="single" w:sz="6" w:color="FFFFFF"/>
            </w:tcBorders>
            <w:vAlign w:val="center"/>
          </w:tcPr>
          <w:p>
            <w:pPr>
              <w:jc w:val="left"/>
            </w:pPr>
            <w:r/>
            <w:r>
              <w:rPr>
                <w:rFonts w:ascii="Aptos" w:hAnsi="Aptos"/>
                <w:b/>
                <w:color w:val="FFFFFF"/>
                <w:sz w:val="18"/>
              </w:rPr>
              <w:t>Livrable</w:t>
            </w:r>
          </w:p>
        </w:tc>
      </w:tr>
      <w:tr>
        <w:tc>
          <w:tcPr>
            <w:tcW w:type="dxa" w:w="1134"/>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1</w:t>
            </w:r>
          </w:p>
        </w:tc>
        <w:tc>
          <w:tcPr>
            <w:tcW w:type="dxa" w:w="3628"/>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Fondations multi-tenant et authentification</w:t>
            </w:r>
          </w:p>
        </w:tc>
        <w:tc>
          <w:tcPr>
            <w:tcW w:type="dxa" w:w="4536"/>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Organisations, comptes et JWT</w:t>
            </w:r>
          </w:p>
        </w:tc>
      </w:tr>
      <w:tr>
        <w:tc>
          <w:tcPr>
            <w:tcW w:type="dxa" w:w="1134"/>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2</w:t>
            </w:r>
          </w:p>
        </w:tc>
        <w:tc>
          <w:tcPr>
            <w:tcW w:type="dxa" w:w="3628"/>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Profilage et détection</w:t>
            </w:r>
          </w:p>
        </w:tc>
        <w:tc>
          <w:tcPr>
            <w:tcW w:type="dxa" w:w="4536"/>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Métriques, règles et incidents</w:t>
            </w:r>
          </w:p>
        </w:tc>
      </w:tr>
      <w:tr>
        <w:tc>
          <w:tcPr>
            <w:tcW w:type="dxa" w:w="1134"/>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3</w:t>
            </w:r>
          </w:p>
        </w:tc>
        <w:tc>
          <w:tcPr>
            <w:tcW w:type="dxa" w:w="3628"/>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Explication et alertes</w:t>
            </w:r>
          </w:p>
        </w:tc>
        <w:tc>
          <w:tcPr>
            <w:tcW w:type="dxa" w:w="4536"/>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Narration IA, email, Slack, PagerDuty</w:t>
            </w:r>
          </w:p>
        </w:tc>
      </w:tr>
      <w:tr>
        <w:tc>
          <w:tcPr>
            <w:tcW w:type="dxa" w:w="1134"/>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4</w:t>
            </w:r>
          </w:p>
        </w:tc>
        <w:tc>
          <w:tcPr>
            <w:tcW w:type="dxa" w:w="3628"/>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Moniteurs et gouvernance</w:t>
            </w:r>
          </w:p>
        </w:tc>
        <w:tc>
          <w:tcPr>
            <w:tcW w:type="dxa" w:w="4536"/>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DSL typé, preuves et contrôles observe-only</w:t>
            </w:r>
          </w:p>
        </w:tc>
      </w:tr>
      <w:tr>
        <w:tc>
          <w:tcPr>
            <w:tcW w:type="dxa" w:w="1134"/>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5</w:t>
            </w:r>
          </w:p>
        </w:tc>
        <w:tc>
          <w:tcPr>
            <w:tcW w:type="dxa" w:w="3628"/>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Préparation PFE</w:t>
            </w:r>
          </w:p>
        </w:tc>
        <w:tc>
          <w:tcPr>
            <w:tcW w:type="dxa" w:w="4536"/>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Seed déterministe, démo et validation</w:t>
            </w:r>
          </w:p>
        </w:tc>
      </w:tr>
    </w:tbl>
    <w:p/>
    <w:p>
      <w:pPr>
        <w:spacing w:before="40" w:after="200"/>
        <w:jc w:val="center"/>
      </w:pPr>
      <w:r>
        <w:rPr>
          <w:rFonts w:ascii="Aptos" w:hAnsi="Aptos"/>
          <w:i/>
          <w:color w:val="5B6573"/>
          <w:sz w:val="19"/>
        </w:rPr>
        <w:t>Tableau 1.1 - Planification des incréments du projet.</w:t>
      </w:r>
    </w:p>
    <w:p>
      <w:pPr>
        <w:pStyle w:val="Heading2"/>
        <w:keepNext/>
      </w:pPr>
      <w:r>
        <w:rPr>
          <w:rFonts w:ascii="Aptos" w:hAnsi="Aptos"/>
          <w:b/>
          <w:color w:val="1F4E79"/>
          <w:sz w:val="26"/>
        </w:rPr>
        <w:t>Conclusion</w:t>
      </w:r>
    </w:p>
    <w:p>
      <w:pPr>
        <w:spacing w:after="160" w:line="307" w:lineRule="auto"/>
        <w:jc w:val="both"/>
      </w:pPr>
      <w:r>
        <w:rPr>
          <w:rFonts w:ascii="Aptos" w:hAnsi="Aptos"/>
          <w:color w:val="17212B"/>
          <w:sz w:val="22"/>
        </w:rPr>
        <w:t>Le cadrage met en évidence une double exigence : rendre la qualité des données observable et conserver une discipline de preuve adaptée à une solution SaaS. Le chapitre suivant étudie les approches qui inspirent la solution et précise son originalité.</w:t>
      </w:r>
    </w:p>
    <w:p>
      <w:pPr>
        <w:pStyle w:val="Heading1"/>
        <w:keepNext/>
      </w:pPr>
      <w:r>
        <w:rPr>
          <w:rFonts w:ascii="Aptos" w:hAnsi="Aptos"/>
          <w:b/>
          <w:color w:val="1F4E79"/>
          <w:sz w:val="32"/>
        </w:rPr>
        <w:t>Chapitre 2 — État de l’art et positionnement</w:t>
      </w:r>
    </w:p>
    <w:p>
      <w:pPr>
        <w:pStyle w:val="Heading2"/>
        <w:keepNext/>
      </w:pPr>
      <w:r>
        <w:rPr>
          <w:rFonts w:ascii="Aptos" w:hAnsi="Aptos"/>
          <w:b/>
          <w:color w:val="1F4E79"/>
          <w:sz w:val="26"/>
        </w:rPr>
        <w:t>Introduction</w:t>
      </w:r>
    </w:p>
    <w:p>
      <w:pPr>
        <w:spacing w:after="160" w:line="307" w:lineRule="auto"/>
        <w:jc w:val="both"/>
      </w:pPr>
      <w:r>
        <w:rPr>
          <w:rFonts w:ascii="Aptos" w:hAnsi="Aptos"/>
          <w:color w:val="17212B"/>
          <w:sz w:val="22"/>
        </w:rPr>
        <w:t>La surveillance de qualité des données recouvre plusieurs familles de mécanismes : validation déclarative, contrôle statistique, apprentissage automatique et observabilité opérationnelle. Aucune de ces familles ne répond seule à l’ensemble des besoins ; leur combinaison doit rester explicable et gouvernable.</w:t>
      </w:r>
    </w:p>
    <w:p>
      <w:pPr>
        <w:pStyle w:val="Heading2"/>
        <w:keepNext/>
      </w:pPr>
      <w:r>
        <w:rPr>
          <w:rFonts w:ascii="Aptos" w:hAnsi="Aptos"/>
          <w:b/>
          <w:color w:val="1F4E79"/>
          <w:sz w:val="26"/>
        </w:rPr>
        <w:t>Approches existantes</w:t>
      </w:r>
    </w:p>
    <w:tbl>
      <w:tblPr>
        <w:tblW w:type="auto" w:w="0"/>
        <w:jc w:val="center"/>
        <w:tblLayout w:type="fixed"/>
        <w:tblLook w:firstColumn="1" w:firstRow="1" w:lastColumn="0" w:lastRow="0" w:noHBand="0" w:noVBand="1" w:val="04A0"/>
      </w:tblPr>
      <w:tblGrid>
        <w:gridCol w:w="3173"/>
        <w:gridCol w:w="3173"/>
        <w:gridCol w:w="3173"/>
      </w:tblGrid>
      <w:tr>
        <w:trPr>
          <w:tblHeader w:val="true"/>
        </w:trPr>
        <w:tc>
          <w:tcPr>
            <w:tcW w:type="dxa" w:w="1927"/>
            <w:shd w:fill="1F4E79"/>
            <w:tcBorders>
              <w:top w:val="single" w:sz="6" w:color="FFFFFF"/>
              <w:left w:val="single" w:sz="6" w:color="FFFFFF"/>
              <w:bottom w:val="single" w:sz="6" w:color="FFFFFF"/>
              <w:right w:val="single" w:sz="6" w:color="FFFFFF"/>
            </w:tcBorders>
            <w:vAlign w:val="center"/>
          </w:tcPr>
          <w:p>
            <w:pPr>
              <w:jc w:val="left"/>
            </w:pPr>
            <w:r/>
            <w:r>
              <w:rPr>
                <w:rFonts w:ascii="Aptos" w:hAnsi="Aptos"/>
                <w:b/>
                <w:color w:val="FFFFFF"/>
                <w:sz w:val="18"/>
              </w:rPr>
              <w:t>Approche</w:t>
            </w:r>
          </w:p>
        </w:tc>
        <w:tc>
          <w:tcPr>
            <w:tcW w:type="dxa" w:w="3742"/>
            <w:shd w:fill="1F4E79"/>
            <w:tcBorders>
              <w:top w:val="single" w:sz="6" w:color="FFFFFF"/>
              <w:left w:val="single" w:sz="6" w:color="FFFFFF"/>
              <w:bottom w:val="single" w:sz="6" w:color="FFFFFF"/>
              <w:right w:val="single" w:sz="6" w:color="FFFFFF"/>
            </w:tcBorders>
            <w:vAlign w:val="center"/>
          </w:tcPr>
          <w:p>
            <w:pPr>
              <w:jc w:val="left"/>
            </w:pPr>
            <w:r/>
            <w:r>
              <w:rPr>
                <w:rFonts w:ascii="Aptos" w:hAnsi="Aptos"/>
                <w:b/>
                <w:color w:val="FFFFFF"/>
                <w:sz w:val="18"/>
              </w:rPr>
              <w:t>Atout</w:t>
            </w:r>
          </w:p>
        </w:tc>
        <w:tc>
          <w:tcPr>
            <w:tcW w:type="dxa" w:w="3628"/>
            <w:shd w:fill="1F4E79"/>
            <w:tcBorders>
              <w:top w:val="single" w:sz="6" w:color="FFFFFF"/>
              <w:left w:val="single" w:sz="6" w:color="FFFFFF"/>
              <w:bottom w:val="single" w:sz="6" w:color="FFFFFF"/>
              <w:right w:val="single" w:sz="6" w:color="FFFFFF"/>
            </w:tcBorders>
            <w:vAlign w:val="center"/>
          </w:tcPr>
          <w:p>
            <w:pPr>
              <w:jc w:val="left"/>
            </w:pPr>
            <w:r/>
            <w:r>
              <w:rPr>
                <w:rFonts w:ascii="Aptos" w:hAnsi="Aptos"/>
                <w:b/>
                <w:color w:val="FFFFFF"/>
                <w:sz w:val="18"/>
              </w:rPr>
              <w:t>Limite</w:t>
            </w:r>
          </w:p>
        </w:tc>
      </w:tr>
      <w:tr>
        <w:tc>
          <w:tcPr>
            <w:tcW w:type="dxa" w:w="1927"/>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Règles déterministes</w:t>
            </w:r>
          </w:p>
        </w:tc>
        <w:tc>
          <w:tcPr>
            <w:tcW w:type="dxa" w:w="3742"/>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Rapides, explicables, sans historique</w:t>
            </w:r>
          </w:p>
        </w:tc>
        <w:tc>
          <w:tcPr>
            <w:tcW w:type="dxa" w:w="3628"/>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Couverture limitée aux cas anticipés</w:t>
            </w:r>
          </w:p>
        </w:tc>
      </w:tr>
      <w:tr>
        <w:tc>
          <w:tcPr>
            <w:tcW w:type="dxa" w:w="1927"/>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Détection statistique</w:t>
            </w:r>
          </w:p>
        </w:tc>
        <w:tc>
          <w:tcPr>
            <w:tcW w:type="dxa" w:w="3742"/>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Met en évidence les écarts de tendance</w:t>
            </w:r>
          </w:p>
        </w:tc>
        <w:tc>
          <w:tcPr>
            <w:tcW w:type="dxa" w:w="3628"/>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Sensible à l’historique et aux distributions</w:t>
            </w:r>
          </w:p>
        </w:tc>
      </w:tr>
      <w:tr>
        <w:tc>
          <w:tcPr>
            <w:tcW w:type="dxa" w:w="1927"/>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Apprentissage non supervisé</w:t>
            </w:r>
          </w:p>
        </w:tc>
        <w:tc>
          <w:tcPr>
            <w:tcW w:type="dxa" w:w="3742"/>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Détecte des combinaisons de signaux</w:t>
            </w:r>
          </w:p>
        </w:tc>
        <w:tc>
          <w:tcPr>
            <w:tcW w:type="dxa" w:w="3628"/>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Explication et stabilité à contrôler</w:t>
            </w:r>
          </w:p>
        </w:tc>
      </w:tr>
      <w:tr>
        <w:tc>
          <w:tcPr>
            <w:tcW w:type="dxa" w:w="1927"/>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Observabilité de données</w:t>
            </w:r>
          </w:p>
        </w:tc>
        <w:tc>
          <w:tcPr>
            <w:tcW w:type="dxa" w:w="3742"/>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Centralise profils, incidents et alertes</w:t>
            </w:r>
          </w:p>
        </w:tc>
        <w:tc>
          <w:tcPr>
            <w:tcW w:type="dxa" w:w="3628"/>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Nécessite une bonne modélisation des actifs</w:t>
            </w:r>
          </w:p>
        </w:tc>
      </w:tr>
      <w:tr>
        <w:tc>
          <w:tcPr>
            <w:tcW w:type="dxa" w:w="1927"/>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LLM pour incident</w:t>
            </w:r>
          </w:p>
        </w:tc>
        <w:tc>
          <w:tcPr>
            <w:tcW w:type="dxa" w:w="3742"/>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Améliore la lisibilité et les pistes d’analyse</w:t>
            </w:r>
          </w:p>
        </w:tc>
        <w:tc>
          <w:tcPr>
            <w:tcW w:type="dxa" w:w="3628"/>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Peut produire des hypothèses non prouvées</w:t>
            </w:r>
          </w:p>
        </w:tc>
      </w:tr>
    </w:tbl>
    <w:p/>
    <w:p>
      <w:pPr>
        <w:spacing w:before="40" w:after="200"/>
        <w:jc w:val="center"/>
      </w:pPr>
      <w:r>
        <w:rPr>
          <w:rFonts w:ascii="Aptos" w:hAnsi="Aptos"/>
          <w:i/>
          <w:color w:val="5B6573"/>
          <w:sz w:val="19"/>
        </w:rPr>
        <w:t>Tableau 2.1 - Comparaison des principales approches de surveillance.</w:t>
      </w:r>
    </w:p>
    <w:p>
      <w:pPr>
        <w:pStyle w:val="Heading2"/>
        <w:keepNext/>
      </w:pPr>
      <w:r>
        <w:rPr>
          <w:rFonts w:ascii="Aptos" w:hAnsi="Aptos"/>
          <w:b/>
          <w:color w:val="1F4E79"/>
          <w:sz w:val="26"/>
        </w:rPr>
        <w:t>Originalité de la solution</w:t>
      </w:r>
    </w:p>
    <w:p>
      <w:pPr>
        <w:spacing w:after="160" w:line="307" w:lineRule="auto"/>
        <w:jc w:val="both"/>
      </w:pPr>
      <w:r>
        <w:rPr>
          <w:rFonts w:ascii="Aptos" w:hAnsi="Aptos"/>
          <w:color w:val="17212B"/>
          <w:sz w:val="22"/>
        </w:rPr>
        <w:t>La contribution de DataWatch réside dans la chaîne intégrée allant du profilage à l’incident, puis à une narration IA structurée et à l’alerte. Le système ne présente pas le LLM comme un détecteur autonome : les contrôles déterministes et les métriques calculées restent la source de l’incident. L’IA reformule le contexte disponible et propose des actions, ce qui conserve une frontière claire entre observation, recommandation et décision humaine.</w:t>
      </w:r>
    </w:p>
    <w:p>
      <w:pPr>
        <w:pStyle w:val="Heading2"/>
        <w:keepNext/>
      </w:pPr>
      <w:r>
        <w:rPr>
          <w:rFonts w:ascii="Aptos" w:hAnsi="Aptos"/>
          <w:b/>
          <w:color w:val="1F4E79"/>
          <w:sz w:val="26"/>
        </w:rPr>
        <w:t>Conclusion</w:t>
      </w:r>
    </w:p>
    <w:p>
      <w:pPr>
        <w:spacing w:after="160" w:line="307" w:lineRule="auto"/>
        <w:jc w:val="both"/>
      </w:pPr>
      <w:r>
        <w:rPr>
          <w:rFonts w:ascii="Aptos" w:hAnsi="Aptos"/>
          <w:color w:val="17212B"/>
          <w:sz w:val="22"/>
        </w:rPr>
        <w:t>L’étude montre que l’explicabilité et le contrôle des limites sont aussi importants que le choix d’un algorithme. Le chapitre suivant traduit ces constats en besoins, modèles et composants d’architecture.</w:t>
      </w:r>
    </w:p>
    <w:p>
      <w:pPr>
        <w:pStyle w:val="Heading1"/>
        <w:keepNext/>
      </w:pPr>
      <w:r>
        <w:rPr>
          <w:rFonts w:ascii="Aptos" w:hAnsi="Aptos"/>
          <w:b/>
          <w:color w:val="1F4E79"/>
          <w:sz w:val="32"/>
        </w:rPr>
        <w:t>Chapitre 3 — Analyse, conception et architecture</w:t>
      </w:r>
    </w:p>
    <w:p>
      <w:pPr>
        <w:pStyle w:val="Heading2"/>
        <w:keepNext/>
      </w:pPr>
      <w:r>
        <w:rPr>
          <w:rFonts w:ascii="Aptos" w:hAnsi="Aptos"/>
          <w:b/>
          <w:color w:val="1F4E79"/>
          <w:sz w:val="26"/>
        </w:rPr>
        <w:t>Introduction</w:t>
      </w:r>
    </w:p>
    <w:p>
      <w:pPr>
        <w:spacing w:after="160" w:line="307" w:lineRule="auto"/>
        <w:jc w:val="both"/>
      </w:pPr>
      <w:r>
        <w:rPr>
          <w:rFonts w:ascii="Aptos" w:hAnsi="Aptos"/>
          <w:color w:val="17212B"/>
          <w:sz w:val="22"/>
        </w:rPr>
        <w:t>La conception de DataWatch s’appuie sur la séparation des responsabilités : interface de pilotage, API métier, exécution asynchrone, persistance, cache et connecteurs. Les décisions de conception privilégient l’isolation tenant, la traçabilité et la possibilité de valider chaque étape.</w:t>
      </w:r>
    </w:p>
    <w:p>
      <w:pPr>
        <w:pStyle w:val="Heading2"/>
        <w:keepNext/>
      </w:pPr>
      <w:r>
        <w:rPr>
          <w:rFonts w:ascii="Aptos" w:hAnsi="Aptos"/>
          <w:b/>
          <w:color w:val="1F4E79"/>
          <w:sz w:val="26"/>
        </w:rPr>
        <w:t>Analyse des besoins</w:t>
      </w:r>
    </w:p>
    <w:p>
      <w:pPr>
        <w:pStyle w:val="Heading3"/>
        <w:keepNext/>
      </w:pPr>
      <w:r>
        <w:rPr>
          <w:rFonts w:ascii="Aptos" w:hAnsi="Aptos"/>
          <w:b/>
          <w:color w:val="1F4E79"/>
          <w:sz w:val="23"/>
        </w:rPr>
        <w:t>Besoins fonctionnels</w:t>
      </w:r>
    </w:p>
    <w:tbl>
      <w:tblPr>
        <w:tblW w:type="auto" w:w="0"/>
        <w:jc w:val="center"/>
        <w:tblLayout w:type="fixed"/>
        <w:tblLook w:firstColumn="1" w:firstRow="1" w:lastColumn="0" w:lastRow="0" w:noHBand="0" w:noVBand="1" w:val="04A0"/>
      </w:tblPr>
      <w:tblGrid>
        <w:gridCol w:w="3173"/>
        <w:gridCol w:w="3173"/>
        <w:gridCol w:w="3173"/>
      </w:tblGrid>
      <w:tr>
        <w:trPr>
          <w:tblHeader w:val="true"/>
        </w:trPr>
        <w:tc>
          <w:tcPr>
            <w:tcW w:type="dxa" w:w="680"/>
            <w:shd w:fill="1F4E79"/>
            <w:tcBorders>
              <w:top w:val="single" w:sz="6" w:color="FFFFFF"/>
              <w:left w:val="single" w:sz="6" w:color="FFFFFF"/>
              <w:bottom w:val="single" w:sz="6" w:color="FFFFFF"/>
              <w:right w:val="single" w:sz="6" w:color="FFFFFF"/>
            </w:tcBorders>
            <w:vAlign w:val="center"/>
          </w:tcPr>
          <w:p>
            <w:pPr>
              <w:jc w:val="left"/>
            </w:pPr>
            <w:r/>
            <w:r>
              <w:rPr>
                <w:rFonts w:ascii="Aptos" w:hAnsi="Aptos"/>
                <w:b/>
                <w:color w:val="FFFFFF"/>
                <w:sz w:val="17"/>
              </w:rPr>
              <w:t>ID</w:t>
            </w:r>
          </w:p>
        </w:tc>
        <w:tc>
          <w:tcPr>
            <w:tcW w:type="dxa" w:w="3969"/>
            <w:shd w:fill="1F4E79"/>
            <w:tcBorders>
              <w:top w:val="single" w:sz="6" w:color="FFFFFF"/>
              <w:left w:val="single" w:sz="6" w:color="FFFFFF"/>
              <w:bottom w:val="single" w:sz="6" w:color="FFFFFF"/>
              <w:right w:val="single" w:sz="6" w:color="FFFFFF"/>
            </w:tcBorders>
            <w:vAlign w:val="center"/>
          </w:tcPr>
          <w:p>
            <w:pPr>
              <w:jc w:val="left"/>
            </w:pPr>
            <w:r/>
            <w:r>
              <w:rPr>
                <w:rFonts w:ascii="Aptos" w:hAnsi="Aptos"/>
                <w:b/>
                <w:color w:val="FFFFFF"/>
                <w:sz w:val="17"/>
              </w:rPr>
              <w:t>Besoin fonctionnel</w:t>
            </w:r>
          </w:p>
        </w:tc>
        <w:tc>
          <w:tcPr>
            <w:tcW w:type="dxa" w:w="4422"/>
            <w:shd w:fill="1F4E79"/>
            <w:tcBorders>
              <w:top w:val="single" w:sz="6" w:color="FFFFFF"/>
              <w:left w:val="single" w:sz="6" w:color="FFFFFF"/>
              <w:bottom w:val="single" w:sz="6" w:color="FFFFFF"/>
              <w:right w:val="single" w:sz="6" w:color="FFFFFF"/>
            </w:tcBorders>
            <w:vAlign w:val="center"/>
          </w:tcPr>
          <w:p>
            <w:pPr>
              <w:jc w:val="left"/>
            </w:pPr>
            <w:r/>
            <w:r>
              <w:rPr>
                <w:rFonts w:ascii="Aptos" w:hAnsi="Aptos"/>
                <w:b/>
                <w:color w:val="FFFFFF"/>
                <w:sz w:val="17"/>
              </w:rPr>
              <w:t>Réponse apportée</w:t>
            </w:r>
          </w:p>
        </w:tc>
      </w:tr>
      <w:tr>
        <w:tc>
          <w:tcPr>
            <w:tcW w:type="dxa" w:w="680"/>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BF1</w:t>
            </w:r>
          </w:p>
        </w:tc>
        <w:tc>
          <w:tcPr>
            <w:tcW w:type="dxa" w:w="3969"/>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Gérer les organisations et les utilisateurs</w:t>
            </w:r>
          </w:p>
        </w:tc>
        <w:tc>
          <w:tcPr>
            <w:tcW w:type="dxa" w:w="4422"/>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Authentification JWT et contrôle d’accès par organisation</w:t>
            </w:r>
          </w:p>
        </w:tc>
      </w:tr>
      <w:tr>
        <w:tc>
          <w:tcPr>
            <w:tcW w:type="dxa" w:w="680"/>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BF2</w:t>
            </w:r>
          </w:p>
        </w:tc>
        <w:tc>
          <w:tcPr>
            <w:tcW w:type="dxa" w:w="3969"/>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Connecter et découvrir des sources</w:t>
            </w:r>
          </w:p>
        </w:tc>
        <w:tc>
          <w:tcPr>
            <w:tcW w:type="dxa" w:w="4422"/>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Catalogue de connecteurs et découverte de schémas</w:t>
            </w:r>
          </w:p>
        </w:tc>
      </w:tr>
      <w:tr>
        <w:tc>
          <w:tcPr>
            <w:tcW w:type="dxa" w:w="680"/>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BF3</w:t>
            </w:r>
          </w:p>
        </w:tc>
        <w:tc>
          <w:tcPr>
            <w:tcW w:type="dxa" w:w="3969"/>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Surveiller des tables à intervalle défini</w:t>
            </w:r>
          </w:p>
        </w:tc>
        <w:tc>
          <w:tcPr>
            <w:tcW w:type="dxa" w:w="4422"/>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Planificateur APScheduler et tâches Celery</w:t>
            </w:r>
          </w:p>
        </w:tc>
      </w:tr>
      <w:tr>
        <w:tc>
          <w:tcPr>
            <w:tcW w:type="dxa" w:w="680"/>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BF4</w:t>
            </w:r>
          </w:p>
        </w:tc>
        <w:tc>
          <w:tcPr>
            <w:tcW w:type="dxa" w:w="3969"/>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Détecter les écarts de qualité</w:t>
            </w:r>
          </w:p>
        </w:tc>
        <w:tc>
          <w:tcPr>
            <w:tcW w:type="dxa" w:w="4422"/>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Règles, z-score, Isolation Forest et STL</w:t>
            </w:r>
          </w:p>
        </w:tc>
      </w:tr>
      <w:tr>
        <w:tc>
          <w:tcPr>
            <w:tcW w:type="dxa" w:w="680"/>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BF5</w:t>
            </w:r>
          </w:p>
        </w:tc>
        <w:tc>
          <w:tcPr>
            <w:tcW w:type="dxa" w:w="3969"/>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Gérer les incidents et les alertes</w:t>
            </w:r>
          </w:p>
        </w:tc>
        <w:tc>
          <w:tcPr>
            <w:tcW w:type="dxa" w:w="4422"/>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Sévérité, déduplication, routage email/Slack/PagerDuty</w:t>
            </w:r>
          </w:p>
        </w:tc>
      </w:tr>
      <w:tr>
        <w:tc>
          <w:tcPr>
            <w:tcW w:type="dxa" w:w="680"/>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BF6</w:t>
            </w:r>
          </w:p>
        </w:tc>
        <w:tc>
          <w:tcPr>
            <w:tcW w:type="dxa" w:w="3969"/>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Aider l’investigation</w:t>
            </w:r>
          </w:p>
        </w:tc>
        <w:tc>
          <w:tcPr>
            <w:tcW w:type="dxa" w:w="4422"/>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Narration IA, signaux clés et requête de diagnostic</w:t>
            </w:r>
          </w:p>
        </w:tc>
      </w:tr>
      <w:tr>
        <w:tc>
          <w:tcPr>
            <w:tcW w:type="dxa" w:w="680"/>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BF7</w:t>
            </w:r>
          </w:p>
        </w:tc>
        <w:tc>
          <w:tcPr>
            <w:tcW w:type="dxa" w:w="3969"/>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Tracer la gouvernance IA</w:t>
            </w:r>
          </w:p>
        </w:tc>
        <w:tc>
          <w:tcPr>
            <w:tcW w:type="dxa" w:w="4422"/>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Registre append-only de preuves metadata-only</w:t>
            </w:r>
          </w:p>
        </w:tc>
      </w:tr>
    </w:tbl>
    <w:p/>
    <w:p>
      <w:pPr>
        <w:spacing w:before="40" w:after="200"/>
        <w:jc w:val="center"/>
      </w:pPr>
      <w:r>
        <w:rPr>
          <w:rFonts w:ascii="Aptos" w:hAnsi="Aptos"/>
          <w:i/>
          <w:color w:val="5B6573"/>
          <w:sz w:val="19"/>
        </w:rPr>
        <w:t>Tableau 3.1 - Principaux besoins fonctionnels et mécanismes de réponse.</w:t>
      </w:r>
    </w:p>
    <w:p>
      <w:pPr>
        <w:pStyle w:val="Heading3"/>
        <w:keepNext/>
      </w:pPr>
      <w:r>
        <w:rPr>
          <w:rFonts w:ascii="Aptos" w:hAnsi="Aptos"/>
          <w:b/>
          <w:color w:val="1F4E79"/>
          <w:sz w:val="23"/>
        </w:rPr>
        <w:t>Besoins non fonctionnels</w:t>
      </w:r>
    </w:p>
    <w:p>
      <w:pPr>
        <w:pStyle w:val="ListBullet"/>
        <w:spacing w:after="60" w:line="283" w:lineRule="auto"/>
      </w:pPr>
      <w:r>
        <w:rPr>
          <w:rFonts w:ascii="Aptos" w:hAnsi="Aptos"/>
          <w:color w:val="17212B"/>
          <w:sz w:val="21"/>
        </w:rPr>
        <w:t>Sécurité : chiffrement des configurations de connexion et séparation des organisations.</w:t>
      </w:r>
    </w:p>
    <w:p>
      <w:pPr>
        <w:pStyle w:val="ListBullet"/>
        <w:spacing w:after="60" w:line="283" w:lineRule="auto"/>
      </w:pPr>
      <w:r>
        <w:rPr>
          <w:rFonts w:ascii="Aptos" w:hAnsi="Aptos"/>
          <w:color w:val="17212B"/>
          <w:sz w:val="21"/>
        </w:rPr>
        <w:t>Fiabilité : tâches idempotentes, déduplication des incidents et reprise planifiée.</w:t>
      </w:r>
    </w:p>
    <w:p>
      <w:pPr>
        <w:pStyle w:val="ListBullet"/>
        <w:spacing w:after="60" w:line="283" w:lineRule="auto"/>
      </w:pPr>
      <w:r>
        <w:rPr>
          <w:rFonts w:ascii="Aptos" w:hAnsi="Aptos"/>
          <w:color w:val="17212B"/>
          <w:sz w:val="21"/>
        </w:rPr>
        <w:t>Performance : profilage par requêtes agrégées plutôt que lecture ligne par ligne.</w:t>
      </w:r>
    </w:p>
    <w:p>
      <w:pPr>
        <w:pStyle w:val="ListBullet"/>
        <w:spacing w:after="60" w:line="283" w:lineRule="auto"/>
      </w:pPr>
      <w:r>
        <w:rPr>
          <w:rFonts w:ascii="Aptos" w:hAnsi="Aptos"/>
          <w:color w:val="17212B"/>
          <w:sz w:val="21"/>
        </w:rPr>
        <w:t>Maintenabilité : API typée, migrations versionnées et tests de régression.</w:t>
      </w:r>
    </w:p>
    <w:p>
      <w:pPr>
        <w:pStyle w:val="ListBullet"/>
        <w:spacing w:after="60" w:line="283" w:lineRule="auto"/>
      </w:pPr>
      <w:r>
        <w:rPr>
          <w:rFonts w:ascii="Aptos" w:hAnsi="Aptos"/>
          <w:color w:val="17212B"/>
          <w:sz w:val="21"/>
        </w:rPr>
        <w:t>Traçabilité : profils, résultats de contrôles, incidents et versions de moniteurs conservés.</w:t>
      </w:r>
    </w:p>
    <w:p>
      <w:pPr>
        <w:pStyle w:val="ListBullet"/>
        <w:spacing w:after="60" w:line="283" w:lineRule="auto"/>
      </w:pPr>
      <w:r>
        <w:rPr>
          <w:rFonts w:ascii="Aptos" w:hAnsi="Aptos"/>
          <w:color w:val="17212B"/>
          <w:sz w:val="21"/>
        </w:rPr>
        <w:t>Explicabilité : scores, plages attendues et raisons de contrôle visibles dans l’interface.</w:t>
      </w:r>
    </w:p>
    <w:p>
      <w:pPr>
        <w:pStyle w:val="Heading2"/>
        <w:keepNext/>
      </w:pPr>
      <w:r>
        <w:rPr>
          <w:rFonts w:ascii="Aptos" w:hAnsi="Aptos"/>
          <w:b/>
          <w:color w:val="1F4E79"/>
          <w:sz w:val="26"/>
        </w:rPr>
        <w:t>Conception fonctionnelle</w:t>
      </w:r>
    </w:p>
    <w:p>
      <w:pPr>
        <w:spacing w:after="160" w:line="307" w:lineRule="auto"/>
        <w:jc w:val="both"/>
      </w:pPr>
      <w:r>
        <w:rPr>
          <w:rFonts w:ascii="Aptos" w:hAnsi="Aptos"/>
          <w:color w:val="17212B"/>
          <w:sz w:val="22"/>
        </w:rPr>
        <w:t>Le cas d’utilisation central commence lorsqu’un utilisateur configure une source et sélectionne une table. Le système programme un profilage, calcule les métriques, exécute les contrôles, crée ou met à jour un incident, prépare une narration et achemine l’alerte. L’utilisateur conserve la maîtrise : il examine l’incident, l’assigne, l’acquitte ou le résout selon son enquête.</w:t>
      </w:r>
    </w:p>
    <w:tbl>
      <w:tblPr>
        <w:tblW w:type="auto" w:w="0"/>
        <w:jc w:val="center"/>
        <w:tblLayout w:type="fixed"/>
        <w:tblLook w:firstColumn="1" w:firstRow="1" w:lastColumn="0" w:lastRow="0" w:noHBand="0" w:noVBand="1" w:val="04A0"/>
      </w:tblPr>
      <w:tblGrid>
        <w:gridCol w:w="1904"/>
        <w:gridCol w:w="1904"/>
        <w:gridCol w:w="1904"/>
        <w:gridCol w:w="1904"/>
        <w:gridCol w:w="1904"/>
      </w:tblGrid>
      <w:tr>
        <w:tc>
          <w:tcPr>
            <w:tcW w:type="dxa" w:w="1871"/>
            <w:tcBorders>
              <w:top w:val="single" w:sz="6" w:color="1F4E79"/>
              <w:left w:val="single" w:sz="6" w:color="1F4E79"/>
              <w:bottom w:val="single" w:sz="6" w:color="1F4E79"/>
              <w:right w:val="single" w:sz="6" w:color="1F4E79"/>
            </w:tcBorders>
            <w:shd w:fill="EAF3F8"/>
          </w:tcPr>
          <w:p>
            <w:pPr>
              <w:jc w:val="center"/>
            </w:pPr>
            <w:r>
              <w:rPr>
                <w:rFonts w:ascii="Aptos" w:hAnsi="Aptos"/>
                <w:b/>
                <w:color w:val="1F4E79"/>
                <w:sz w:val="20"/>
              </w:rPr>
              <w:t>Utilisateur</w:t>
              <w:br/>
            </w:r>
            <w:r>
              <w:rPr>
                <w:rFonts w:ascii="Aptos" w:hAnsi="Aptos"/>
                <w:color w:val="5B6573"/>
                <w:sz w:val="16"/>
              </w:rPr>
              <w:t>configure et enquête</w:t>
            </w:r>
          </w:p>
          <w:p>
            <w:pPr>
              <w:jc w:val="center"/>
            </w:pPr>
            <w:r>
              <w:rPr>
                <w:rFonts w:ascii="Aptos" w:hAnsi="Aptos"/>
                <w:b/>
                <w:color w:val="1F4E79"/>
                <w:sz w:val="28"/>
              </w:rPr>
              <w:t>→</w:t>
            </w:r>
          </w:p>
        </w:tc>
        <w:tc>
          <w:tcPr>
            <w:tcW w:type="dxa" w:w="1871"/>
            <w:tcBorders>
              <w:top w:val="single" w:sz="6" w:color="1F4E79"/>
              <w:left w:val="single" w:sz="6" w:color="1F4E79"/>
              <w:bottom w:val="single" w:sz="6" w:color="1F4E79"/>
              <w:right w:val="single" w:sz="6" w:color="1F4E79"/>
            </w:tcBorders>
            <w:shd w:fill="EAF3F8"/>
          </w:tcPr>
          <w:p>
            <w:pPr>
              <w:jc w:val="center"/>
            </w:pPr>
            <w:r>
              <w:rPr>
                <w:rFonts w:ascii="Aptos" w:hAnsi="Aptos"/>
                <w:b/>
                <w:color w:val="1F4E79"/>
                <w:sz w:val="20"/>
              </w:rPr>
              <w:t>Interface React</w:t>
              <w:br/>
            </w:r>
            <w:r>
              <w:rPr>
                <w:rFonts w:ascii="Aptos" w:hAnsi="Aptos"/>
                <w:color w:val="5B6573"/>
                <w:sz w:val="16"/>
              </w:rPr>
              <w:t>opérations et incidents</w:t>
            </w:r>
          </w:p>
          <w:p>
            <w:pPr>
              <w:jc w:val="center"/>
            </w:pPr>
            <w:r>
              <w:rPr>
                <w:rFonts w:ascii="Aptos" w:hAnsi="Aptos"/>
                <w:b/>
                <w:color w:val="1F4E79"/>
                <w:sz w:val="28"/>
              </w:rPr>
              <w:t>→</w:t>
            </w:r>
          </w:p>
        </w:tc>
        <w:tc>
          <w:tcPr>
            <w:tcW w:type="dxa" w:w="1871"/>
            <w:tcBorders>
              <w:top w:val="single" w:sz="6" w:color="1F4E79"/>
              <w:left w:val="single" w:sz="6" w:color="1F4E79"/>
              <w:bottom w:val="single" w:sz="6" w:color="1F4E79"/>
              <w:right w:val="single" w:sz="6" w:color="1F4E79"/>
            </w:tcBorders>
            <w:shd w:fill="EAF3F8"/>
          </w:tcPr>
          <w:p>
            <w:pPr>
              <w:jc w:val="center"/>
            </w:pPr>
            <w:r>
              <w:rPr>
                <w:rFonts w:ascii="Aptos" w:hAnsi="Aptos"/>
                <w:b/>
                <w:color w:val="1F4E79"/>
                <w:sz w:val="20"/>
              </w:rPr>
              <w:t>API FastAPI</w:t>
              <w:br/>
            </w:r>
            <w:r>
              <w:rPr>
                <w:rFonts w:ascii="Aptos" w:hAnsi="Aptos"/>
                <w:color w:val="5B6573"/>
                <w:sz w:val="16"/>
              </w:rPr>
              <w:t>règles métier et REST</w:t>
            </w:r>
          </w:p>
          <w:p>
            <w:pPr>
              <w:jc w:val="center"/>
            </w:pPr>
            <w:r>
              <w:rPr>
                <w:rFonts w:ascii="Aptos" w:hAnsi="Aptos"/>
                <w:b/>
                <w:color w:val="1F4E79"/>
                <w:sz w:val="28"/>
              </w:rPr>
              <w:t>→</w:t>
            </w:r>
          </w:p>
        </w:tc>
        <w:tc>
          <w:tcPr>
            <w:tcW w:type="dxa" w:w="1871"/>
            <w:tcBorders>
              <w:top w:val="single" w:sz="6" w:color="1F4E79"/>
              <w:left w:val="single" w:sz="6" w:color="1F4E79"/>
              <w:bottom w:val="single" w:sz="6" w:color="1F4E79"/>
              <w:right w:val="single" w:sz="6" w:color="1F4E79"/>
            </w:tcBorders>
            <w:shd w:fill="EAF3F8"/>
          </w:tcPr>
          <w:p>
            <w:pPr>
              <w:jc w:val="center"/>
            </w:pPr>
            <w:r>
              <w:rPr>
                <w:rFonts w:ascii="Aptos" w:hAnsi="Aptos"/>
                <w:b/>
                <w:color w:val="1F4E79"/>
                <w:sz w:val="20"/>
              </w:rPr>
              <w:t>Worker Celery</w:t>
              <w:br/>
            </w:r>
            <w:r>
              <w:rPr>
                <w:rFonts w:ascii="Aptos" w:hAnsi="Aptos"/>
                <w:color w:val="5B6573"/>
                <w:sz w:val="16"/>
              </w:rPr>
              <w:t>profilage et détection</w:t>
            </w:r>
          </w:p>
          <w:p>
            <w:pPr>
              <w:jc w:val="center"/>
            </w:pPr>
            <w:r>
              <w:rPr>
                <w:rFonts w:ascii="Aptos" w:hAnsi="Aptos"/>
                <w:b/>
                <w:color w:val="1F4E79"/>
                <w:sz w:val="28"/>
              </w:rPr>
              <w:t>→</w:t>
            </w:r>
          </w:p>
        </w:tc>
        <w:tc>
          <w:tcPr>
            <w:tcW w:type="dxa" w:w="1871"/>
            <w:tcBorders>
              <w:top w:val="single" w:sz="6" w:color="1F4E79"/>
              <w:left w:val="single" w:sz="6" w:color="1F4E79"/>
              <w:bottom w:val="single" w:sz="6" w:color="1F4E79"/>
              <w:right w:val="single" w:sz="6" w:color="1F4E79"/>
            </w:tcBorders>
            <w:shd w:fill="EAF3F8"/>
          </w:tcPr>
          <w:p>
            <w:pPr>
              <w:jc w:val="center"/>
            </w:pPr>
            <w:r>
              <w:rPr>
                <w:rFonts w:ascii="Aptos" w:hAnsi="Aptos"/>
                <w:b/>
                <w:color w:val="1F4E79"/>
                <w:sz w:val="20"/>
              </w:rPr>
              <w:t>Données</w:t>
              <w:br/>
            </w:r>
            <w:r>
              <w:rPr>
                <w:rFonts w:ascii="Aptos" w:hAnsi="Aptos"/>
                <w:color w:val="5B6573"/>
                <w:sz w:val="16"/>
              </w:rPr>
              <w:t>PostgreSQL + Redis</w:t>
            </w:r>
          </w:p>
        </w:tc>
      </w:tr>
    </w:tbl>
    <w:p>
      <w:pPr>
        <w:spacing w:before="40" w:after="200"/>
        <w:jc w:val="center"/>
      </w:pPr>
      <w:r>
        <w:rPr>
          <w:rFonts w:ascii="Aptos" w:hAnsi="Aptos"/>
          <w:i/>
          <w:color w:val="5B6573"/>
          <w:sz w:val="19"/>
        </w:rPr>
        <w:t>Figure 3.1 - Représentation synthétique du fonctionnement de DataWatch.</w:t>
      </w:r>
    </w:p>
    <w:p>
      <w:pPr>
        <w:pStyle w:val="Heading2"/>
        <w:keepNext/>
      </w:pPr>
      <w:r>
        <w:rPr>
          <w:rFonts w:ascii="Aptos" w:hAnsi="Aptos"/>
          <w:b/>
          <w:color w:val="1F4E79"/>
          <w:sz w:val="26"/>
        </w:rPr>
        <w:t>Architecture proposée</w:t>
      </w:r>
    </w:p>
    <w:p>
      <w:pPr>
        <w:spacing w:after="160" w:line="307" w:lineRule="auto"/>
        <w:jc w:val="both"/>
      </w:pPr>
      <w:r>
        <w:rPr>
          <w:rFonts w:ascii="Aptos" w:hAnsi="Aptos"/>
          <w:color w:val="17212B"/>
          <w:sz w:val="22"/>
        </w:rPr>
        <w:t>L’architecture est organisée en couches. La couche présentation est une application React. La couche application expose une API FastAPI et les règles métier. La couche d’exécution asynchrone regroupe Celery et le planificateur. PostgreSQL persiste les entités métier et Redis sert de broker et de cache. Les connecteurs encapsulent les dialectes de sources afin de préserver un contrat de profilage commun.</w:t>
      </w:r>
    </w:p>
    <w:tbl>
      <w:tblPr>
        <w:tblW w:type="auto" w:w="0"/>
        <w:jc w:val="center"/>
        <w:tblLayout w:type="fixed"/>
        <w:tblLook w:firstColumn="1" w:firstRow="1" w:lastColumn="0" w:lastRow="0" w:noHBand="0" w:noVBand="1" w:val="04A0"/>
      </w:tblPr>
      <w:tblGrid>
        <w:gridCol w:w="1904"/>
        <w:gridCol w:w="1904"/>
        <w:gridCol w:w="1904"/>
        <w:gridCol w:w="1904"/>
        <w:gridCol w:w="1904"/>
      </w:tblGrid>
      <w:tr>
        <w:tc>
          <w:tcPr>
            <w:tcW w:type="dxa" w:w="1871"/>
            <w:tcBorders>
              <w:top w:val="single" w:sz="6" w:color="1F4E79"/>
              <w:left w:val="single" w:sz="6" w:color="1F4E79"/>
              <w:bottom w:val="single" w:sz="6" w:color="1F4E79"/>
              <w:right w:val="single" w:sz="6" w:color="1F4E79"/>
            </w:tcBorders>
            <w:shd w:fill="EAF3F8"/>
          </w:tcPr>
          <w:p>
            <w:pPr>
              <w:jc w:val="center"/>
            </w:pPr>
            <w:r>
              <w:rPr>
                <w:rFonts w:ascii="Aptos" w:hAnsi="Aptos"/>
                <w:b/>
                <w:color w:val="1F4E79"/>
                <w:sz w:val="20"/>
              </w:rPr>
              <w:t>Planification</w:t>
              <w:br/>
            </w:r>
            <w:r>
              <w:rPr>
                <w:rFonts w:ascii="Aptos" w:hAnsi="Aptos"/>
                <w:color w:val="5B6573"/>
                <w:sz w:val="16"/>
              </w:rPr>
              <w:t>APScheduler</w:t>
            </w:r>
          </w:p>
          <w:p>
            <w:pPr>
              <w:jc w:val="center"/>
            </w:pPr>
            <w:r>
              <w:rPr>
                <w:rFonts w:ascii="Aptos" w:hAnsi="Aptos"/>
                <w:b/>
                <w:color w:val="1F4E79"/>
                <w:sz w:val="28"/>
              </w:rPr>
              <w:t>→</w:t>
            </w:r>
          </w:p>
        </w:tc>
        <w:tc>
          <w:tcPr>
            <w:tcW w:type="dxa" w:w="1871"/>
            <w:tcBorders>
              <w:top w:val="single" w:sz="6" w:color="1F4E79"/>
              <w:left w:val="single" w:sz="6" w:color="1F4E79"/>
              <w:bottom w:val="single" w:sz="6" w:color="1F4E79"/>
              <w:right w:val="single" w:sz="6" w:color="1F4E79"/>
            </w:tcBorders>
            <w:shd w:fill="EAF3F8"/>
          </w:tcPr>
          <w:p>
            <w:pPr>
              <w:jc w:val="center"/>
            </w:pPr>
            <w:r>
              <w:rPr>
                <w:rFonts w:ascii="Aptos" w:hAnsi="Aptos"/>
                <w:b/>
                <w:color w:val="1F4E79"/>
                <w:sz w:val="20"/>
              </w:rPr>
              <w:t>Profilage</w:t>
              <w:br/>
            </w:r>
            <w:r>
              <w:rPr>
                <w:rFonts w:ascii="Aptos" w:hAnsi="Aptos"/>
                <w:color w:val="5B6573"/>
                <w:sz w:val="16"/>
              </w:rPr>
              <w:t>tâche Celery</w:t>
            </w:r>
          </w:p>
          <w:p>
            <w:pPr>
              <w:jc w:val="center"/>
            </w:pPr>
            <w:r>
              <w:rPr>
                <w:rFonts w:ascii="Aptos" w:hAnsi="Aptos"/>
                <w:b/>
                <w:color w:val="1F4E79"/>
                <w:sz w:val="28"/>
              </w:rPr>
              <w:t>→</w:t>
            </w:r>
          </w:p>
        </w:tc>
        <w:tc>
          <w:tcPr>
            <w:tcW w:type="dxa" w:w="1871"/>
            <w:tcBorders>
              <w:top w:val="single" w:sz="6" w:color="1F4E79"/>
              <w:left w:val="single" w:sz="6" w:color="1F4E79"/>
              <w:bottom w:val="single" w:sz="6" w:color="1F4E79"/>
              <w:right w:val="single" w:sz="6" w:color="1F4E79"/>
            </w:tcBorders>
            <w:shd w:fill="EAF3F8"/>
          </w:tcPr>
          <w:p>
            <w:pPr>
              <w:jc w:val="center"/>
            </w:pPr>
            <w:r>
              <w:rPr>
                <w:rFonts w:ascii="Aptos" w:hAnsi="Aptos"/>
                <w:b/>
                <w:color w:val="1F4E79"/>
                <w:sz w:val="20"/>
              </w:rPr>
              <w:t>Contrôles</w:t>
              <w:br/>
            </w:r>
            <w:r>
              <w:rPr>
                <w:rFonts w:ascii="Aptos" w:hAnsi="Aptos"/>
                <w:color w:val="5B6573"/>
                <w:sz w:val="16"/>
              </w:rPr>
              <w:t>règles + modèles</w:t>
            </w:r>
          </w:p>
          <w:p>
            <w:pPr>
              <w:jc w:val="center"/>
            </w:pPr>
            <w:r>
              <w:rPr>
                <w:rFonts w:ascii="Aptos" w:hAnsi="Aptos"/>
                <w:b/>
                <w:color w:val="1F4E79"/>
                <w:sz w:val="28"/>
              </w:rPr>
              <w:t>→</w:t>
            </w:r>
          </w:p>
        </w:tc>
        <w:tc>
          <w:tcPr>
            <w:tcW w:type="dxa" w:w="1871"/>
            <w:tcBorders>
              <w:top w:val="single" w:sz="6" w:color="1F4E79"/>
              <w:left w:val="single" w:sz="6" w:color="1F4E79"/>
              <w:bottom w:val="single" w:sz="6" w:color="1F4E79"/>
              <w:right w:val="single" w:sz="6" w:color="1F4E79"/>
            </w:tcBorders>
            <w:shd w:fill="EAF3F8"/>
          </w:tcPr>
          <w:p>
            <w:pPr>
              <w:jc w:val="center"/>
            </w:pPr>
            <w:r>
              <w:rPr>
                <w:rFonts w:ascii="Aptos" w:hAnsi="Aptos"/>
                <w:b/>
                <w:color w:val="1F4E79"/>
                <w:sz w:val="20"/>
              </w:rPr>
              <w:t>Incident</w:t>
              <w:br/>
            </w:r>
            <w:r>
              <w:rPr>
                <w:rFonts w:ascii="Aptos" w:hAnsi="Aptos"/>
                <w:color w:val="5B6573"/>
                <w:sz w:val="16"/>
              </w:rPr>
              <w:t>déduplication P1/P2/P3</w:t>
            </w:r>
          </w:p>
          <w:p>
            <w:pPr>
              <w:jc w:val="center"/>
            </w:pPr>
            <w:r>
              <w:rPr>
                <w:rFonts w:ascii="Aptos" w:hAnsi="Aptos"/>
                <w:b/>
                <w:color w:val="1F4E79"/>
                <w:sz w:val="28"/>
              </w:rPr>
              <w:t>→</w:t>
            </w:r>
          </w:p>
        </w:tc>
        <w:tc>
          <w:tcPr>
            <w:tcW w:type="dxa" w:w="1871"/>
            <w:tcBorders>
              <w:top w:val="single" w:sz="6" w:color="1F4E79"/>
              <w:left w:val="single" w:sz="6" w:color="1F4E79"/>
              <w:bottom w:val="single" w:sz="6" w:color="1F4E79"/>
              <w:right w:val="single" w:sz="6" w:color="1F4E79"/>
            </w:tcBorders>
            <w:shd w:fill="EAF3F8"/>
          </w:tcPr>
          <w:p>
            <w:pPr>
              <w:jc w:val="center"/>
            </w:pPr>
            <w:r>
              <w:rPr>
                <w:rFonts w:ascii="Aptos" w:hAnsi="Aptos"/>
                <w:b/>
                <w:color w:val="1F4E79"/>
                <w:sz w:val="20"/>
              </w:rPr>
              <w:t>Narration / alerte</w:t>
              <w:br/>
            </w:r>
            <w:r>
              <w:rPr>
                <w:rFonts w:ascii="Aptos" w:hAnsi="Aptos"/>
                <w:color w:val="5B6573"/>
                <w:sz w:val="16"/>
              </w:rPr>
              <w:t>LLM puis routage</w:t>
            </w:r>
          </w:p>
        </w:tc>
      </w:tr>
    </w:tbl>
    <w:p>
      <w:pPr>
        <w:spacing w:before="40" w:after="200"/>
        <w:jc w:val="center"/>
      </w:pPr>
      <w:r>
        <w:rPr>
          <w:rFonts w:ascii="Aptos" w:hAnsi="Aptos"/>
          <w:i/>
          <w:color w:val="5B6573"/>
          <w:sz w:val="19"/>
        </w:rPr>
        <w:t>Figure 3.2 - Représentation synthétique du fonctionnement de DataWatch.</w:t>
      </w:r>
    </w:p>
    <w:p>
      <w:pPr>
        <w:pStyle w:val="Heading2"/>
        <w:keepNext/>
      </w:pPr>
      <w:r>
        <w:rPr>
          <w:rFonts w:ascii="Aptos" w:hAnsi="Aptos"/>
          <w:b/>
          <w:color w:val="1F4E79"/>
          <w:sz w:val="26"/>
        </w:rPr>
        <w:t>Modèle de données et sécurité</w:t>
      </w:r>
    </w:p>
    <w:p>
      <w:pPr>
        <w:spacing w:after="160" w:line="307" w:lineRule="auto"/>
        <w:jc w:val="both"/>
      </w:pPr>
      <w:r>
        <w:rPr>
          <w:rFonts w:ascii="Aptos" w:hAnsi="Aptos"/>
          <w:color w:val="17212B"/>
          <w:sz w:val="22"/>
        </w:rPr>
        <w:t>Les tables organizations, users, data_sources, monitored_tables, table_profiles, check_results, incidents et alert_configs portent la verticale de surveillance. Les modèles de moniteurs sont versionnés afin qu’une modification ne réécrive pas silencieusement une définition active. Les secrets de connexion sont stockés chiffrés au niveau applicatif avec des clés Fernet dérivées par organisation. Cette séparation renforce l’isolation inter-tenant et réduit l’exposition des configurations.</w:t>
      </w:r>
    </w:p>
    <w:p>
      <w:pPr>
        <w:pStyle w:val="Heading2"/>
        <w:keepNext/>
      </w:pPr>
      <w:r>
        <w:rPr>
          <w:rFonts w:ascii="Aptos" w:hAnsi="Aptos"/>
          <w:b/>
          <w:color w:val="1F4E79"/>
          <w:sz w:val="26"/>
        </w:rPr>
        <w:t>Gouvernance de la couche IA</w:t>
      </w:r>
    </w:p>
    <w:p>
      <w:pPr>
        <w:spacing w:after="160" w:line="307" w:lineRule="auto"/>
        <w:jc w:val="both"/>
      </w:pPr>
      <w:r>
        <w:rPr>
          <w:rFonts w:ascii="Aptos" w:hAnsi="Aptos"/>
          <w:color w:val="17212B"/>
          <w:sz w:val="22"/>
        </w:rPr>
        <w:t>La gouvernance IA est conçue en mode observe-only. Elle conserve des descripteurs de preuve metadata-only, des versions, des empreintes de contenu et des résultats de contrôles immuables. Les états inconnus, obsolètes ou non pris en charge restent visibles comme lacunes de preuve. Cette conception facilite l’audit technique mais ne constitue ni une certification juridique, ni une preuve de conformité, ni un mécanisme de blocage en production.</w:t>
      </w:r>
    </w:p>
    <w:p>
      <w:pPr>
        <w:pStyle w:val="Heading2"/>
        <w:keepNext/>
      </w:pPr>
      <w:r>
        <w:rPr>
          <w:rFonts w:ascii="Aptos" w:hAnsi="Aptos"/>
          <w:b/>
          <w:color w:val="1F4E79"/>
          <w:sz w:val="26"/>
        </w:rPr>
        <w:t>Conclusion</w:t>
      </w:r>
    </w:p>
    <w:p>
      <w:pPr>
        <w:spacing w:after="160" w:line="307" w:lineRule="auto"/>
        <w:jc w:val="both"/>
      </w:pPr>
      <w:r>
        <w:rPr>
          <w:rFonts w:ascii="Aptos" w:hAnsi="Aptos"/>
          <w:color w:val="17212B"/>
          <w:sz w:val="22"/>
        </w:rPr>
        <w:t>La conception relie les exigences à une architecture composable et testable. Le chapitre suivant présente les choix de réalisation, les interfaces et les résultats de validation.</w:t>
      </w:r>
    </w:p>
    <w:p>
      <w:pPr>
        <w:pStyle w:val="Heading1"/>
        <w:keepNext/>
      </w:pPr>
      <w:r>
        <w:rPr>
          <w:rFonts w:ascii="Aptos" w:hAnsi="Aptos"/>
          <w:b/>
          <w:color w:val="1F4E79"/>
          <w:sz w:val="32"/>
        </w:rPr>
        <w:t>Chapitre 4 — Réalisation technique et validation</w:t>
      </w:r>
    </w:p>
    <w:p>
      <w:pPr>
        <w:pStyle w:val="Heading2"/>
        <w:keepNext/>
      </w:pPr>
      <w:r>
        <w:rPr>
          <w:rFonts w:ascii="Aptos" w:hAnsi="Aptos"/>
          <w:b/>
          <w:color w:val="1F4E79"/>
          <w:sz w:val="26"/>
        </w:rPr>
        <w:t>Introduction</w:t>
      </w:r>
    </w:p>
    <w:p>
      <w:pPr>
        <w:spacing w:after="160" w:line="307" w:lineRule="auto"/>
        <w:jc w:val="both"/>
      </w:pPr>
      <w:r>
        <w:rPr>
          <w:rFonts w:ascii="Aptos" w:hAnsi="Aptos"/>
          <w:color w:val="17212B"/>
          <w:sz w:val="22"/>
        </w:rPr>
        <w:t>Cette phase concrétise les choix de conception dans une pile conteneurisée. L’objectif n’est pas de revendiquer une capacité de production universelle, mais de démontrer une verticale complète, reproductible et vérifiable localement.</w:t>
      </w:r>
    </w:p>
    <w:p>
      <w:pPr>
        <w:pStyle w:val="Heading2"/>
        <w:keepNext/>
      </w:pPr>
      <w:r>
        <w:rPr>
          <w:rFonts w:ascii="Aptos" w:hAnsi="Aptos"/>
          <w:b/>
          <w:color w:val="1F4E79"/>
          <w:sz w:val="26"/>
        </w:rPr>
        <w:t>Workflow mis en œuvre</w:t>
      </w:r>
    </w:p>
    <w:p>
      <w:pPr>
        <w:spacing w:after="160" w:line="307" w:lineRule="auto"/>
        <w:jc w:val="both"/>
      </w:pPr>
      <w:r>
        <w:rPr>
          <w:rFonts w:ascii="Aptos" w:hAnsi="Aptos"/>
          <w:color w:val="17212B"/>
          <w:sz w:val="22"/>
        </w:rPr>
        <w:t>Lorsqu’une table est enregistrée, le planificateur crée un job périodique. Le worker profile la table par agrégats SQL, persiste un snapshot, puis exécute les contrôles. En cas d’échec, le service d’incident déduplique ou enrichit l’incident ouvert. Une nouvelle occurrence déclenche la narration IA, validée par un schéma, puis l’envoi d’alertes vers les canaux configurés.</w:t>
      </w:r>
    </w:p>
    <w:p>
      <w:pPr>
        <w:pStyle w:val="Heading2"/>
        <w:keepNext/>
      </w:pPr>
      <w:r>
        <w:rPr>
          <w:rFonts w:ascii="Aptos" w:hAnsi="Aptos"/>
          <w:b/>
          <w:color w:val="1F4E79"/>
          <w:sz w:val="26"/>
        </w:rPr>
        <w:t>Technologies utilisées</w:t>
      </w:r>
    </w:p>
    <w:tbl>
      <w:tblPr>
        <w:tblW w:type="auto" w:w="0"/>
        <w:jc w:val="center"/>
        <w:tblLayout w:type="fixed"/>
        <w:tblLook w:firstColumn="1" w:firstRow="1" w:lastColumn="0" w:lastRow="0" w:noHBand="0" w:noVBand="1" w:val="04A0"/>
      </w:tblPr>
      <w:tblGrid>
        <w:gridCol w:w="4759"/>
        <w:gridCol w:w="4759"/>
      </w:tblGrid>
      <w:tr>
        <w:trPr>
          <w:tblHeader w:val="true"/>
        </w:trPr>
        <w:tc>
          <w:tcPr>
            <w:tcW w:type="dxa" w:w="3005"/>
            <w:shd w:fill="1F4E79"/>
            <w:tcBorders>
              <w:top w:val="single" w:sz="6" w:color="FFFFFF"/>
              <w:left w:val="single" w:sz="6" w:color="FFFFFF"/>
              <w:bottom w:val="single" w:sz="6" w:color="FFFFFF"/>
              <w:right w:val="single" w:sz="6" w:color="FFFFFF"/>
            </w:tcBorders>
            <w:vAlign w:val="center"/>
          </w:tcPr>
          <w:p>
            <w:pPr>
              <w:jc w:val="left"/>
            </w:pPr>
            <w:r/>
            <w:r>
              <w:rPr>
                <w:rFonts w:ascii="Aptos" w:hAnsi="Aptos"/>
                <w:b/>
                <w:color w:val="FFFFFF"/>
                <w:sz w:val="18"/>
              </w:rPr>
              <w:t>Technologie</w:t>
            </w:r>
          </w:p>
        </w:tc>
        <w:tc>
          <w:tcPr>
            <w:tcW w:type="dxa" w:w="6066"/>
            <w:shd w:fill="1F4E79"/>
            <w:tcBorders>
              <w:top w:val="single" w:sz="6" w:color="FFFFFF"/>
              <w:left w:val="single" w:sz="6" w:color="FFFFFF"/>
              <w:bottom w:val="single" w:sz="6" w:color="FFFFFF"/>
              <w:right w:val="single" w:sz="6" w:color="FFFFFF"/>
            </w:tcBorders>
            <w:vAlign w:val="center"/>
          </w:tcPr>
          <w:p>
            <w:pPr>
              <w:jc w:val="left"/>
            </w:pPr>
            <w:r/>
            <w:r>
              <w:rPr>
                <w:rFonts w:ascii="Aptos" w:hAnsi="Aptos"/>
                <w:b/>
                <w:color w:val="FFFFFF"/>
                <w:sz w:val="18"/>
              </w:rPr>
              <w:t>Rôle dans la solution</w:t>
            </w:r>
          </w:p>
        </w:tc>
      </w:tr>
      <w:tr>
        <w:tc>
          <w:tcPr>
            <w:tcW w:type="dxa" w:w="3005"/>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Python 3.12 / FastAPI</w:t>
            </w:r>
          </w:p>
        </w:tc>
        <w:tc>
          <w:tcPr>
            <w:tcW w:type="dxa" w:w="6066"/>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API asynchrone, contrats REST et logique métier</w:t>
            </w:r>
          </w:p>
        </w:tc>
      </w:tr>
      <w:tr>
        <w:tc>
          <w:tcPr>
            <w:tcW w:type="dxa" w:w="3005"/>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SQLAlchemy 2.0 / PostgreSQL 16</w:t>
            </w:r>
          </w:p>
        </w:tc>
        <w:tc>
          <w:tcPr>
            <w:tcW w:type="dxa" w:w="6066"/>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ORM asynchrone, persistance transactionnelle et JSONB</w:t>
            </w:r>
          </w:p>
        </w:tc>
      </w:tr>
      <w:tr>
        <w:tc>
          <w:tcPr>
            <w:tcW w:type="dxa" w:w="3005"/>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Celery / Redis</w:t>
            </w:r>
          </w:p>
        </w:tc>
        <w:tc>
          <w:tcPr>
            <w:tcW w:type="dxa" w:w="6066"/>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Exécution asynchrone, broker et caches</w:t>
            </w:r>
          </w:p>
        </w:tc>
      </w:tr>
      <w:tr>
        <w:tc>
          <w:tcPr>
            <w:tcW w:type="dxa" w:w="3005"/>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APScheduler</w:t>
            </w:r>
          </w:p>
        </w:tc>
        <w:tc>
          <w:tcPr>
            <w:tcW w:type="dxa" w:w="6066"/>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Planification par table surveillée</w:t>
            </w:r>
          </w:p>
        </w:tc>
      </w:tr>
      <w:tr>
        <w:tc>
          <w:tcPr>
            <w:tcW w:type="dxa" w:w="3005"/>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React 18 / Vite / Tailwind</w:t>
            </w:r>
          </w:p>
        </w:tc>
        <w:tc>
          <w:tcPr>
            <w:tcW w:type="dxa" w:w="6066"/>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Interface de pilotage et de diagnostic</w:t>
            </w:r>
          </w:p>
        </w:tc>
      </w:tr>
      <w:tr>
        <w:tc>
          <w:tcPr>
            <w:tcW w:type="dxa" w:w="3005"/>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Docker Compose</w:t>
            </w:r>
          </w:p>
        </w:tc>
        <w:tc>
          <w:tcPr>
            <w:tcW w:type="dxa" w:w="6066"/>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Environnement de développement et démonstration reproductibles</w:t>
            </w:r>
          </w:p>
        </w:tc>
      </w:tr>
      <w:tr>
        <w:tc>
          <w:tcPr>
            <w:tcW w:type="dxa" w:w="3005"/>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Pytest / Playwright</w:t>
            </w:r>
          </w:p>
        </w:tc>
        <w:tc>
          <w:tcPr>
            <w:tcW w:type="dxa" w:w="6066"/>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8"/>
              </w:rPr>
              <w:t>Tests backend et parcours navigateur</w:t>
            </w:r>
          </w:p>
        </w:tc>
      </w:tr>
    </w:tbl>
    <w:p/>
    <w:p>
      <w:pPr>
        <w:spacing w:before="40" w:after="200"/>
        <w:jc w:val="center"/>
      </w:pPr>
      <w:r>
        <w:rPr>
          <w:rFonts w:ascii="Aptos" w:hAnsi="Aptos"/>
          <w:i/>
          <w:color w:val="5B6573"/>
          <w:sz w:val="19"/>
        </w:rPr>
        <w:t>Tableau 4.1 - Technologies mobilisées et rôle associé.</w:t>
      </w:r>
    </w:p>
    <w:p>
      <w:pPr>
        <w:pStyle w:val="Heading2"/>
        <w:keepNext/>
      </w:pPr>
      <w:r>
        <w:rPr>
          <w:rFonts w:ascii="Aptos" w:hAnsi="Aptos"/>
          <w:b/>
          <w:color w:val="1F4E79"/>
          <w:sz w:val="26"/>
        </w:rPr>
        <w:t>Présentation des interfaces</w:t>
      </w:r>
    </w:p>
    <w:p>
      <w:pPr>
        <w:spacing w:after="160" w:line="307" w:lineRule="auto"/>
        <w:jc w:val="both"/>
      </w:pPr>
      <w:r>
        <w:rPr>
          <w:rFonts w:ascii="Aptos" w:hAnsi="Aptos"/>
          <w:color w:val="17212B"/>
          <w:sz w:val="22"/>
        </w:rPr>
        <w:t>La page Opérations est le point d’entrée de la démonstration. Elle met en évidence la file d’incidents, les actifs surveillés et l’état des sources. Le détail d’incident privilégie les signaux clés, la narration IA et les actions d’investigation. Les identifiants techniques et les vérifications secondaires restent accessibles sans surcharger la lecture initiale.</w:t>
      </w:r>
    </w:p>
    <w:tbl>
      <w:tblPr>
        <w:tblW w:type="auto" w:w="0"/>
        <w:jc w:val="center"/>
        <w:tblLayout w:type="fixed"/>
        <w:tblLook w:firstColumn="1" w:firstRow="1" w:lastColumn="0" w:lastRow="0" w:noHBand="0" w:noVBand="1" w:val="04A0"/>
      </w:tblPr>
      <w:tblGrid>
        <w:gridCol w:w="1904"/>
        <w:gridCol w:w="1904"/>
        <w:gridCol w:w="1904"/>
        <w:gridCol w:w="1904"/>
        <w:gridCol w:w="1904"/>
      </w:tblGrid>
      <w:tr>
        <w:tc>
          <w:tcPr>
            <w:tcW w:type="dxa" w:w="1871"/>
            <w:tcBorders>
              <w:top w:val="single" w:sz="6" w:color="1F4E79"/>
              <w:left w:val="single" w:sz="6" w:color="1F4E79"/>
              <w:bottom w:val="single" w:sz="6" w:color="1F4E79"/>
              <w:right w:val="single" w:sz="6" w:color="1F4E79"/>
            </w:tcBorders>
            <w:shd w:fill="EAF3F8"/>
          </w:tcPr>
          <w:p>
            <w:pPr>
              <w:jc w:val="center"/>
            </w:pPr>
            <w:r>
              <w:rPr>
                <w:rFonts w:ascii="Aptos" w:hAnsi="Aptos"/>
                <w:b/>
                <w:color w:val="1F4E79"/>
                <w:sz w:val="20"/>
              </w:rPr>
              <w:t>Opérations</w:t>
              <w:br/>
            </w:r>
            <w:r>
              <w:rPr>
                <w:rFonts w:ascii="Aptos" w:hAnsi="Aptos"/>
                <w:color w:val="5B6573"/>
                <w:sz w:val="16"/>
              </w:rPr>
              <w:t>priorisation</w:t>
            </w:r>
          </w:p>
          <w:p>
            <w:pPr>
              <w:jc w:val="center"/>
            </w:pPr>
            <w:r>
              <w:rPr>
                <w:rFonts w:ascii="Aptos" w:hAnsi="Aptos"/>
                <w:b/>
                <w:color w:val="1F4E79"/>
                <w:sz w:val="28"/>
              </w:rPr>
              <w:t>→</w:t>
            </w:r>
          </w:p>
        </w:tc>
        <w:tc>
          <w:tcPr>
            <w:tcW w:type="dxa" w:w="1871"/>
            <w:tcBorders>
              <w:top w:val="single" w:sz="6" w:color="1F4E79"/>
              <w:left w:val="single" w:sz="6" w:color="1F4E79"/>
              <w:bottom w:val="single" w:sz="6" w:color="1F4E79"/>
              <w:right w:val="single" w:sz="6" w:color="1F4E79"/>
            </w:tcBorders>
            <w:shd w:fill="EAF3F8"/>
          </w:tcPr>
          <w:p>
            <w:pPr>
              <w:jc w:val="center"/>
            </w:pPr>
            <w:r>
              <w:rPr>
                <w:rFonts w:ascii="Aptos" w:hAnsi="Aptos"/>
                <w:b/>
                <w:color w:val="1F4E79"/>
                <w:sz w:val="20"/>
              </w:rPr>
              <w:t>Incident orders</w:t>
              <w:br/>
            </w:r>
            <w:r>
              <w:rPr>
                <w:rFonts w:ascii="Aptos" w:hAnsi="Aptos"/>
                <w:color w:val="5B6573"/>
                <w:sz w:val="16"/>
              </w:rPr>
              <w:t>signaux et narration</w:t>
            </w:r>
          </w:p>
          <w:p>
            <w:pPr>
              <w:jc w:val="center"/>
            </w:pPr>
            <w:r>
              <w:rPr>
                <w:rFonts w:ascii="Aptos" w:hAnsi="Aptos"/>
                <w:b/>
                <w:color w:val="1F4E79"/>
                <w:sz w:val="28"/>
              </w:rPr>
              <w:t>→</w:t>
            </w:r>
          </w:p>
        </w:tc>
        <w:tc>
          <w:tcPr>
            <w:tcW w:type="dxa" w:w="1871"/>
            <w:tcBorders>
              <w:top w:val="single" w:sz="6" w:color="1F4E79"/>
              <w:left w:val="single" w:sz="6" w:color="1F4E79"/>
              <w:bottom w:val="single" w:sz="6" w:color="1F4E79"/>
              <w:right w:val="single" w:sz="6" w:color="1F4E79"/>
            </w:tcBorders>
            <w:shd w:fill="EAF3F8"/>
          </w:tcPr>
          <w:p>
            <w:pPr>
              <w:jc w:val="center"/>
            </w:pPr>
            <w:r>
              <w:rPr>
                <w:rFonts w:ascii="Aptos" w:hAnsi="Aptos"/>
                <w:b/>
                <w:color w:val="1F4E79"/>
                <w:sz w:val="20"/>
              </w:rPr>
              <w:t>Table</w:t>
              <w:br/>
            </w:r>
            <w:r>
              <w:rPr>
                <w:rFonts w:ascii="Aptos" w:hAnsi="Aptos"/>
                <w:color w:val="5B6573"/>
                <w:sz w:val="16"/>
              </w:rPr>
              <w:t>profil et métriques</w:t>
            </w:r>
          </w:p>
          <w:p>
            <w:pPr>
              <w:jc w:val="center"/>
            </w:pPr>
            <w:r>
              <w:rPr>
                <w:rFonts w:ascii="Aptos" w:hAnsi="Aptos"/>
                <w:b/>
                <w:color w:val="1F4E79"/>
                <w:sz w:val="28"/>
              </w:rPr>
              <w:t>→</w:t>
            </w:r>
          </w:p>
        </w:tc>
        <w:tc>
          <w:tcPr>
            <w:tcW w:type="dxa" w:w="1871"/>
            <w:tcBorders>
              <w:top w:val="single" w:sz="6" w:color="1F4E79"/>
              <w:left w:val="single" w:sz="6" w:color="1F4E79"/>
              <w:bottom w:val="single" w:sz="6" w:color="1F4E79"/>
              <w:right w:val="single" w:sz="6" w:color="1F4E79"/>
            </w:tcBorders>
            <w:shd w:fill="EAF3F8"/>
          </w:tcPr>
          <w:p>
            <w:pPr>
              <w:jc w:val="center"/>
            </w:pPr>
            <w:r>
              <w:rPr>
                <w:rFonts w:ascii="Aptos" w:hAnsi="Aptos"/>
                <w:b/>
                <w:color w:val="1F4E79"/>
                <w:sz w:val="20"/>
              </w:rPr>
              <w:t>Alertes</w:t>
              <w:br/>
            </w:r>
            <w:r>
              <w:rPr>
                <w:rFonts w:ascii="Aptos" w:hAnsi="Aptos"/>
                <w:color w:val="5B6573"/>
                <w:sz w:val="16"/>
              </w:rPr>
              <w:t>route MailHog</w:t>
            </w:r>
          </w:p>
          <w:p>
            <w:pPr>
              <w:jc w:val="center"/>
            </w:pPr>
            <w:r>
              <w:rPr>
                <w:rFonts w:ascii="Aptos" w:hAnsi="Aptos"/>
                <w:b/>
                <w:color w:val="1F4E79"/>
                <w:sz w:val="28"/>
              </w:rPr>
              <w:t>→</w:t>
            </w:r>
          </w:p>
        </w:tc>
        <w:tc>
          <w:tcPr>
            <w:tcW w:type="dxa" w:w="1871"/>
            <w:tcBorders>
              <w:top w:val="single" w:sz="6" w:color="1F4E79"/>
              <w:left w:val="single" w:sz="6" w:color="1F4E79"/>
              <w:bottom w:val="single" w:sz="6" w:color="1F4E79"/>
              <w:right w:val="single" w:sz="6" w:color="1F4E79"/>
            </w:tcBorders>
            <w:shd w:fill="EAF3F8"/>
          </w:tcPr>
          <w:p>
            <w:pPr>
              <w:jc w:val="center"/>
            </w:pPr>
            <w:r>
              <w:rPr>
                <w:rFonts w:ascii="Aptos" w:hAnsi="Aptos"/>
                <w:b/>
                <w:color w:val="1F4E79"/>
                <w:sz w:val="20"/>
              </w:rPr>
              <w:t>Gouvernance IA</w:t>
              <w:br/>
            </w:r>
            <w:r>
              <w:rPr>
                <w:rFonts w:ascii="Aptos" w:hAnsi="Aptos"/>
                <w:color w:val="5B6573"/>
                <w:sz w:val="16"/>
              </w:rPr>
              <w:t>preuves observe-only</w:t>
            </w:r>
          </w:p>
        </w:tc>
      </w:tr>
    </w:tbl>
    <w:p>
      <w:pPr>
        <w:spacing w:before="40" w:after="200"/>
        <w:jc w:val="center"/>
      </w:pPr>
      <w:r>
        <w:rPr>
          <w:rFonts w:ascii="Aptos" w:hAnsi="Aptos"/>
          <w:i/>
          <w:color w:val="5B6573"/>
          <w:sz w:val="19"/>
        </w:rPr>
        <w:t>Figure 4.1 - Représentation synthétique du fonctionnement de DataWatch.</w:t>
      </w:r>
    </w:p>
    <w:p>
      <w:pPr>
        <w:pStyle w:val="Heading2"/>
        <w:keepNext/>
      </w:pPr>
      <w:r>
        <w:rPr>
          <w:rFonts w:ascii="Aptos" w:hAnsi="Aptos"/>
          <w:b/>
          <w:color w:val="1F4E79"/>
          <w:sz w:val="26"/>
        </w:rPr>
        <w:t>Tests et validation</w:t>
      </w:r>
    </w:p>
    <w:p>
      <w:pPr>
        <w:spacing w:after="160" w:line="307" w:lineRule="auto"/>
        <w:jc w:val="both"/>
      </w:pPr>
      <w:r>
        <w:rPr>
          <w:rFonts w:ascii="Aptos" w:hAnsi="Aptos"/>
          <w:color w:val="17212B"/>
          <w:sz w:val="22"/>
        </w:rPr>
        <w:t>La validation combine des tests unitaires et d’intégration, une pile Docker seedée, des parcours Playwright et des contrôles de qualité de build. Le seed de démonstration crée les espaces Acme et Startup, configure une route d’alerte P1/P2 vers MailHog et attend une narration disponible pour l’incident orders avant la prise de démonstration.</w:t>
      </w:r>
    </w:p>
    <w:tbl>
      <w:tblPr>
        <w:tblW w:type="auto" w:w="0"/>
        <w:jc w:val="center"/>
        <w:tblLayout w:type="fixed"/>
        <w:tblLook w:firstColumn="1" w:firstRow="1" w:lastColumn="0" w:lastRow="0" w:noHBand="0" w:noVBand="1" w:val="04A0"/>
      </w:tblPr>
      <w:tblGrid>
        <w:gridCol w:w="3173"/>
        <w:gridCol w:w="3173"/>
        <w:gridCol w:w="3173"/>
      </w:tblGrid>
      <w:tr>
        <w:trPr>
          <w:tblHeader w:val="true"/>
        </w:trPr>
        <w:tc>
          <w:tcPr>
            <w:tcW w:type="dxa" w:w="2324"/>
            <w:shd w:fill="1F4E79"/>
            <w:tcBorders>
              <w:top w:val="single" w:sz="6" w:color="FFFFFF"/>
              <w:left w:val="single" w:sz="6" w:color="FFFFFF"/>
              <w:bottom w:val="single" w:sz="6" w:color="FFFFFF"/>
              <w:right w:val="single" w:sz="6" w:color="FFFFFF"/>
            </w:tcBorders>
            <w:vAlign w:val="center"/>
          </w:tcPr>
          <w:p>
            <w:pPr>
              <w:jc w:val="left"/>
            </w:pPr>
            <w:r/>
            <w:r>
              <w:rPr>
                <w:rFonts w:ascii="Aptos" w:hAnsi="Aptos"/>
                <w:b/>
                <w:color w:val="FFFFFF"/>
                <w:sz w:val="17"/>
              </w:rPr>
              <w:t>Élément vérifié</w:t>
            </w:r>
          </w:p>
        </w:tc>
        <w:tc>
          <w:tcPr>
            <w:tcW w:type="dxa" w:w="3402"/>
            <w:shd w:fill="1F4E79"/>
            <w:tcBorders>
              <w:top w:val="single" w:sz="6" w:color="FFFFFF"/>
              <w:left w:val="single" w:sz="6" w:color="FFFFFF"/>
              <w:bottom w:val="single" w:sz="6" w:color="FFFFFF"/>
              <w:right w:val="single" w:sz="6" w:color="FFFFFF"/>
            </w:tcBorders>
            <w:vAlign w:val="center"/>
          </w:tcPr>
          <w:p>
            <w:pPr>
              <w:jc w:val="left"/>
            </w:pPr>
            <w:r/>
            <w:r>
              <w:rPr>
                <w:rFonts w:ascii="Aptos" w:hAnsi="Aptos"/>
                <w:b/>
                <w:color w:val="FFFFFF"/>
                <w:sz w:val="17"/>
              </w:rPr>
              <w:t>Résultat observé</w:t>
            </w:r>
          </w:p>
        </w:tc>
        <w:tc>
          <w:tcPr>
            <w:tcW w:type="dxa" w:w="3345"/>
            <w:shd w:fill="1F4E79"/>
            <w:tcBorders>
              <w:top w:val="single" w:sz="6" w:color="FFFFFF"/>
              <w:left w:val="single" w:sz="6" w:color="FFFFFF"/>
              <w:bottom w:val="single" w:sz="6" w:color="FFFFFF"/>
              <w:right w:val="single" w:sz="6" w:color="FFFFFF"/>
            </w:tcBorders>
            <w:vAlign w:val="center"/>
          </w:tcPr>
          <w:p>
            <w:pPr>
              <w:jc w:val="left"/>
            </w:pPr>
            <w:r/>
            <w:r>
              <w:rPr>
                <w:rFonts w:ascii="Aptos" w:hAnsi="Aptos"/>
                <w:b/>
                <w:color w:val="FFFFFF"/>
                <w:sz w:val="17"/>
              </w:rPr>
              <w:t>Interprétation</w:t>
            </w:r>
          </w:p>
        </w:tc>
      </w:tr>
      <w:tr>
        <w:tc>
          <w:tcPr>
            <w:tcW w:type="dxa" w:w="2324"/>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Build frontend</w:t>
            </w:r>
          </w:p>
        </w:tc>
        <w:tc>
          <w:tcPr>
            <w:tcW w:type="dxa" w:w="3402"/>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2 918 modules construits ; audit de dépendances sans vulnérabilité</w:t>
            </w:r>
          </w:p>
        </w:tc>
        <w:tc>
          <w:tcPr>
            <w:tcW w:type="dxa" w:w="3345"/>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La version de production est compilable dans l’environnement local</w:t>
            </w:r>
          </w:p>
        </w:tc>
      </w:tr>
      <w:tr>
        <w:tc>
          <w:tcPr>
            <w:tcW w:type="dxa" w:w="2324"/>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Tests backend ciblés</w:t>
            </w:r>
          </w:p>
        </w:tc>
        <w:tc>
          <w:tcPr>
            <w:tcW w:type="dxa" w:w="3402"/>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27 tests réussis</w:t>
            </w:r>
          </w:p>
        </w:tc>
        <w:tc>
          <w:tcPr>
            <w:tcW w:type="dxa" w:w="3345"/>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Régression ciblée sur anomalies et autopilot validée</w:t>
            </w:r>
          </w:p>
        </w:tc>
      </w:tr>
      <w:tr>
        <w:tc>
          <w:tcPr>
            <w:tcW w:type="dxa" w:w="2324"/>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Parcours navigateur</w:t>
            </w:r>
          </w:p>
        </w:tc>
        <w:tc>
          <w:tcPr>
            <w:tcW w:type="dxa" w:w="3402"/>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5 flux Playwright réussis, diagnostics navigateur vides</w:t>
            </w:r>
          </w:p>
        </w:tc>
        <w:tc>
          <w:tcPr>
            <w:tcW w:type="dxa" w:w="3345"/>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Surveillance, alertes, DSL, gouvernance et parcours PFE couverts</w:t>
            </w:r>
          </w:p>
        </w:tc>
      </w:tr>
      <w:tr>
        <w:tc>
          <w:tcPr>
            <w:tcW w:type="dxa" w:w="2324"/>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Seed de démo</w:t>
            </w:r>
          </w:p>
        </w:tc>
        <w:tc>
          <w:tcPr>
            <w:tcW w:type="dxa" w:w="3402"/>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Narration orders disponible et messages MailHog présents</w:t>
            </w:r>
          </w:p>
        </w:tc>
        <w:tc>
          <w:tcPr>
            <w:tcW w:type="dxa" w:w="3345"/>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Parcours de démonstration reproductible localement</w:t>
            </w:r>
          </w:p>
        </w:tc>
      </w:tr>
      <w:tr>
        <w:tc>
          <w:tcPr>
            <w:tcW w:type="dxa" w:w="2324"/>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Mesures API locales</w:t>
            </w:r>
          </w:p>
        </w:tc>
        <w:tc>
          <w:tcPr>
            <w:tcW w:type="dxa" w:w="3402"/>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p95 &lt; 5 ms pour les listes ; santé organisationnelle 144,27 ms p95</w:t>
            </w:r>
          </w:p>
        </w:tc>
        <w:tc>
          <w:tcPr>
            <w:tcW w:type="dxa" w:w="3345"/>
            <w:tcBorders>
              <w:top w:val="single" w:sz="6" w:color="D3DCE6"/>
              <w:left w:val="single" w:sz="6" w:color="D3DCE6"/>
              <w:bottom w:val="single" w:sz="6" w:color="D3DCE6"/>
              <w:right w:val="single" w:sz="6" w:color="D3DCE6"/>
            </w:tcBorders>
            <w:vAlign w:val="top"/>
          </w:tcPr>
          <w:p>
            <w:pPr>
              <w:spacing w:after="40"/>
            </w:pPr>
            <w:r/>
            <w:r>
              <w:rPr>
                <w:rFonts w:ascii="Aptos" w:hAnsi="Aptos"/>
                <w:color w:val="17212B"/>
                <w:sz w:val="17"/>
              </w:rPr>
              <w:t>Indicateurs de régression locale, non SLA de production</w:t>
            </w:r>
          </w:p>
        </w:tc>
      </w:tr>
    </w:tbl>
    <w:p/>
    <w:p>
      <w:pPr>
        <w:spacing w:before="40" w:after="200"/>
        <w:jc w:val="center"/>
      </w:pPr>
      <w:r>
        <w:rPr>
          <w:rFonts w:ascii="Aptos" w:hAnsi="Aptos"/>
          <w:i/>
          <w:color w:val="5B6573"/>
          <w:sz w:val="19"/>
        </w:rPr>
        <w:t>Tableau 4.2 - Synthèse des vérifications et limites d’interprétation.</w:t>
      </w:r>
    </w:p>
    <w:p>
      <w:pPr>
        <w:pStyle w:val="Heading2"/>
        <w:keepNext/>
      </w:pPr>
      <w:r>
        <w:rPr>
          <w:rFonts w:ascii="Aptos" w:hAnsi="Aptos"/>
          <w:b/>
          <w:color w:val="1F4E79"/>
          <w:sz w:val="26"/>
        </w:rPr>
        <w:t>Discussion des limites</w:t>
      </w:r>
    </w:p>
    <w:p>
      <w:pPr>
        <w:spacing w:after="160" w:line="307" w:lineRule="auto"/>
        <w:jc w:val="both"/>
      </w:pPr>
      <w:r>
        <w:rPr>
          <w:rFonts w:ascii="Aptos" w:hAnsi="Aptos"/>
          <w:color w:val="17212B"/>
          <w:sz w:val="22"/>
        </w:rPr>
        <w:t>Les résultats sont des preuves locales et ne constituent pas une garantie de montée en charge, de disponibilité internet ou de délai de fournisseur LLM. PostgreSQL est le connecteur stable de référence ; DuckDB et SQLite restent bêta, tandis que les autres connecteurs implémentés sont expérimentaux ou soumis à des validations d’environnement. Les résultats de la narration IA doivent être relus car ils peuvent formuler une hypothèse plausible mais non prouvée. La gouvernance IA observe l’état des preuves ; elle ne bloque pas l’exécution et ne certifie pas la conformité.</w:t>
      </w:r>
    </w:p>
    <w:p>
      <w:pPr>
        <w:pStyle w:val="Heading2"/>
        <w:keepNext/>
      </w:pPr>
      <w:r>
        <w:rPr>
          <w:rFonts w:ascii="Aptos" w:hAnsi="Aptos"/>
          <w:b/>
          <w:color w:val="1F4E79"/>
          <w:sz w:val="26"/>
        </w:rPr>
        <w:t>Conclusion</w:t>
      </w:r>
    </w:p>
    <w:p>
      <w:pPr>
        <w:spacing w:after="160" w:line="307" w:lineRule="auto"/>
        <w:jc w:val="both"/>
      </w:pPr>
      <w:r>
        <w:rPr>
          <w:rFonts w:ascii="Aptos" w:hAnsi="Aptos"/>
          <w:color w:val="17212B"/>
          <w:sz w:val="22"/>
        </w:rPr>
        <w:t>La réalisation met en évidence une chaîne cohérente de l’acquisition du signal jusqu’à l’alerte et à l’assistance à l’investigation. La validation, les mesures et les limites sont documentées afin que la démonstration reste honnête et reproductible.</w:t>
      </w:r>
    </w:p>
    <w:p>
      <w:pPr>
        <w:pStyle w:val="Heading1"/>
        <w:keepNext/>
      </w:pPr>
      <w:r>
        <w:rPr>
          <w:rFonts w:ascii="Aptos" w:hAnsi="Aptos"/>
          <w:b/>
          <w:color w:val="1F4E79"/>
          <w:sz w:val="32"/>
        </w:rPr>
        <w:t>Conclusion générale et perspectives</w:t>
      </w:r>
    </w:p>
    <w:p>
      <w:pPr>
        <w:spacing w:after="160" w:line="307" w:lineRule="auto"/>
        <w:jc w:val="both"/>
      </w:pPr>
      <w:r>
        <w:rPr>
          <w:rFonts w:ascii="Aptos" w:hAnsi="Aptos"/>
          <w:color w:val="17212B"/>
          <w:sz w:val="22"/>
        </w:rPr>
        <w:t>Ce projet a permis de concevoir et réaliser DataWatch, une plateforme de surveillance de la qualité des données destinée à un contexte SaaS multi-tenant. La solution couvre l’enregistrement de sources, le profilage de tables, la détection hybride d’anomalies, la gestion d’incidents, l’alerte et l’assistance par narration IA. La conception privilégie le cloisonnement des organisations, la traçabilité, l’explicabilité et la validation reproductible.</w:t>
      </w:r>
    </w:p>
    <w:p>
      <w:pPr>
        <w:spacing w:after="160" w:line="307" w:lineRule="auto"/>
        <w:jc w:val="both"/>
      </w:pPr>
      <w:r>
        <w:rPr>
          <w:rFonts w:ascii="Aptos" w:hAnsi="Aptos"/>
          <w:color w:val="17212B"/>
          <w:sz w:val="22"/>
        </w:rPr>
        <w:t>Les validations locales montrent que le parcours principal est opérationnel : le seed déclenche un incident P1 représentatif, prépare sa narration et permet de parcourir l’interface, les alertes et la gouvernance IA. Les choix de preuve limitent volontairement les affirmations : les résultats locaux ne sont ni un SLA, ni une mesure de charge à grande échelle, ni une certification de conformité.</w:t>
      </w:r>
    </w:p>
    <w:p>
      <w:pPr>
        <w:pStyle w:val="Heading2"/>
        <w:keepNext/>
      </w:pPr>
      <w:r>
        <w:rPr>
          <w:rFonts w:ascii="Aptos" w:hAnsi="Aptos"/>
          <w:b/>
          <w:color w:val="1F4E79"/>
          <w:sz w:val="26"/>
        </w:rPr>
        <w:t>Perspectives</w:t>
      </w:r>
    </w:p>
    <w:p>
      <w:pPr>
        <w:pStyle w:val="ListBullet"/>
        <w:spacing w:after="60" w:line="283" w:lineRule="auto"/>
      </w:pPr>
      <w:r>
        <w:rPr>
          <w:rFonts w:ascii="Aptos" w:hAnsi="Aptos"/>
          <w:color w:val="17212B"/>
          <w:sz w:val="21"/>
        </w:rPr>
        <w:t>Mener des benchmarks répétés par connecteur, volume, largeur de schéma et niveau de concurrence.</w:t>
      </w:r>
    </w:p>
    <w:p>
      <w:pPr>
        <w:pStyle w:val="ListBullet"/>
        <w:spacing w:after="60" w:line="283" w:lineRule="auto"/>
      </w:pPr>
      <w:r>
        <w:rPr>
          <w:rFonts w:ascii="Aptos" w:hAnsi="Aptos"/>
          <w:color w:val="17212B"/>
          <w:sz w:val="21"/>
        </w:rPr>
        <w:t>Évaluer précision, rappel et faux positifs des détecteurs sur des jeux de données annotés.</w:t>
      </w:r>
    </w:p>
    <w:p>
      <w:pPr>
        <w:pStyle w:val="ListBullet"/>
        <w:spacing w:after="60" w:line="283" w:lineRule="auto"/>
      </w:pPr>
      <w:r>
        <w:rPr>
          <w:rFonts w:ascii="Aptos" w:hAnsi="Aptos"/>
          <w:color w:val="17212B"/>
          <w:sz w:val="21"/>
        </w:rPr>
        <w:t>Ajouter des packs de politiques, exceptions temporaires et gates de publication explicitement gouvernés.</w:t>
      </w:r>
    </w:p>
    <w:p>
      <w:pPr>
        <w:pStyle w:val="ListBullet"/>
        <w:spacing w:after="60" w:line="283" w:lineRule="auto"/>
      </w:pPr>
      <w:r>
        <w:rPr>
          <w:rFonts w:ascii="Aptos" w:hAnsi="Aptos"/>
          <w:color w:val="17212B"/>
          <w:sz w:val="21"/>
        </w:rPr>
        <w:t>Étendre les validations verticales des connecteurs cloud avec des identifiants et coûts contrôlés.</w:t>
      </w:r>
    </w:p>
    <w:p>
      <w:pPr>
        <w:pStyle w:val="ListBullet"/>
        <w:spacing w:after="60" w:line="283" w:lineRule="auto"/>
      </w:pPr>
      <w:r>
        <w:rPr>
          <w:rFonts w:ascii="Aptos" w:hAnsi="Aptos"/>
          <w:color w:val="17212B"/>
          <w:sz w:val="21"/>
        </w:rPr>
        <w:t>Mettre en place des mécanismes de feedback humain sur les narrations IA et leurs hypothèses.</w:t>
      </w:r>
    </w:p>
    <w:p>
      <w:pPr>
        <w:pStyle w:val="ListBullet"/>
        <w:spacing w:after="60" w:line="283" w:lineRule="auto"/>
      </w:pPr>
      <w:r>
        <w:rPr>
          <w:rFonts w:ascii="Aptos" w:hAnsi="Aptos"/>
          <w:color w:val="17212B"/>
          <w:sz w:val="21"/>
        </w:rPr>
        <w:t>Industrialiser les exports de preuves et les tableaux de bord de conformité sans assimiler observation et certification.</w:t>
      </w:r>
    </w:p>
    <w:p>
      <w:pPr>
        <w:pStyle w:val="Heading1"/>
        <w:keepNext/>
      </w:pPr>
      <w:r>
        <w:rPr>
          <w:rFonts w:ascii="Aptos" w:hAnsi="Aptos"/>
          <w:b/>
          <w:color w:val="1F4E79"/>
          <w:sz w:val="32"/>
        </w:rPr>
        <w:t>Références</w:t>
      </w:r>
    </w:p>
    <w:p>
      <w:pPr>
        <w:spacing w:after="160" w:line="307" w:lineRule="auto"/>
        <w:jc w:val="both"/>
      </w:pPr>
      <w:r>
        <w:rPr>
          <w:rFonts w:ascii="Aptos" w:hAnsi="Aptos"/>
          <w:color w:val="17212B"/>
          <w:sz w:val="22"/>
        </w:rPr>
        <w:t>[1] DataWatch, Documentation d’architecture du projet, dépôt source, consultée en août 2026.</w:t>
      </w:r>
    </w:p>
    <w:p>
      <w:pPr>
        <w:spacing w:after="160" w:line="307" w:lineRule="auto"/>
        <w:jc w:val="both"/>
      </w:pPr>
      <w:r>
        <w:rPr>
          <w:rFonts w:ascii="Aptos" w:hAnsi="Aptos"/>
          <w:color w:val="17212B"/>
          <w:sz w:val="22"/>
        </w:rPr>
        <w:t>[2] DataWatch, Release verification baseline — 2026-08-21, dossier docs/evidence du projet.</w:t>
      </w:r>
    </w:p>
    <w:p>
      <w:pPr>
        <w:spacing w:after="160" w:line="307" w:lineRule="auto"/>
        <w:jc w:val="both"/>
      </w:pPr>
      <w:r>
        <w:rPr>
          <w:rFonts w:ascii="Aptos" w:hAnsi="Aptos"/>
          <w:color w:val="17212B"/>
          <w:sz w:val="22"/>
        </w:rPr>
        <w:t>[3] DataWatch, AI governance phase-two evidence — 2026-08-21, dossier docs/evidence du projet.</w:t>
      </w:r>
    </w:p>
    <w:p>
      <w:pPr>
        <w:spacing w:after="160" w:line="307" w:lineRule="auto"/>
        <w:jc w:val="both"/>
      </w:pPr>
      <w:r>
        <w:rPr>
          <w:rFonts w:ascii="Aptos" w:hAnsi="Aptos"/>
          <w:color w:val="17212B"/>
          <w:sz w:val="22"/>
        </w:rPr>
        <w:t>[4] FastAPI, Documentation officielle. https://fastapi.tiangolo.com/</w:t>
      </w:r>
    </w:p>
    <w:p>
      <w:pPr>
        <w:spacing w:after="160" w:line="307" w:lineRule="auto"/>
        <w:jc w:val="both"/>
      </w:pPr>
      <w:r>
        <w:rPr>
          <w:rFonts w:ascii="Aptos" w:hAnsi="Aptos"/>
          <w:color w:val="17212B"/>
          <w:sz w:val="22"/>
        </w:rPr>
        <w:t>[5] PostgreSQL Global Development Group, Documentation PostgreSQL. https://www.postgresql.org/docs/</w:t>
      </w:r>
    </w:p>
    <w:p>
      <w:pPr>
        <w:spacing w:after="160" w:line="307" w:lineRule="auto"/>
        <w:jc w:val="both"/>
      </w:pPr>
      <w:r>
        <w:rPr>
          <w:rFonts w:ascii="Aptos" w:hAnsi="Aptos"/>
          <w:color w:val="17212B"/>
          <w:sz w:val="22"/>
        </w:rPr>
        <w:t>[6] React, Documentation officielle. https://react.dev/</w:t>
      </w:r>
    </w:p>
    <w:p>
      <w:pPr>
        <w:spacing w:after="160" w:line="307" w:lineRule="auto"/>
        <w:jc w:val="both"/>
      </w:pPr>
      <w:r>
        <w:rPr>
          <w:rFonts w:ascii="Aptos" w:hAnsi="Aptos"/>
          <w:color w:val="17212B"/>
          <w:sz w:val="22"/>
        </w:rPr>
        <w:t>[7] Celery Project, Documentation officielle. https://docs.celeryq.dev/</w:t>
      </w:r>
    </w:p>
    <w:p>
      <w:pPr>
        <w:spacing w:after="160" w:line="307" w:lineRule="auto"/>
        <w:jc w:val="both"/>
      </w:pPr>
      <w:r>
        <w:rPr>
          <w:rFonts w:ascii="Aptos" w:hAnsi="Aptos"/>
          <w:color w:val="17212B"/>
          <w:sz w:val="22"/>
        </w:rPr>
        <w:t>[8] Docker, Documentation officielle. https://docs.docker.com/</w:t>
      </w:r>
    </w:p>
    <w:p>
      <w:pPr>
        <w:spacing w:after="160" w:line="307" w:lineRule="auto"/>
        <w:jc w:val="both"/>
      </w:pPr>
      <w:r>
        <w:rPr>
          <w:rFonts w:ascii="Aptos" w:hAnsi="Aptos"/>
          <w:color w:val="17212B"/>
          <w:sz w:val="22"/>
        </w:rPr>
        <w:t>[9] ISO/IEC 25010:2023, Systems and software engineering — Product quality model.</w:t>
      </w:r>
    </w:p>
    <w:p>
      <w:pPr>
        <w:pStyle w:val="Heading1"/>
        <w:keepNext/>
      </w:pPr>
      <w:r>
        <w:rPr>
          <w:rFonts w:ascii="Aptos" w:hAnsi="Aptos"/>
          <w:b/>
          <w:color w:val="1F4E79"/>
          <w:sz w:val="32"/>
        </w:rPr>
        <w:t>Annexes</w:t>
      </w:r>
    </w:p>
    <w:p>
      <w:pPr>
        <w:pStyle w:val="Heading2"/>
        <w:keepNext/>
      </w:pPr>
      <w:r>
        <w:rPr>
          <w:rFonts w:ascii="Aptos" w:hAnsi="Aptos"/>
          <w:b/>
          <w:color w:val="1F4E79"/>
          <w:sz w:val="26"/>
        </w:rPr>
        <w:t>Annexe A — Procédure de démonstration</w:t>
      </w:r>
    </w:p>
    <w:p>
      <w:pPr>
        <w:pStyle w:val="ListBullet"/>
        <w:spacing w:after="60" w:line="283" w:lineRule="auto"/>
      </w:pPr>
      <w:r>
        <w:rPr>
          <w:rFonts w:ascii="Aptos" w:hAnsi="Aptos"/>
          <w:color w:val="17212B"/>
          <w:sz w:val="21"/>
        </w:rPr>
        <w:t>Démarrer la pile Docker et exécuter le seed déterministe.</w:t>
      </w:r>
    </w:p>
    <w:p>
      <w:pPr>
        <w:pStyle w:val="ListBullet"/>
        <w:spacing w:after="60" w:line="283" w:lineRule="auto"/>
      </w:pPr>
      <w:r>
        <w:rPr>
          <w:rFonts w:ascii="Aptos" w:hAnsi="Aptos"/>
          <w:color w:val="17212B"/>
          <w:sz w:val="21"/>
        </w:rPr>
        <w:t>Se connecter à l’espace Acme et ouvrir Opérations.</w:t>
      </w:r>
    </w:p>
    <w:p>
      <w:pPr>
        <w:pStyle w:val="ListBullet"/>
        <w:spacing w:after="60" w:line="283" w:lineRule="auto"/>
      </w:pPr>
      <w:r>
        <w:rPr>
          <w:rFonts w:ascii="Aptos" w:hAnsi="Aptos"/>
          <w:color w:val="17212B"/>
          <w:sz w:val="21"/>
        </w:rPr>
        <w:t>Ouvrir l’incident P1 orders, puis présenter les signaux, la narration et les actions.</w:t>
      </w:r>
    </w:p>
    <w:p>
      <w:pPr>
        <w:pStyle w:val="ListBullet"/>
        <w:spacing w:after="60" w:line="283" w:lineRule="auto"/>
      </w:pPr>
      <w:r>
        <w:rPr>
          <w:rFonts w:ascii="Aptos" w:hAnsi="Aptos"/>
          <w:color w:val="17212B"/>
          <w:sz w:val="21"/>
        </w:rPr>
        <w:t>Afficher le détail de la table et la route d’alerte, puis MailHog.</w:t>
      </w:r>
    </w:p>
    <w:p>
      <w:pPr>
        <w:pStyle w:val="ListBullet"/>
        <w:spacing w:after="60" w:line="283" w:lineRule="auto"/>
      </w:pPr>
      <w:r>
        <w:rPr>
          <w:rFonts w:ascii="Aptos" w:hAnsi="Aptos"/>
          <w:color w:val="17212B"/>
          <w:sz w:val="21"/>
        </w:rPr>
        <w:t>Présenter la gouvernance IA en précisant son périmètre observe-only.</w:t>
      </w:r>
    </w:p>
    <w:p>
      <w:pPr>
        <w:pStyle w:val="Heading2"/>
        <w:keepNext/>
      </w:pPr>
      <w:r>
        <w:rPr>
          <w:rFonts w:ascii="Aptos" w:hAnsi="Aptos"/>
          <w:b/>
          <w:color w:val="1F4E79"/>
          <w:sz w:val="26"/>
        </w:rPr>
        <w:t>Annexe B — Indicateurs à interpréter avec prudence</w:t>
      </w:r>
    </w:p>
    <w:p>
      <w:pPr>
        <w:spacing w:after="160" w:line="307" w:lineRule="auto"/>
        <w:jc w:val="both"/>
      </w:pPr>
      <w:r>
        <w:rPr>
          <w:rFonts w:ascii="Aptos" w:hAnsi="Aptos"/>
          <w:color w:val="17212B"/>
          <w:sz w:val="22"/>
        </w:rPr>
        <w:t>Les p50 et p95 mentionnés dans ce rapport ont été obtenus sur une pile Docker locale avec requêtes séquentielles. Ils servent à comparer des régressions dans un même environnement ; ils ne doivent pas être présentés comme des engagements de production. De même, une narration LLM validée atteste de la conformité du format de sortie dans un essai, mais pas d’une exactitude universelle ni d’une latence garantie.</w:t>
      </w:r>
    </w:p>
    <w:sectPr w:rsidR="00FC693F" w:rsidRPr="0006063C" w:rsidSect="00034616">
      <w:footerReference w:type="default" r:id="rId11"/>
      <w:pgSz w:w="12240" w:h="15840"/>
      <w:pgMar w:top="1247" w:right="1361" w:bottom="1134" w:left="1361" w:header="720" w:footer="720" w:gutter="0"/>
      <w:cols w:space="720"/>
      <w:titlePg/>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after="0"/>
      <w:jc w:val="center"/>
    </w:pPr>
    <w:r>
      <w:rPr>
        <w:rFonts w:ascii="Aptos" w:hAnsi="Aptos"/>
        <w:color w:val="5B6573"/>
        <w:sz w:val="18"/>
      </w:rPr>
      <w:t xml:space="preserve">— </w:t>
    </w:r>
    <w:fldSimple w:instr="PAGE \* ROMAN"/>
    <w:r>
      <w:rPr>
        <w:rFonts w:ascii="Aptos" w:hAnsi="Aptos"/>
        <w:color w:val="5B6573"/>
        <w:sz w:val="1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after="0"/>
      <w:jc w:val="center"/>
    </w:pPr>
    <w:r>
      <w:rPr>
        <w:rFonts w:ascii="Aptos" w:hAnsi="Aptos"/>
        <w:color w:val="5B6573"/>
        <w:sz w:val="18"/>
      </w:rPr>
      <w:t xml:space="preserve">— </w:t>
    </w:r>
    <w:fldSimple w:instr="PAGE \* ROMAN"/>
    <w:r>
      <w:rPr>
        <w:rFonts w:ascii="Aptos" w:hAnsi="Aptos"/>
        <w:color w:val="5B6573"/>
        <w:sz w:val="18"/>
      </w:rPr>
      <w:t xml:space="preserve"> —</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after="0"/>
      <w:jc w:val="center"/>
    </w:pPr>
    <w:r>
      <w:rPr>
        <w:rFonts w:ascii="Aptos" w:hAnsi="Aptos"/>
        <w:color w:val="5B6573"/>
        <w:sz w:val="18"/>
      </w:rPr>
      <w:t xml:space="preserve">— </w:t>
    </w:r>
    <w:fldSimple w:instr="PAGE"/>
    <w:r>
      <w:rPr>
        <w:rFonts w:ascii="Aptos" w:hAnsi="Aptos"/>
        <w:color w:val="5B6573"/>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