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479"/>
        <w:gridCol w:w="4479"/>
      </w:tblGrid>
      <w:tr>
        <w:trPr>
          <w:tblHeader w:val="true"/>
        </w:trPr>
        <w:tc>
          <w:tcPr>
            <w:tcW w:type="dxa" w:w="4479"/>
            <w:tcMar>
              <w:top w:w="40" w:type="dxa"/>
              <w:start w:w="100" w:type="dxa"/>
              <w:bottom w:w="40" w:type="dxa"/>
              <w:end w:w="100" w:type="dxa"/>
            </w:tcMar>
            <w:tcBorders>
              <w:top w:val="nil"/>
              <w:bottom w:val="nil"/>
              <w:start w:val="nil"/>
              <w:end w:val="nil"/>
              <w:insideH w:val="nil"/>
              <w:insideV w:val="nil"/>
            </w:tcBorders>
          </w:tcPr>
          <w:p>
            <w:pPr>
              <w:jc w:val="left"/>
            </w:pPr>
            <w:r>
              <w:drawing>
                <wp:inline xmlns:a="http://schemas.openxmlformats.org/drawingml/2006/main" xmlns:pic="http://schemas.openxmlformats.org/drawingml/2006/picture">
                  <wp:extent cx="1872000" cy="1100571"/>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1872000" cy="1100571"/>
                          </a:xfrm>
                          <a:prstGeom prst="rect"/>
                        </pic:spPr>
                      </pic:pic>
                    </a:graphicData>
                  </a:graphic>
                </wp:inline>
              </w:drawing>
            </w:r>
          </w:p>
        </w:tc>
        <w:tc>
          <w:tcPr>
            <w:tcW w:type="dxa" w:w="4479"/>
            <w:tcMar>
              <w:top w:w="40" w:type="dxa"/>
              <w:start w:w="100" w:type="dxa"/>
              <w:bottom w:w="40" w:type="dxa"/>
              <w:end w:w="100" w:type="dxa"/>
            </w:tcMar>
            <w:tcBorders>
              <w:top w:val="nil"/>
              <w:bottom w:val="nil"/>
              <w:start w:val="nil"/>
              <w:end w:val="nil"/>
              <w:insideH w:val="nil"/>
              <w:insideV w:val="nil"/>
            </w:tcBorders>
          </w:tcPr>
          <w:p>
            <w:pPr>
              <w:jc w:val="right"/>
            </w:pPr>
            <w:r>
              <w:drawing>
                <wp:inline xmlns:a="http://schemas.openxmlformats.org/drawingml/2006/main" xmlns:pic="http://schemas.openxmlformats.org/drawingml/2006/picture">
                  <wp:extent cx="1980000" cy="523462"/>
                  <wp:docPr id="2" name="Picture 2" descr="Logo officiel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1980000" cy="523462"/>
                          </a:xfrm>
                          <a:prstGeom prst="rect"/>
                        </pic:spPr>
                      </pic:pic>
                    </a:graphicData>
                  </a:graphic>
                </wp:inline>
              </w:drawing>
            </w:r>
          </w:p>
        </w:tc>
      </w:tr>
    </w:tbl>
    <w:p>
      <w:pPr>
        <w:spacing w:after="40"/>
        <w:jc w:val="center"/>
      </w:pPr>
      <w:r>
        <w:rPr>
          <w:rFonts w:ascii="Times New Roman" w:hAnsi="Times New Roman"/>
          <w:b/>
          <w:color w:val="202124"/>
          <w:sz w:val="22"/>
        </w:rPr>
        <w:t>ISGA CASABLANCA</w:t>
      </w:r>
    </w:p>
    <w:p>
      <w:pPr>
        <w:spacing w:after="200"/>
        <w:jc w:val="center"/>
      </w:pPr>
      <w:r>
        <w:rPr>
          <w:rFonts w:ascii="Times New Roman" w:hAnsi="Times New Roman"/>
          <w:color w:val="5F6368"/>
          <w:sz w:val="20"/>
        </w:rPr>
        <w:t>3CI Big Data et Intelligence Artificielle</w:t>
      </w:r>
    </w:p>
    <w:p>
      <w:pPr>
        <w:spacing w:before="80" w:after="200"/>
        <w:jc w:val="center"/>
        <w:pBdr>
          <w:bottom w:val="single" w:sz="10" w:space="10" w:color="B1202D"/>
        </w:pBdr>
      </w:pPr>
      <w:r>
        <w:rPr>
          <w:rFonts w:ascii="Times New Roman" w:hAnsi="Times New Roman"/>
          <w:b/>
          <w:color w:val="B1202D"/>
          <w:sz w:val="26"/>
        </w:rPr>
        <w:t>PROJET DE FIN D’ÉTUDES</w:t>
      </w:r>
    </w:p>
    <w:p>
      <w:pPr>
        <w:spacing w:after="40"/>
        <w:jc w:val="center"/>
      </w:pPr>
      <w:r>
        <w:rPr>
          <w:rFonts w:ascii="Times New Roman" w:hAnsi="Times New Roman"/>
          <w:color w:val="202124"/>
          <w:sz w:val="21"/>
        </w:rPr>
        <w:t>Pour l’obtention du diplôme d’Ingénieur d’État</w:t>
      </w:r>
    </w:p>
    <w:p>
      <w:pPr>
        <w:spacing w:after="240"/>
        <w:jc w:val="center"/>
      </w:pPr>
      <w:r>
        <w:rPr>
          <w:rFonts w:ascii="Times New Roman" w:hAnsi="Times New Roman"/>
          <w:b/>
          <w:color w:val="202124"/>
          <w:sz w:val="21"/>
        </w:rPr>
        <w:t>Filière Big Data et Intelligence Artificielle</w:t>
      </w:r>
    </w:p>
    <w:p>
      <w:pPr>
        <w:spacing w:before="120" w:after="120"/>
        <w:jc w:val="center"/>
      </w:pPr>
      <w:r>
        <w:rPr>
          <w:rFonts w:ascii="Times New Roman" w:hAnsi="Times New Roman"/>
          <w:b/>
          <w:color w:val="202124"/>
          <w:sz w:val="48"/>
        </w:rPr>
        <w:t>Conception et réalisation de DataWatch</w:t>
      </w:r>
    </w:p>
    <w:p>
      <w:pPr>
        <w:spacing w:after="40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ENTREPRISE</w:t>
      </w:r>
      <w:r>
        <w:rPr>
          <w:rFonts w:ascii="Times New Roman" w:hAnsi="Times New Roman"/>
          <w:b/>
          <w:color w:val="202124"/>
          <w:sz w:val="21"/>
        </w:rPr>
        <w:tab/>
        <w:t>Oyster HR</w:t>
      </w:r>
    </w:p>
    <w:p>
      <w:pPr>
        <w:spacing w:before="4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mes collègues de l’équipe Payments chez Oyster pour les échanges professionnels qui nourrissent chaque jour ma manière de concevoir des systèmes fiables. Je remercie enfin ma famille et mes proches pour leur soutien, leurs encouragements et leur disponibilité. Leur confiance a compté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_Oyster" w:history="1">
            <w:r>
              <w:rPr>
                <w:rStyle w:val="Hyperlink"/>
                <w:rFonts w:ascii="Times New Roman" w:hAnsi="Times New Roman"/>
                <w:sz w:val="17"/>
                <w:color w:val="202124"/>
              </w:rPr>
              <w:t>1.2.1 Présentation d’Oyster</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Services_et_mod_le_op_rati" w:history="1">
            <w:r>
              <w:rPr>
                <w:rStyle w:val="Hyperlink"/>
                <w:rFonts w:ascii="Times New Roman" w:hAnsi="Times New Roman"/>
                <w:sz w:val="17"/>
                <w:color w:val="202124"/>
              </w:rPr>
              <w:t>1.2.2 Services et modèle opérationnel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3_Organisation_distribu_e" w:history="1">
            <w:r>
              <w:rPr>
                <w:rStyle w:val="Hyperlink"/>
                <w:rFonts w:ascii="Times New Roman" w:hAnsi="Times New Roman"/>
                <w:sz w:val="17"/>
                <w:color w:val="202124"/>
              </w:rPr>
              <w:t>1.2.3 Organisation distribuée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2_4_quipe_Payments_et_fonction" w:history="1">
            <w:r>
              <w:rPr>
                <w:rStyle w:val="Hyperlink"/>
                <w:rFonts w:ascii="Times New Roman" w:hAnsi="Times New Roman"/>
                <w:sz w:val="17"/>
                <w:color w:val="202124"/>
              </w:rPr>
              <w:t>1.2.4 Équipe Payments et fonction occupée</w:t>
            </w:r>
          </w:hyperlink>
          <w:r>
            <w:rPr>
              <w:rFonts w:ascii="Times New Roman" w:hAnsi="Times New Roman"/>
              <w:b w:val="0"/>
              <w:color w:val="202124"/>
              <w:sz w:val="17"/>
            </w:rPr>
            <w:tab/>
            <w:t>4</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7</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8</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9</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10</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11</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12</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12</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13</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14</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16</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19</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22</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25</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25</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30</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30</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31</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31</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32</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42</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45</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49</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52</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53</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56</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56</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57</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57</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58</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59</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60</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60</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60</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61</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62</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Procédure de démonstration</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Indicateurs à interpréter avec prudence</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Guide de captures d’écran pour la soutenance</w:t>
            </w:r>
          </w:hyperlink>
          <w:r>
            <w:rPr>
              <w:rFonts w:ascii="Times New Roman" w:hAnsi="Times New Roman"/>
              <w:b w:val="0"/>
              <w:color w:val="202124"/>
              <w:sz w:val="17"/>
            </w:rPr>
            <w:tab/>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62</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62</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Repères techniques et reproduction</w:t>
            </w:r>
          </w:hyperlink>
          <w:r>
            <w:rPr>
              <w:rFonts w:ascii="Times New Roman" w:hAnsi="Times New Roman"/>
              <w:b w:val="0"/>
              <w:color w:val="202124"/>
              <w:sz w:val="17"/>
            </w:rPr>
            <w:tab/>
            <w:t>63</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Identité visuelle officielle d’Oyster</w:t>
        </w:r>
      </w:hyperlink>
      <w:r>
        <w:rPr>
          <w:rFonts w:ascii="Times New Roman" w:hAnsi="Times New Roman"/>
          <w:color w:val="202124"/>
          <w:sz w:val="20"/>
        </w:rPr>
        <w:tab/>
        <w:t>3</w:t>
      </w:r>
    </w:p>
    <w:p>
      <w:pPr>
        <w:tabs>
          <w:tab w:pos="8617" w:val="right" w:leader="dot"/>
        </w:tabs>
        <w:spacing w:before="0" w:after="100"/>
        <w:ind w:left="283"/>
        <w:jc w:val="left"/>
      </w:pPr>
      <w:hyperlink w:anchor="fig_1_2" w:history="1">
        <w:r>
          <w:rPr>
            <w:rStyle w:val="Hyperlink"/>
            <w:rFonts w:ascii="Times New Roman" w:hAnsi="Times New Roman"/>
            <w:sz w:val="17"/>
            <w:color w:val="202124"/>
          </w:rPr>
          <w:t>Figure 1.2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14</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15</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16</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17</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17</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18</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18</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19</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20</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20</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21</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21</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23</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24</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26</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27</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28</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29</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33</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34</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35</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36</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37</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38</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39</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40</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41</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42</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43</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44</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45</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46</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47</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48</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49</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50</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51</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52</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53</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54</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55</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56</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9</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12</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13</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32</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57</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Repères vérifiables du prototype</w:t>
        </w:r>
      </w:hyperlink>
      <w:r>
        <w:rPr>
          <w:rFonts w:ascii="Times New Roman" w:hAnsi="Times New Roman"/>
          <w:color w:val="202124"/>
          <w:sz w:val="20"/>
        </w:rPr>
        <w:tab/>
        <w:t>63</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3"/>
          <w:footerReference w:type="default" r:id="rId14"/>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Oyster, mon environnement professionnel, puis la problématique et la méthode de conduite retenues pour DataWatch. Le projet répond aux exigences du PFE de la filière 3CI Big Data et Intelligence Artificielle à l’ISGA Casablanca. Il a été mené en parallèle de mon emploi de Software Engineer dans l’équipe Payments d’Oyster.</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_Oyster"/>
      <w:r>
        <w:rPr>
          <w:rFonts w:ascii="Times New Roman" w:hAnsi="Times New Roman"/>
          <w:b/>
          <w:color w:val="202124"/>
          <w:sz w:val="25"/>
        </w:rPr>
        <w:t>1.2.1 Présentation d’Oyster</w:t>
      </w:r>
      <w:bookmarkEnd w:id="116"/>
    </w:p>
    <w:p>
      <w:pPr>
        <w:spacing w:after="140"/>
        <w:jc w:val="both"/>
      </w:pPr>
      <w:r>
        <w:rPr>
          <w:rFonts w:ascii="Times New Roman" w:hAnsi="Times New Roman"/>
          <w:b w:val="0"/>
          <w:i w:val="0"/>
          <w:color w:val="202124"/>
          <w:sz w:val="24"/>
        </w:rPr>
        <w:t>Oyster est une entreprise technologique fondée en 2020. Son organisation est entièrement distribuée, avec plus de 600 collaborateurs répartis dans plus de 60 pays [13]. Sa plateforme accompagne l’emploi international dans plus de 180 pays. Elle réunit les opérations d’Employer of Record, la gestion des contractuels, la paie mondiale, les avantages sociaux et l’accompagnement des mobilités [14].</w:t>
      </w:r>
    </w:p>
    <w:p>
      <w:pPr>
        <w:keepNext/>
        <w:spacing w:after="80"/>
        <w:jc w:val="both"/>
      </w:pPr>
      <w:r>
        <w:rPr>
          <w:rFonts w:ascii="Times New Roman" w:hAnsi="Times New Roman"/>
          <w:b w:val="0"/>
          <w:i w:val="0"/>
          <w:color w:val="202124"/>
          <w:sz w:val="24"/>
        </w:rPr>
        <w:t>La figure 1.1 présente l’identité visuelle officielle d’Oyster, l’entreprise dans laquelle j’exerce mon activité professionnelle.</w:t>
      </w:r>
    </w:p>
    <w:p>
      <w:pPr>
        <w:keepNext/>
        <w:spacing w:before="160" w:after="0"/>
        <w:jc w:val="center"/>
      </w:pPr>
      <w:r>
        <w:drawing>
          <wp:inline xmlns:a="http://schemas.openxmlformats.org/drawingml/2006/main" xmlns:pic="http://schemas.openxmlformats.org/drawingml/2006/picture">
            <wp:extent cx="5688000" cy="1503765"/>
            <wp:docPr id="3" name="Picture 3" descr="Identité visuelle officielle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5688000" cy="1503765"/>
                    </a:xfrm>
                    <a:prstGeom prst="rect"/>
                  </pic:spPr>
                </pic:pic>
              </a:graphicData>
            </a:graphic>
          </wp:inline>
        </w:drawing>
      </w:r>
    </w:p>
    <w:p>
      <w:pPr>
        <w:pStyle w:val="Caption"/>
      </w:pPr>
      <w:bookmarkStart w:id="117" w:name="fig_1_1"/>
      <w:r>
        <w:rPr>
          <w:rFonts w:ascii="Times New Roman" w:hAnsi="Times New Roman"/>
          <w:b/>
          <w:color w:val="B1202D"/>
          <w:sz w:val="18"/>
        </w:rPr>
        <w:t>Figure 1.1</w:t>
      </w:r>
      <w:r>
        <w:rPr>
          <w:rFonts w:ascii="Times New Roman" w:hAnsi="Times New Roman"/>
          <w:color w:val="5F6368"/>
          <w:sz w:val="18"/>
        </w:rPr>
        <w:t xml:space="preserve"> : Identité visuelle officielle d’Oyster</w:t>
      </w:r>
      <w:bookmarkEnd w:id="117"/>
    </w:p>
    <w:p>
      <w:pPr>
        <w:keepLines/>
        <w:spacing w:after="180"/>
        <w:jc w:val="both"/>
      </w:pPr>
      <w:r>
        <w:rPr>
          <w:rFonts w:ascii="Times New Roman" w:hAnsi="Times New Roman"/>
          <w:b w:val="0"/>
          <w:i w:val="0"/>
          <w:color w:val="202124"/>
          <w:sz w:val="24"/>
        </w:rPr>
        <w:t>Ce repère distingue clairement le contexte d’emploi du périmètre technique du PFE. DataWatch reste un projet académique personnel. Il ne constitue ni un produit Oyster, ni une reproduction de ses systèmes internes.</w:t>
      </w:r>
    </w:p>
    <w:p>
      <w:pPr>
        <w:pStyle w:val="Heading3"/>
      </w:pPr>
      <w:bookmarkStart w:id="118" w:name="extra_1_2_2_Services_et_mod_le_op_rati"/>
      <w:r>
        <w:rPr>
          <w:rFonts w:ascii="Times New Roman" w:hAnsi="Times New Roman"/>
          <w:b/>
          <w:color w:val="202124"/>
          <w:sz w:val="25"/>
        </w:rPr>
        <w:t>1.2.2 Services et modèle opérationnel</w:t>
      </w:r>
      <w:bookmarkEnd w:id="118"/>
    </w:p>
    <w:p>
      <w:pPr>
        <w:spacing w:after="140"/>
        <w:jc w:val="both"/>
      </w:pPr>
      <w:r>
        <w:rPr>
          <w:rFonts w:ascii="Times New Roman" w:hAnsi="Times New Roman"/>
          <w:b w:val="0"/>
          <w:i w:val="0"/>
          <w:color w:val="202124"/>
          <w:sz w:val="24"/>
        </w:rPr>
        <w:t>Le produit Oyster relie des fonctions qui doivent rester cohérentes malgré la diversité des pays, des devises et des calendriers. Le parcours couvre l’embauche, les contrats, la collecte des variables de paie, les paiements, les remboursements, les avantages et le suivi administratif. Cette activité impose une forte discipline de traçabilité. Un statut de paiement ambigu, une donnée bancaire incomplète ou un calcul arrivé en retard peut interrompre une chaîne qui traverse plusieurs systèmes.</w:t>
      </w:r>
    </w:p>
    <w:p>
      <w:pPr>
        <w:pStyle w:val="Heading3"/>
      </w:pPr>
      <w:bookmarkStart w:id="119" w:name="extra_1_2_3_Organisation_distribu_e"/>
      <w:r>
        <w:rPr>
          <w:rFonts w:ascii="Times New Roman" w:hAnsi="Times New Roman"/>
          <w:b/>
          <w:color w:val="202124"/>
          <w:sz w:val="25"/>
        </w:rPr>
        <w:t>1.2.3 Organisation distribuée</w:t>
      </w:r>
      <w:bookmarkEnd w:id="119"/>
    </w:p>
    <w:p>
      <w:pPr>
        <w:spacing w:after="140"/>
        <w:jc w:val="both"/>
      </w:pPr>
      <w:r>
        <w:rPr>
          <w:rFonts w:ascii="Times New Roman" w:hAnsi="Times New Roman"/>
          <w:b w:val="0"/>
          <w:i w:val="0"/>
          <w:color w:val="202124"/>
          <w:sz w:val="24"/>
        </w:rPr>
        <w:t>Oyster travaille à distance par conception. Les équipes produit, ingénierie, opérations et support collaborent à travers les fuseaux horaires. Cette organisation rend les interfaces écrites, les journaux techniques et les responsabilités explicites particulièrement utiles. Une anomalie doit pouvoir être comprise sans dépendre de la mémoire d’une seule personne ni d’une réunion immédiate.</w:t>
      </w:r>
    </w:p>
    <w:p>
      <w:pPr>
        <w:pStyle w:val="Heading3"/>
      </w:pPr>
      <w:bookmarkStart w:id="120" w:name="extra_1_2_4_quipe_Payments_et_fonction"/>
      <w:r>
        <w:rPr>
          <w:rFonts w:ascii="Times New Roman" w:hAnsi="Times New Roman"/>
          <w:b/>
          <w:color w:val="202124"/>
          <w:sz w:val="25"/>
        </w:rPr>
        <w:t>1.2.4 Équipe Payments et fonction occupée</w:t>
      </w:r>
      <w:bookmarkEnd w:id="120"/>
    </w:p>
    <w:p>
      <w:pPr>
        <w:spacing w:after="140"/>
        <w:jc w:val="both"/>
      </w:pPr>
      <w:r>
        <w:rPr>
          <w:rFonts w:ascii="Times New Roman" w:hAnsi="Times New Roman"/>
          <w:b w:val="0"/>
          <w:i w:val="0"/>
          <w:color w:val="202124"/>
          <w:sz w:val="24"/>
        </w:rPr>
        <w:t>J’occupe chez Oyster le poste de Software Engineer au sein de l’équipe Payments. Mon travail concerne les fonctionnalités de paiement, leur fiabilité, leur intégration et leur maintenance. Je traite les tâches techniques liées aux flux de paiement, aux statuts, aux erreurs, aux contrôles et aux évolutions attendues par le produit. Il s’agit de mon emploi actuel. Ce PFE n’est pas un stage.</w:t>
      </w:r>
    </w:p>
    <w:p>
      <w:pPr>
        <w:spacing w:after="140"/>
        <w:jc w:val="both"/>
      </w:pPr>
      <w:r>
        <w:rPr>
          <w:rFonts w:ascii="Times New Roman" w:hAnsi="Times New Roman"/>
          <w:b w:val="0"/>
          <w:i w:val="0"/>
          <w:color w:val="202124"/>
          <w:sz w:val="24"/>
        </w:rPr>
        <w:t>Cette expérience a orienté mon regard sur DataWatch. Dans un domaine sensible comme les paiements, un incident utile doit conserver les faits, expliquer son origine et montrer ce qui a changé. DataWatch transpose cette exigence vers la qualité des données. Le projet reste toutefois séparé d’Oyster. Il ne reprend aucun code interne, aucune donnée confidentielle et aucune architecture propriétaire de l’entreprise.</w:t>
      </w:r>
    </w:p>
    <w:p>
      <w:pPr>
        <w:spacing w:after="140"/>
        <w:jc w:val="both"/>
      </w:pPr>
      <w:r>
        <w:rPr>
          <w:rFonts w:ascii="Times New Roman" w:hAnsi="Times New Roman"/>
          <w:b w:val="0"/>
          <w:i w:val="0"/>
          <w:color w:val="202124"/>
          <w:sz w:val="24"/>
        </w:rPr>
        <w:t>Oyster constitue l’entreprise d’accueil au sens professionnel du rapport. DataWatch demeure un projet de fin d’études distinct de mon activité salariée. Cette séparation protège les informations internes de l’entreprise et permet d’évaluer le projet sur ses propres preuves, son code, ses tests et sa démonstration reproductible.</w:t>
      </w:r>
    </w:p>
    <w:p>
      <w:pPr>
        <w:pStyle w:val="Heading2"/>
      </w:pPr>
      <w:bookmarkStart w:id="121" w:name="body_134"/>
      <w:r>
        <w:rPr>
          <w:rFonts w:ascii="Times New Roman" w:hAnsi="Times New Roman"/>
          <w:b/>
          <w:color w:val="202124"/>
          <w:sz w:val="29"/>
        </w:rPr>
        <w:t>1.3 Présentation du projet</w:t>
      </w:r>
      <w:bookmarkEnd w:id="121"/>
    </w:p>
    <w:p>
      <w:pPr>
        <w:pStyle w:val="Heading3"/>
      </w:pPr>
      <w:bookmarkStart w:id="122" w:name="extra_1_3_1_Contexte_m_tier"/>
      <w:r>
        <w:rPr>
          <w:rFonts w:ascii="Times New Roman" w:hAnsi="Times New Roman"/>
          <w:b/>
          <w:color w:val="202124"/>
          <w:sz w:val="25"/>
        </w:rPr>
        <w:t>1.3.1 Contexte métier</w:t>
      </w:r>
      <w:bookmarkEnd w:id="122"/>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3" w:name="extra_1_3_2_P_rim_tre_fonctionnel"/>
      <w:r>
        <w:rPr>
          <w:rFonts w:ascii="Times New Roman" w:hAnsi="Times New Roman"/>
          <w:b/>
          <w:color w:val="202124"/>
          <w:sz w:val="25"/>
        </w:rPr>
        <w:t>1.3.2 Périmètre fonctionnel</w:t>
      </w:r>
      <w:bookmarkEnd w:id="123"/>
    </w:p>
    <w:p>
      <w:pPr>
        <w:spacing w:after="140"/>
        <w:jc w:val="both"/>
      </w:pPr>
      <w:r>
        <w:rPr>
          <w:rFonts w:ascii="Times New Roman" w:hAnsi="Times New Roman"/>
          <w:b w:val="0"/>
          <w:i w:val="0"/>
          <w:color w:val="202124"/>
          <w:sz w:val="24"/>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4" w:name="extra_1_3_3_Utilisateurs_cibles"/>
      <w:r>
        <w:rPr>
          <w:rFonts w:ascii="Times New Roman" w:hAnsi="Times New Roman"/>
          <w:b/>
          <w:color w:val="202124"/>
          <w:sz w:val="25"/>
        </w:rPr>
        <w:t>1.3.3 Utilisateurs cibles</w:t>
      </w:r>
      <w:bookmarkEnd w:id="124"/>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5" w:name="body_135"/>
      <w:r>
        <w:rPr>
          <w:rFonts w:ascii="Times New Roman" w:hAnsi="Times New Roman"/>
          <w:b/>
          <w:color w:val="202124"/>
          <w:sz w:val="25"/>
        </w:rPr>
        <w:t>1.3.4 Problématique</w:t>
      </w:r>
      <w:bookmarkEnd w:id="125"/>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6" w:name="body_137"/>
      <w:r>
        <w:rPr>
          <w:rFonts w:ascii="Times New Roman" w:hAnsi="Times New Roman"/>
          <w:b/>
          <w:color w:val="202124"/>
          <w:sz w:val="25"/>
        </w:rPr>
        <w:t>1.3.5 Solution proposée</w:t>
      </w:r>
      <w:bookmarkEnd w:id="126"/>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7" w:name="body_139"/>
      <w:r>
        <w:rPr>
          <w:rFonts w:ascii="Times New Roman" w:hAnsi="Times New Roman"/>
          <w:b/>
          <w:color w:val="202124"/>
          <w:sz w:val="29"/>
        </w:rPr>
        <w:t>1.4 Méthodologie de travail</w:t>
      </w:r>
      <w:bookmarkEnd w:id="127"/>
    </w:p>
    <w:p>
      <w:pPr>
        <w:pStyle w:val="Heading3"/>
      </w:pPr>
      <w:bookmarkStart w:id="128" w:name="body_140"/>
      <w:r>
        <w:rPr>
          <w:rFonts w:ascii="Times New Roman" w:hAnsi="Times New Roman"/>
          <w:b/>
          <w:color w:val="202124"/>
          <w:sz w:val="25"/>
        </w:rPr>
        <w:t>1.4.1 Méthode Agile</w:t>
      </w:r>
      <w:bookmarkEnd w:id="128"/>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9" w:name="body_143"/>
      <w:r>
        <w:rPr>
          <w:rFonts w:ascii="Times New Roman" w:hAnsi="Times New Roman"/>
          <w:b/>
          <w:color w:val="202124"/>
          <w:sz w:val="25"/>
        </w:rPr>
        <w:t>1.4.2 Organisation en sprints</w:t>
      </w:r>
      <w:bookmarkEnd w:id="129"/>
    </w:p>
    <w:p>
      <w:pPr>
        <w:pStyle w:val="Caption"/>
        <w:keepNext/>
        <w:spacing w:before="160" w:after="100"/>
        <w:jc w:val="left"/>
      </w:pPr>
      <w:bookmarkStart w:id="130" w:name="tab_1_1"/>
      <w:r>
        <w:rPr>
          <w:rFonts w:ascii="Times New Roman" w:hAnsi="Times New Roman"/>
          <w:b/>
          <w:color w:val="B1202D"/>
          <w:sz w:val="19"/>
        </w:rPr>
        <w:t>Tableau 1.1</w:t>
      </w:r>
      <w:r>
        <w:rPr>
          <w:rFonts w:ascii="Times New Roman" w:hAnsi="Times New Roman"/>
          <w:color w:val="5F6368"/>
          <w:sz w:val="19"/>
        </w:rPr>
        <w:t xml:space="preserve"> : Découpage des sprints et critères de sortie</w:t>
      </w:r>
      <w:bookmarkEnd w:id="130"/>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31" w:name="body_145"/>
      <w:r>
        <w:rPr>
          <w:rFonts w:ascii="Times New Roman" w:hAnsi="Times New Roman"/>
          <w:b/>
          <w:color w:val="202124"/>
          <w:sz w:val="25"/>
        </w:rPr>
        <w:t>1.4.3 Diagramme de Gantt et jalons</w:t>
      </w:r>
      <w:bookmarkEnd w:id="131"/>
    </w:p>
    <w:p>
      <w:pPr>
        <w:spacing w:after="140"/>
        <w:jc w:val="both"/>
      </w:pPr>
      <w:r>
        <w:rPr>
          <w:rFonts w:ascii="Times New Roman" w:hAnsi="Times New Roman"/>
          <w:b w:val="0"/>
          <w:i w:val="0"/>
          <w:color w:val="202124"/>
          <w:sz w:val="24"/>
        </w:rPr>
        <w:t>Le calendrier ne simule pas une succession parfaitement linéaire. L’architecture démarre pendant le cadrage. La détection chevauche le profilage.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4"/>
        </w:rPr>
        <w:t>La figure 1.2 replace les travaux dans les trois mois retenus pour le PFE, du 1er juin au 31 août, puis distingue la continuité du produit après cette échéance académique.</w:t>
      </w:r>
    </w:p>
    <w:p>
      <w:pPr>
        <w:keepNext/>
        <w:spacing w:before="160" w:after="0"/>
        <w:jc w:val="center"/>
      </w:pPr>
      <w:r>
        <w:drawing>
          <wp:inline xmlns:a="http://schemas.openxmlformats.org/drawingml/2006/main" xmlns:pic="http://schemas.openxmlformats.org/drawingml/2006/picture">
            <wp:extent cx="5688000" cy="3223691"/>
            <wp:docPr id="4" name="Picture 4"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7"/>
                    <a:stretch>
                      <a:fillRect/>
                    </a:stretch>
                  </pic:blipFill>
                  <pic:spPr>
                    <a:xfrm>
                      <a:off x="0" y="0"/>
                      <a:ext cx="5688000" cy="3223691"/>
                    </a:xfrm>
                    <a:prstGeom prst="rect"/>
                  </pic:spPr>
                </pic:pic>
              </a:graphicData>
            </a:graphic>
          </wp:inline>
        </w:drawing>
      </w:r>
    </w:p>
    <w:p>
      <w:pPr>
        <w:pStyle w:val="Caption"/>
      </w:pPr>
      <w:bookmarkStart w:id="132" w:name="fig_1_2"/>
      <w:r>
        <w:rPr>
          <w:rFonts w:ascii="Times New Roman" w:hAnsi="Times New Roman"/>
          <w:b/>
          <w:color w:val="B1202D"/>
          <w:sz w:val="18"/>
        </w:rPr>
        <w:t>Figure 1.2</w:t>
      </w:r>
      <w:r>
        <w:rPr>
          <w:rFonts w:ascii="Times New Roman" w:hAnsi="Times New Roman"/>
          <w:color w:val="5F6368"/>
          <w:sz w:val="18"/>
        </w:rPr>
        <w:t xml:space="preserve"> : Planification du PFE du 1er juin au 31 août et continuité du produit</w:t>
      </w:r>
      <w:bookmarkEnd w:id="132"/>
    </w:p>
    <w:p>
      <w:pPr>
        <w:keepLines/>
        <w:spacing w:after="180"/>
        <w:jc w:val="both"/>
      </w:pPr>
      <w:r>
        <w:rPr>
          <w:rFonts w:ascii="Times New Roman" w:hAnsi="Times New Roman"/>
          <w:b w:val="0"/>
          <w:i w:val="0"/>
          <w:color w:val="202124"/>
          <w:sz w:val="24"/>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1.2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1.2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3" w:name="body_155"/>
      <w:r>
        <w:rPr>
          <w:rFonts w:ascii="Times New Roman" w:hAnsi="Times New Roman"/>
          <w:b/>
          <w:color w:val="202124"/>
          <w:sz w:val="29"/>
        </w:rPr>
        <w:t>1.5 Conclusion</w:t>
      </w:r>
      <w:bookmarkEnd w:id="133"/>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4" w:name="body_157"/>
      <w:r>
        <w:rPr>
          <w:rFonts w:ascii="Times New Roman" w:hAnsi="Times New Roman"/>
          <w:b/>
          <w:color w:val="202124"/>
          <w:sz w:val="38"/>
        </w:rPr>
        <w:t>CHAPITRE 2 : ÉTAT DE L’ART ET POSITIONNEMENT</w:t>
      </w:r>
      <w:bookmarkEnd w:id="134"/>
    </w:p>
    <w:p>
      <w:pPr>
        <w:pStyle w:val="Heading2"/>
      </w:pPr>
      <w:bookmarkStart w:id="135" w:name="body_158"/>
      <w:r>
        <w:rPr>
          <w:rFonts w:ascii="Times New Roman" w:hAnsi="Times New Roman"/>
          <w:b/>
          <w:color w:val="202124"/>
          <w:sz w:val="29"/>
        </w:rPr>
        <w:t>2.1 Introduction</w:t>
      </w:r>
      <w:bookmarkEnd w:id="135"/>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Leur combinaison doit rester explicable et gouvernable.</w:t>
      </w:r>
    </w:p>
    <w:p>
      <w:pPr>
        <w:pStyle w:val="Heading2"/>
      </w:pPr>
      <w:bookmarkStart w:id="136" w:name="body_160"/>
      <w:r>
        <w:rPr>
          <w:rFonts w:ascii="Times New Roman" w:hAnsi="Times New Roman"/>
          <w:b/>
          <w:color w:val="202124"/>
          <w:sz w:val="29"/>
        </w:rPr>
        <w:t>2.2 Approches existantes</w:t>
      </w:r>
      <w:bookmarkEnd w:id="136"/>
    </w:p>
    <w:p>
      <w:pPr>
        <w:pStyle w:val="Heading3"/>
      </w:pPr>
      <w:bookmarkStart w:id="137" w:name="extra_2_2_1_Contr_les_d_claratifs"/>
      <w:r>
        <w:rPr>
          <w:rFonts w:ascii="Times New Roman" w:hAnsi="Times New Roman"/>
          <w:b/>
          <w:color w:val="202124"/>
          <w:sz w:val="25"/>
        </w:rPr>
        <w:t>2.2.1 Contrôles déclaratifs</w:t>
      </w:r>
      <w:bookmarkEnd w:id="137"/>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8" w:name="extra_2_2_2_D_tection_statistique_et_a"/>
      <w:r>
        <w:rPr>
          <w:rFonts w:ascii="Times New Roman" w:hAnsi="Times New Roman"/>
          <w:b/>
          <w:color w:val="202124"/>
          <w:sz w:val="25"/>
        </w:rPr>
        <w:t>2.2.2 Détection statistique et apprentissage non supervisé</w:t>
      </w:r>
      <w:bookmarkEnd w:id="138"/>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Isolation Forest repère des observations rares dans un espace multivarié. STL sépare tendance, saison et résidu. Ces méthodes réduisent l’effort de configuration, mais nécessitent un historique minimal et peuvent produire des faux positifs lorsque le contexte métier change.</w:t>
      </w:r>
    </w:p>
    <w:p>
      <w:pPr>
        <w:pStyle w:val="Heading3"/>
      </w:pPr>
      <w:bookmarkStart w:id="139" w:name="extra_2_2_3_Observabilit_et_gestion_d_"/>
      <w:r>
        <w:rPr>
          <w:rFonts w:ascii="Times New Roman" w:hAnsi="Times New Roman"/>
          <w:b/>
          <w:color w:val="202124"/>
          <w:sz w:val="25"/>
        </w:rPr>
        <w:t>2.2.3 Observabilité et gestion d’incidents</w:t>
      </w:r>
      <w:bookmarkEnd w:id="139"/>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40"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40"/>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41" w:name="body_163"/>
      <w:r>
        <w:rPr>
          <w:rFonts w:ascii="Times New Roman" w:hAnsi="Times New Roman"/>
          <w:b/>
          <w:color w:val="202124"/>
          <w:sz w:val="29"/>
        </w:rPr>
        <w:t>2.3 Originalité de la solution</w:t>
      </w:r>
      <w:bookmarkEnd w:id="141"/>
    </w:p>
    <w:p>
      <w:pPr>
        <w:spacing w:after="140"/>
        <w:jc w:val="both"/>
      </w:pPr>
      <w:r>
        <w:rPr>
          <w:rFonts w:ascii="Times New Roman" w:hAnsi="Times New Roman"/>
          <w:b w:val="0"/>
          <w:i w:val="0"/>
          <w:color w:val="202124"/>
          <w:sz w:val="24"/>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2" w:name="body_165"/>
      <w:r>
        <w:rPr>
          <w:rFonts w:ascii="Times New Roman" w:hAnsi="Times New Roman"/>
          <w:b/>
          <w:color w:val="202124"/>
          <w:sz w:val="29"/>
        </w:rPr>
        <w:t>2.4 Conclusion</w:t>
      </w:r>
      <w:bookmarkEnd w:id="142"/>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3" w:name="body_167"/>
      <w:r>
        <w:rPr>
          <w:rFonts w:ascii="Times New Roman" w:hAnsi="Times New Roman"/>
          <w:b/>
          <w:color w:val="202124"/>
          <w:sz w:val="38"/>
        </w:rPr>
        <w:t>CHAPITRE 3 : ANALYSE, CONCEPTION ET ARCHITECTURE</w:t>
      </w:r>
      <w:bookmarkEnd w:id="143"/>
    </w:p>
    <w:p>
      <w:pPr>
        <w:pStyle w:val="Heading2"/>
      </w:pPr>
      <w:bookmarkStart w:id="144" w:name="body_168"/>
      <w:r>
        <w:rPr>
          <w:rFonts w:ascii="Times New Roman" w:hAnsi="Times New Roman"/>
          <w:b/>
          <w:color w:val="202124"/>
          <w:sz w:val="29"/>
        </w:rPr>
        <w:t>3.1 Introduction</w:t>
      </w:r>
      <w:bookmarkEnd w:id="144"/>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5" w:name="body_170"/>
      <w:r>
        <w:rPr>
          <w:rFonts w:ascii="Times New Roman" w:hAnsi="Times New Roman"/>
          <w:b/>
          <w:color w:val="202124"/>
          <w:sz w:val="29"/>
        </w:rPr>
        <w:t>3.2 Analyse du projet</w:t>
      </w:r>
      <w:bookmarkEnd w:id="145"/>
    </w:p>
    <w:p>
      <w:pPr>
        <w:pStyle w:val="Heading3"/>
      </w:pPr>
      <w:bookmarkStart w:id="146" w:name="body_171"/>
      <w:r>
        <w:rPr>
          <w:rFonts w:ascii="Times New Roman" w:hAnsi="Times New Roman"/>
          <w:b/>
          <w:color w:val="202124"/>
          <w:sz w:val="25"/>
        </w:rPr>
        <w:t>3.2.1 Objectifs de la solution</w:t>
      </w:r>
      <w:bookmarkEnd w:id="146"/>
    </w:p>
    <w:p>
      <w:pPr>
        <w:spacing w:after="140"/>
        <w:jc w:val="both"/>
      </w:pPr>
      <w:r>
        <w:rPr>
          <w:rFonts w:ascii="Times New Roman" w:hAnsi="Times New Roman"/>
          <w:b w:val="0"/>
          <w:i w:val="0"/>
          <w:color w:val="202124"/>
          <w:sz w:val="24"/>
        </w:rPr>
        <w:t>L’objectif général est décliné en résultats vérifiables : enregistrer une source sans stocker ses secrets en clair. Réduire une table potentiellement volumineuse à un profil agrégé et horodaté. Distribuer les travaux de surveillance sans bloquer l’API. Choisir un détecteur selon l’historique disponible. Expliquer chaque contrôle par une valeur observée, un score et une plage attendue. Conserver un incident unique tant que le défaut persiste. Livrer l’alerte selon sa sévérité. Puis produire une narration structurée qui sépare résumé, causes plausibles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7" w:name="body_173"/>
      <w:r>
        <w:rPr>
          <w:rFonts w:ascii="Times New Roman" w:hAnsi="Times New Roman"/>
          <w:b/>
          <w:color w:val="202124"/>
          <w:sz w:val="25"/>
        </w:rPr>
        <w:t>3.2.2 Besoins fonctionnels</w:t>
      </w:r>
      <w:bookmarkEnd w:id="147"/>
    </w:p>
    <w:p>
      <w:pPr>
        <w:pStyle w:val="Caption"/>
        <w:keepNext/>
        <w:spacing w:before="160" w:after="100"/>
        <w:jc w:val="left"/>
      </w:pPr>
      <w:bookmarkStart w:id="148"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8"/>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Sélectionner les tables à surveiller. Produire des profils périodiques. Appliquer des règles et détecteurs hybrides. Ouvrir, affecter, acquitter puis résoudre les incidents.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9" w:name="body_176"/>
      <w:r>
        <w:rPr>
          <w:rFonts w:ascii="Times New Roman" w:hAnsi="Times New Roman"/>
          <w:b/>
          <w:color w:val="202124"/>
          <w:sz w:val="25"/>
        </w:rPr>
        <w:t>3.2.3 Besoins non fonctionnels</w:t>
      </w:r>
      <w:bookmarkEnd w:id="149"/>
    </w:p>
    <w:p>
      <w:pPr>
        <w:pStyle w:val="Caption"/>
        <w:keepNext/>
        <w:spacing w:before="160" w:after="100"/>
        <w:jc w:val="left"/>
      </w:pPr>
      <w:bookmarkStart w:id="150"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50"/>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51" w:name="body_183"/>
      <w:r>
        <w:rPr>
          <w:rFonts w:ascii="Times New Roman" w:hAnsi="Times New Roman"/>
          <w:b/>
          <w:color w:val="202124"/>
          <w:sz w:val="29"/>
        </w:rPr>
        <w:t>3.3 Conception de la solution</w:t>
      </w:r>
      <w:bookmarkEnd w:id="151"/>
    </w:p>
    <w:p>
      <w:pPr>
        <w:pStyle w:val="Heading3"/>
      </w:pPr>
      <w:bookmarkStart w:id="152" w:name="extra_3_3_1_Acteurs_et_cas_d_utilisati"/>
      <w:r>
        <w:rPr>
          <w:rFonts w:ascii="Times New Roman" w:hAnsi="Times New Roman"/>
          <w:b/>
          <w:color w:val="202124"/>
          <w:sz w:val="25"/>
        </w:rPr>
        <w:t>3.3.1 Acteurs et cas d’utilisation</w:t>
      </w:r>
      <w:bookmarkEnd w:id="152"/>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L’administrateur ajoute les sources, configure les tables, les moniteurs et les alertes.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4"/>
        </w:rPr>
        <w:t>La figure 3.1 condense le périmètre fonctionnel autour de trois acteurs : l’administrateur d’organisation, l’opérateur data et le personnel DataWatch.</w:t>
      </w:r>
    </w:p>
    <w:p>
      <w:pPr>
        <w:keepNext/>
        <w:spacing w:before="160" w:after="0"/>
        <w:jc w:val="center"/>
      </w:pPr>
      <w:r>
        <w:drawing>
          <wp:inline xmlns:a="http://schemas.openxmlformats.org/drawingml/2006/main" xmlns:pic="http://schemas.openxmlformats.org/drawingml/2006/picture">
            <wp:extent cx="5688000" cy="4872491"/>
            <wp:docPr id="5" name="Picture 5"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8"/>
                    <a:stretch>
                      <a:fillRect/>
                    </a:stretch>
                  </pic:blipFill>
                  <pic:spPr>
                    <a:xfrm>
                      <a:off x="0" y="0"/>
                      <a:ext cx="5688000" cy="4872491"/>
                    </a:xfrm>
                    <a:prstGeom prst="rect"/>
                  </pic:spPr>
                </pic:pic>
              </a:graphicData>
            </a:graphic>
          </wp:inline>
        </w:drawing>
      </w:r>
    </w:p>
    <w:p>
      <w:pPr>
        <w:pStyle w:val="Caption"/>
      </w:pPr>
      <w:bookmarkStart w:id="153"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3"/>
    </w:p>
    <w:p>
      <w:pPr>
        <w:keepLines/>
        <w:spacing w:after="180"/>
        <w:jc w:val="both"/>
      </w:pPr>
      <w:r>
        <w:rPr>
          <w:rFonts w:ascii="Times New Roman" w:hAnsi="Times New Roman"/>
          <w:b w:val="0"/>
          <w:i w:val="0"/>
          <w:color w:val="202124"/>
          <w:sz w:val="24"/>
        </w:rPr>
        <w:t>Cette séparation évite de confondre exploitation d’un workspace et administration de la plateforme. Le personnel DataWatch administre le SaaS. Il ne traite pas les incidents à la place du client.</w:t>
      </w:r>
    </w:p>
    <w:p>
      <w:pPr>
        <w:keepNext/>
        <w:spacing w:after="80"/>
        <w:jc w:val="both"/>
      </w:pPr>
      <w:r>
        <w:rPr>
          <w:rFonts w:ascii="Times New Roman" w:hAnsi="Times New Roman"/>
          <w:b w:val="0"/>
          <w:i w:val="0"/>
          <w:color w:val="202124"/>
          <w:sz w:val="24"/>
        </w:rPr>
        <w:t>La figure 3.2 détaille les actions réalisées dans un workspace client, depuis la configuration initiale jusqu’à l’investigation d’un incident.</w:t>
      </w:r>
    </w:p>
    <w:p>
      <w:pPr>
        <w:keepNext/>
        <w:spacing w:before="160" w:after="0"/>
        <w:jc w:val="center"/>
      </w:pPr>
      <w:r>
        <w:drawing>
          <wp:inline xmlns:a="http://schemas.openxmlformats.org/drawingml/2006/main" xmlns:pic="http://schemas.openxmlformats.org/drawingml/2006/picture">
            <wp:extent cx="3941370" cy="5472000"/>
            <wp:docPr id="6" name="Picture 6"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9"/>
                    <a:stretch>
                      <a:fillRect/>
                    </a:stretch>
                  </pic:blipFill>
                  <pic:spPr>
                    <a:xfrm>
                      <a:off x="0" y="0"/>
                      <a:ext cx="3941370" cy="5472000"/>
                    </a:xfrm>
                    <a:prstGeom prst="rect"/>
                  </pic:spPr>
                </pic:pic>
              </a:graphicData>
            </a:graphic>
          </wp:inline>
        </w:drawing>
      </w:r>
    </w:p>
    <w:p>
      <w:pPr>
        <w:pStyle w:val="Caption"/>
      </w:pPr>
      <w:bookmarkStart w:id="154"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4"/>
    </w:p>
    <w:p>
      <w:pPr>
        <w:keepLines/>
        <w:spacing w:after="180"/>
        <w:jc w:val="both"/>
      </w:pPr>
      <w:r>
        <w:rPr>
          <w:rFonts w:ascii="Times New Roman" w:hAnsi="Times New Roman"/>
          <w:b w:val="0"/>
          <w:i w:val="0"/>
          <w:color w:val="202124"/>
          <w:sz w:val="24"/>
        </w:rPr>
        <w:t>Deux responsabilités ressortent. Le propriétaire configure sources, membres et notifications.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4"/>
        </w:rPr>
        <w:t>La figure 3.3 isole les cas d’utilisation réservés à l’administration interne de DataWatch.</w:t>
      </w:r>
    </w:p>
    <w:p>
      <w:pPr>
        <w:keepNext/>
        <w:spacing w:before="160" w:after="0"/>
        <w:jc w:val="center"/>
      </w:pPr>
      <w:r>
        <w:drawing>
          <wp:inline xmlns:a="http://schemas.openxmlformats.org/drawingml/2006/main" xmlns:pic="http://schemas.openxmlformats.org/drawingml/2006/picture">
            <wp:extent cx="5688000" cy="2978764"/>
            <wp:docPr id="7" name="Picture 7"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20"/>
                    <a:stretch>
                      <a:fillRect/>
                    </a:stretch>
                  </pic:blipFill>
                  <pic:spPr>
                    <a:xfrm>
                      <a:off x="0" y="0"/>
                      <a:ext cx="5688000" cy="2978764"/>
                    </a:xfrm>
                    <a:prstGeom prst="rect"/>
                  </pic:spPr>
                </pic:pic>
              </a:graphicData>
            </a:graphic>
          </wp:inline>
        </w:drawing>
      </w:r>
    </w:p>
    <w:p>
      <w:pPr>
        <w:pStyle w:val="Caption"/>
      </w:pPr>
      <w:bookmarkStart w:id="155"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5"/>
    </w:p>
    <w:p>
      <w:pPr>
        <w:keepLines/>
        <w:spacing w:after="180"/>
        <w:jc w:val="both"/>
      </w:pPr>
      <w:r>
        <w:rPr>
          <w:rFonts w:ascii="Times New Roman" w:hAnsi="Times New Roman"/>
          <w:b w:val="0"/>
          <w:i w:val="0"/>
          <w:color w:val="202124"/>
          <w:sz w:val="24"/>
        </w:rPr>
        <w:t>Le compte staff consulte les indicateurs globaux, ouvre une organisation, gère son offre et administre les comptes internes. Ce périmètre possède son propre mécanisme d’authentification et ne réutilise pas une session client.</w:t>
      </w:r>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6" w:name="body_191"/>
      <w:r>
        <w:rPr>
          <w:rFonts w:ascii="Times New Roman" w:hAnsi="Times New Roman"/>
          <w:b/>
          <w:color w:val="202124"/>
          <w:sz w:val="25"/>
        </w:rPr>
        <w:t>3.3.2 Diagramme de séquence</w:t>
      </w:r>
      <w:bookmarkEnd w:id="156"/>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4"/>
        </w:rPr>
        <w:t>La figure 3.4 suit l’inscription d’une source, de la saisie du formulaire jusqu’à l’activation de la surveillance d’une table découverte.</w:t>
      </w:r>
    </w:p>
    <w:p>
      <w:pPr>
        <w:keepNext/>
        <w:spacing w:before="160" w:after="0"/>
        <w:jc w:val="center"/>
      </w:pPr>
      <w:r>
        <w:drawing>
          <wp:inline xmlns:a="http://schemas.openxmlformats.org/drawingml/2006/main" xmlns:pic="http://schemas.openxmlformats.org/drawingml/2006/picture">
            <wp:extent cx="5688000" cy="3156080"/>
            <wp:docPr id="8" name="Picture 8"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1"/>
                    <a:stretch>
                      <a:fillRect/>
                    </a:stretch>
                  </pic:blipFill>
                  <pic:spPr>
                    <a:xfrm>
                      <a:off x="0" y="0"/>
                      <a:ext cx="5688000" cy="3156080"/>
                    </a:xfrm>
                    <a:prstGeom prst="rect"/>
                  </pic:spPr>
                </pic:pic>
              </a:graphicData>
            </a:graphic>
          </wp:inline>
        </w:drawing>
      </w:r>
    </w:p>
    <w:p>
      <w:pPr>
        <w:pStyle w:val="Caption"/>
      </w:pPr>
      <w:bookmarkStart w:id="157"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7"/>
    </w:p>
    <w:p>
      <w:pPr>
        <w:keepLines/>
        <w:spacing w:after="180"/>
        <w:jc w:val="both"/>
      </w:pPr>
      <w:r>
        <w:rPr>
          <w:rFonts w:ascii="Times New Roman" w:hAnsi="Times New Roman"/>
          <w:b w:val="0"/>
          <w:i w:val="0"/>
          <w:color w:val="202124"/>
          <w:sz w:val="24"/>
        </w:rPr>
        <w:t>Le secret est chiffré avec une clé dérivée de l’organisation avant persistance. La connexion est ensuite testée par l’adaptateur concerné. Seules ses capacités déclarées et les tables accessibles sont renvoyées à l’interface.</w:t>
      </w:r>
    </w:p>
    <w:p>
      <w:pPr>
        <w:keepNext/>
        <w:spacing w:after="80"/>
        <w:jc w:val="both"/>
      </w:pPr>
      <w:r>
        <w:rPr>
          <w:rFonts w:ascii="Times New Roman" w:hAnsi="Times New Roman"/>
          <w:b w:val="0"/>
          <w:i w:val="0"/>
          <w:color w:val="202124"/>
          <w:sz w:val="24"/>
        </w:rPr>
        <w:t>La figure 3.5 expose la chaîne asynchrone qui transforme une planification en profil, résultats de contrôle et incident éventuel.</w:t>
      </w:r>
    </w:p>
    <w:p>
      <w:pPr>
        <w:keepNext/>
        <w:spacing w:before="160" w:after="0"/>
        <w:jc w:val="center"/>
      </w:pPr>
      <w:r>
        <w:drawing>
          <wp:inline xmlns:a="http://schemas.openxmlformats.org/drawingml/2006/main" xmlns:pic="http://schemas.openxmlformats.org/drawingml/2006/picture">
            <wp:extent cx="5688000" cy="2461548"/>
            <wp:docPr id="9" name="Picture 9"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2"/>
                    <a:stretch>
                      <a:fillRect/>
                    </a:stretch>
                  </pic:blipFill>
                  <pic:spPr>
                    <a:xfrm>
                      <a:off x="0" y="0"/>
                      <a:ext cx="5688000" cy="2461548"/>
                    </a:xfrm>
                    <a:prstGeom prst="rect"/>
                  </pic:spPr>
                </pic:pic>
              </a:graphicData>
            </a:graphic>
          </wp:inline>
        </w:drawing>
      </w:r>
    </w:p>
    <w:p>
      <w:pPr>
        <w:pStyle w:val="Caption"/>
      </w:pPr>
      <w:bookmarkStart w:id="158"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8"/>
    </w:p>
    <w:p>
      <w:pPr>
        <w:keepLines/>
        <w:spacing w:after="180"/>
        <w:jc w:val="both"/>
      </w:pPr>
      <w:r>
        <w:rPr>
          <w:rFonts w:ascii="Times New Roman" w:hAnsi="Times New Roman"/>
          <w:b w:val="0"/>
          <w:i w:val="0"/>
          <w:color w:val="202124"/>
          <w:sz w:val="24"/>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4"/>
        </w:rPr>
        <w:t>La figure 3.6 décrit l’enquête menée depuis l’ouverture d’un incident critique dans l’interface.</w:t>
      </w:r>
    </w:p>
    <w:p>
      <w:pPr>
        <w:keepNext/>
        <w:spacing w:before="160" w:after="0"/>
        <w:jc w:val="center"/>
      </w:pPr>
      <w:r>
        <w:drawing>
          <wp:inline xmlns:a="http://schemas.openxmlformats.org/drawingml/2006/main" xmlns:pic="http://schemas.openxmlformats.org/drawingml/2006/picture">
            <wp:extent cx="5688000" cy="2703619"/>
            <wp:docPr id="10" name="Picture 10"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3"/>
                    <a:stretch>
                      <a:fillRect/>
                    </a:stretch>
                  </pic:blipFill>
                  <pic:spPr>
                    <a:xfrm>
                      <a:off x="0" y="0"/>
                      <a:ext cx="5688000" cy="2703619"/>
                    </a:xfrm>
                    <a:prstGeom prst="rect"/>
                  </pic:spPr>
                </pic:pic>
              </a:graphicData>
            </a:graphic>
          </wp:inline>
        </w:drawing>
      </w:r>
    </w:p>
    <w:p>
      <w:pPr>
        <w:pStyle w:val="Caption"/>
      </w:pPr>
      <w:bookmarkStart w:id="159"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9"/>
    </w:p>
    <w:p>
      <w:pPr>
        <w:keepLines/>
        <w:spacing w:after="180"/>
        <w:jc w:val="both"/>
      </w:pPr>
      <w:r>
        <w:rPr>
          <w:rFonts w:ascii="Times New Roman" w:hAnsi="Times New Roman"/>
          <w:b w:val="0"/>
          <w:i w:val="0"/>
          <w:color w:val="202124"/>
          <w:sz w:val="24"/>
        </w:rPr>
        <w:t>L’API réunit mesures, signaux, chronologie et narration structurée. L’opérateur peut ensuite affecter l’incident, l’acquitter ou le résoudre.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4"/>
        </w:rPr>
        <w:t>La figure 3.7 montre comment une version déclarée et un manifeste actif sont rapprochés des preuves disponibles avant l’évaluation des contrôles de gouvernance IA.</w:t>
      </w:r>
    </w:p>
    <w:p>
      <w:pPr>
        <w:keepNext/>
        <w:spacing w:before="160" w:after="0"/>
        <w:jc w:val="center"/>
      </w:pPr>
      <w:r>
        <w:drawing>
          <wp:inline xmlns:a="http://schemas.openxmlformats.org/drawingml/2006/main" xmlns:pic="http://schemas.openxmlformats.org/drawingml/2006/picture">
            <wp:extent cx="5688000" cy="2365570"/>
            <wp:docPr id="11" name="Picture 11"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4"/>
                    <a:stretch>
                      <a:fillRect/>
                    </a:stretch>
                  </pic:blipFill>
                  <pic:spPr>
                    <a:xfrm>
                      <a:off x="0" y="0"/>
                      <a:ext cx="5688000" cy="2365570"/>
                    </a:xfrm>
                    <a:prstGeom prst="rect"/>
                  </pic:spPr>
                </pic:pic>
              </a:graphicData>
            </a:graphic>
          </wp:inline>
        </w:drawing>
      </w:r>
    </w:p>
    <w:p>
      <w:pPr>
        <w:pStyle w:val="Caption"/>
      </w:pPr>
      <w:bookmarkStart w:id="160"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60"/>
    </w:p>
    <w:p>
      <w:pPr>
        <w:keepLines/>
        <w:spacing w:after="180"/>
        <w:jc w:val="both"/>
      </w:pPr>
      <w:r>
        <w:rPr>
          <w:rFonts w:ascii="Times New Roman" w:hAnsi="Times New Roman"/>
          <w:b w:val="0"/>
          <w:i w:val="0"/>
          <w:color w:val="202124"/>
          <w:sz w:val="24"/>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4"/>
        </w:rPr>
        <w:t>La figure 3.8 représente les états successifs d’un incident et les décisions accessibles à l’opérateur.</w:t>
      </w:r>
    </w:p>
    <w:p>
      <w:pPr>
        <w:keepNext/>
        <w:spacing w:before="160" w:after="0"/>
        <w:jc w:val="center"/>
      </w:pPr>
      <w:r>
        <w:drawing>
          <wp:inline xmlns:a="http://schemas.openxmlformats.org/drawingml/2006/main" xmlns:pic="http://schemas.openxmlformats.org/drawingml/2006/picture">
            <wp:extent cx="3329499" cy="5472000"/>
            <wp:docPr id="12" name="Picture 12"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5"/>
                    <a:stretch>
                      <a:fillRect/>
                    </a:stretch>
                  </pic:blipFill>
                  <pic:spPr>
                    <a:xfrm>
                      <a:off x="0" y="0"/>
                      <a:ext cx="3329499" cy="5472000"/>
                    </a:xfrm>
                    <a:prstGeom prst="rect"/>
                  </pic:spPr>
                </pic:pic>
              </a:graphicData>
            </a:graphic>
          </wp:inline>
        </w:drawing>
      </w:r>
    </w:p>
    <w:p>
      <w:pPr>
        <w:pStyle w:val="Caption"/>
      </w:pPr>
      <w:bookmarkStart w:id="161"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61"/>
    </w:p>
    <w:p>
      <w:pPr>
        <w:keepLines/>
        <w:spacing w:after="180"/>
        <w:jc w:val="both"/>
      </w:pPr>
      <w:r>
        <w:rPr>
          <w:rFonts w:ascii="Times New Roman" w:hAnsi="Times New Roman"/>
          <w:b w:val="0"/>
          <w:i w:val="0"/>
          <w:color w:val="202124"/>
          <w:sz w:val="24"/>
        </w:rPr>
        <w:t>Un signal peut être regroupé avec un incident déjà ouvert. Après acquittement, l’investigation mène soit à une résolution, soit à la déclaration d’un faux positif. Une nouvelle anomalie peut rouvrir le travail au lieu d’effacer l’historique.</w:t>
      </w:r>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2" w:name="body_194"/>
      <w:r>
        <w:rPr>
          <w:rFonts w:ascii="Times New Roman" w:hAnsi="Times New Roman"/>
          <w:b/>
          <w:color w:val="202124"/>
          <w:sz w:val="25"/>
        </w:rPr>
        <w:t>3.3.3 Diagramme de classes</w:t>
      </w:r>
      <w:bookmarkEnd w:id="162"/>
    </w:p>
    <w:p>
      <w:pPr>
        <w:spacing w:after="140"/>
        <w:jc w:val="both"/>
      </w:pPr>
      <w:r>
        <w:rPr>
          <w:rFonts w:ascii="Times New Roman" w:hAnsi="Times New Roman"/>
          <w:b w:val="0"/>
          <w:i w:val="0"/>
          <w:color w:val="202124"/>
          <w:sz w:val="24"/>
        </w:rPr>
        <w:t>Le modèle de domaine s’organise autour de l’agrégat Organization. DataSource et MonitoredTable décrivent les actifs. TableProfile et CheckResult constituent la preuve de mesure. Incident regroupe les occurrences liées.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4"/>
        </w:rPr>
        <w:t>La figure 3.9 extrait les classes qui portent la surveillance, du connecteur enregistré jusqu’au résultat de contrôle.</w:t>
      </w:r>
    </w:p>
    <w:p>
      <w:pPr>
        <w:keepNext/>
        <w:spacing w:before="160" w:after="0"/>
        <w:jc w:val="center"/>
      </w:pPr>
      <w:r>
        <w:drawing>
          <wp:inline xmlns:a="http://schemas.openxmlformats.org/drawingml/2006/main" xmlns:pic="http://schemas.openxmlformats.org/drawingml/2006/picture">
            <wp:extent cx="5688000" cy="2421959"/>
            <wp:docPr id="13" name="Picture 13"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6"/>
                    <a:stretch>
                      <a:fillRect/>
                    </a:stretch>
                  </pic:blipFill>
                  <pic:spPr>
                    <a:xfrm>
                      <a:off x="0" y="0"/>
                      <a:ext cx="5688000" cy="2421959"/>
                    </a:xfrm>
                    <a:prstGeom prst="rect"/>
                  </pic:spPr>
                </pic:pic>
              </a:graphicData>
            </a:graphic>
          </wp:inline>
        </w:drawing>
      </w:r>
    </w:p>
    <w:p>
      <w:pPr>
        <w:pStyle w:val="Caption"/>
      </w:pPr>
      <w:bookmarkStart w:id="163"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3"/>
    </w:p>
    <w:p>
      <w:pPr>
        <w:keepLines/>
        <w:spacing w:after="180"/>
        <w:jc w:val="both"/>
      </w:pPr>
      <w:r>
        <w:rPr>
          <w:rFonts w:ascii="Times New Roman" w:hAnsi="Times New Roman"/>
          <w:b w:val="0"/>
          <w:i w:val="0"/>
          <w:color w:val="202124"/>
          <w:sz w:val="24"/>
        </w:rPr>
        <w:t>DataSource possède les actifs surveillés.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4"/>
        </w:rPr>
        <w:t>La figure 3.10 regroupe identité, invitations, équipes, préférences de notification, astreintes et clés d’API autour de l’organisation.</w:t>
      </w:r>
    </w:p>
    <w:p>
      <w:pPr>
        <w:keepNext/>
        <w:spacing w:before="160" w:after="0"/>
        <w:jc w:val="center"/>
      </w:pPr>
      <w:r>
        <w:drawing>
          <wp:inline xmlns:a="http://schemas.openxmlformats.org/drawingml/2006/main" xmlns:pic="http://schemas.openxmlformats.org/drawingml/2006/picture">
            <wp:extent cx="5688000" cy="1672498"/>
            <wp:docPr id="14" name="Picture 14"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7"/>
                    <a:stretch>
                      <a:fillRect/>
                    </a:stretch>
                  </pic:blipFill>
                  <pic:spPr>
                    <a:xfrm>
                      <a:off x="0" y="0"/>
                      <a:ext cx="5688000" cy="1672498"/>
                    </a:xfrm>
                    <a:prstGeom prst="rect"/>
                  </pic:spPr>
                </pic:pic>
              </a:graphicData>
            </a:graphic>
          </wp:inline>
        </w:drawing>
      </w:r>
    </w:p>
    <w:p>
      <w:pPr>
        <w:pStyle w:val="Caption"/>
      </w:pPr>
      <w:bookmarkStart w:id="164"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4"/>
    </w:p>
    <w:p>
      <w:pPr>
        <w:keepLines/>
        <w:spacing w:after="180"/>
        <w:jc w:val="both"/>
      </w:pPr>
      <w:r>
        <w:rPr>
          <w:rFonts w:ascii="Times New Roman" w:hAnsi="Times New Roman"/>
          <w:b w:val="0"/>
          <w:i w:val="0"/>
          <w:color w:val="202124"/>
          <w:sz w:val="24"/>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4"/>
        </w:rPr>
        <w:t>La figure 3.11 détaille le modèle des moniteurs typés et la conservation de leurs révisions.</w:t>
      </w:r>
    </w:p>
    <w:p>
      <w:pPr>
        <w:keepNext/>
        <w:spacing w:before="160" w:after="0"/>
        <w:jc w:val="center"/>
      </w:pPr>
      <w:r>
        <w:drawing>
          <wp:inline xmlns:a="http://schemas.openxmlformats.org/drawingml/2006/main" xmlns:pic="http://schemas.openxmlformats.org/drawingml/2006/picture">
            <wp:extent cx="5688000" cy="1972382"/>
            <wp:docPr id="15" name="Picture 15"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8"/>
                    <a:stretch>
                      <a:fillRect/>
                    </a:stretch>
                  </pic:blipFill>
                  <pic:spPr>
                    <a:xfrm>
                      <a:off x="0" y="0"/>
                      <a:ext cx="5688000" cy="1972382"/>
                    </a:xfrm>
                    <a:prstGeom prst="rect"/>
                  </pic:spPr>
                </pic:pic>
              </a:graphicData>
            </a:graphic>
          </wp:inline>
        </w:drawing>
      </w:r>
    </w:p>
    <w:p>
      <w:pPr>
        <w:pStyle w:val="Caption"/>
      </w:pPr>
      <w:bookmarkStart w:id="165"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5"/>
    </w:p>
    <w:p>
      <w:pPr>
        <w:keepLines/>
        <w:spacing w:after="180"/>
        <w:jc w:val="both"/>
      </w:pPr>
      <w:r>
        <w:rPr>
          <w:rFonts w:ascii="Times New Roman" w:hAnsi="Times New Roman"/>
          <w:b w:val="0"/>
          <w:i w:val="0"/>
          <w:color w:val="202124"/>
          <w:sz w:val="24"/>
        </w:rPr>
        <w:t>Monitor porte l’identité stable et pointe vers une révision courante. MonitorRevision, MonitorRun et les états d’évaluation séparent définition, exécution et temporisation des alertes. Une modification ne réécrit donc pas la règle qui a produit un résultat passé.</w:t>
      </w:r>
    </w:p>
    <w:p>
      <w:pPr>
        <w:keepNext/>
        <w:spacing w:after="80"/>
        <w:jc w:val="both"/>
      </w:pPr>
      <w:r>
        <w:rPr>
          <w:rFonts w:ascii="Times New Roman" w:hAnsi="Times New Roman"/>
          <w:b w:val="0"/>
          <w:i w:val="0"/>
          <w:color w:val="202124"/>
          <w:sz w:val="24"/>
        </w:rPr>
        <w:t>La figure 3.12 présente les classes du registre expérimental de gouvernance IA.</w:t>
      </w:r>
    </w:p>
    <w:p>
      <w:pPr>
        <w:keepNext/>
        <w:spacing w:before="160" w:after="0"/>
        <w:jc w:val="center"/>
      </w:pPr>
      <w:r>
        <w:drawing>
          <wp:inline xmlns:a="http://schemas.openxmlformats.org/drawingml/2006/main" xmlns:pic="http://schemas.openxmlformats.org/drawingml/2006/picture">
            <wp:extent cx="5688000" cy="2465159"/>
            <wp:docPr id="16" name="Picture 16"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9"/>
                    <a:stretch>
                      <a:fillRect/>
                    </a:stretch>
                  </pic:blipFill>
                  <pic:spPr>
                    <a:xfrm>
                      <a:off x="0" y="0"/>
                      <a:ext cx="5688000" cy="2465159"/>
                    </a:xfrm>
                    <a:prstGeom prst="rect"/>
                  </pic:spPr>
                </pic:pic>
              </a:graphicData>
            </a:graphic>
          </wp:inline>
        </w:drawing>
      </w:r>
    </w:p>
    <w:p>
      <w:pPr>
        <w:pStyle w:val="Caption"/>
      </w:pPr>
      <w:bookmarkStart w:id="166"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6"/>
    </w:p>
    <w:p>
      <w:pPr>
        <w:keepLines/>
        <w:spacing w:after="180"/>
        <w:jc w:val="both"/>
      </w:pPr>
      <w:r>
        <w:rPr>
          <w:rFonts w:ascii="Times New Roman" w:hAnsi="Times New Roman"/>
          <w:b w:val="0"/>
          <w:i w:val="0"/>
          <w:color w:val="202124"/>
          <w:sz w:val="24"/>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140"/>
        <w:jc w:val="both"/>
      </w:pPr>
      <w:r>
        <w:rPr>
          <w:rFonts w:ascii="Times New Roman" w:hAnsi="Times New Roman"/>
          <w:b w:val="0"/>
          <w:i w:val="0"/>
          <w:color w:val="202124"/>
          <w:sz w:val="24"/>
        </w:rPr>
        <w:t>Le modèle de la figure 3.3 se concentre sur le noyau métier. L’organisation possède ses utilisateurs et ses sources. Chaque source expose des tables surveillées, dont les profils alimentent les contrôles, incidents, moniteurs et alertes. Les révisions de moniteur sont immuables afin de conserver l’historique des définitions.</w:t>
      </w:r>
    </w:p>
    <w:p>
      <w:pPr>
        <w:pStyle w:val="Heading2"/>
      </w:pPr>
      <w:bookmarkStart w:id="167" w:name="body_197"/>
      <w:r>
        <w:rPr>
          <w:rFonts w:ascii="Times New Roman" w:hAnsi="Times New Roman"/>
          <w:b/>
          <w:color w:val="202124"/>
          <w:sz w:val="29"/>
        </w:rPr>
        <w:t>3.4 Architecture proposée</w:t>
      </w:r>
      <w:bookmarkEnd w:id="167"/>
    </w:p>
    <w:p>
      <w:pPr>
        <w:pStyle w:val="Heading3"/>
      </w:pPr>
      <w:bookmarkStart w:id="168" w:name="extra_3_4_1_Vue_logique_en_couches"/>
      <w:r>
        <w:rPr>
          <w:rFonts w:ascii="Times New Roman" w:hAnsi="Times New Roman"/>
          <w:b/>
          <w:color w:val="202124"/>
          <w:sz w:val="25"/>
        </w:rPr>
        <w:t>3.4.1 Vue logique en couches</w:t>
      </w:r>
      <w:bookmarkEnd w:id="168"/>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9" w:name="extra_3_4_2_Ex_cution_asynchrone"/>
      <w:r>
        <w:rPr>
          <w:rFonts w:ascii="Times New Roman" w:hAnsi="Times New Roman"/>
          <w:b/>
          <w:color w:val="202124"/>
          <w:sz w:val="25"/>
        </w:rPr>
        <w:t>3.4.2 Exécution asynchrone</w:t>
      </w:r>
      <w:bookmarkEnd w:id="169"/>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70" w:name="extra_3_4_3_Architecture_des_connecteu"/>
      <w:r>
        <w:rPr>
          <w:rFonts w:ascii="Times New Roman" w:hAnsi="Times New Roman"/>
          <w:b/>
          <w:color w:val="202124"/>
          <w:sz w:val="25"/>
        </w:rPr>
        <w:t>3.4.3 Architecture des connecteurs</w:t>
      </w:r>
      <w:bookmarkEnd w:id="170"/>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DuckDB et SQLite sont positionnés en bêta.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4"/>
        </w:rPr>
        <w:t>La figure 3.13 situe les composants de DataWatch entre interface, API, traitements différés, persistance et services externes.</w:t>
      </w:r>
    </w:p>
    <w:p>
      <w:pPr>
        <w:keepNext/>
        <w:spacing w:before="160" w:after="0"/>
        <w:jc w:val="center"/>
      </w:pPr>
      <w:r>
        <w:drawing>
          <wp:inline xmlns:a="http://schemas.openxmlformats.org/drawingml/2006/main" xmlns:pic="http://schemas.openxmlformats.org/drawingml/2006/picture">
            <wp:extent cx="5098789" cy="5472000"/>
            <wp:docPr id="17" name="Picture 17"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30"/>
                    <a:stretch>
                      <a:fillRect/>
                    </a:stretch>
                  </pic:blipFill>
                  <pic:spPr>
                    <a:xfrm>
                      <a:off x="0" y="0"/>
                      <a:ext cx="5098789" cy="5472000"/>
                    </a:xfrm>
                    <a:prstGeom prst="rect"/>
                  </pic:spPr>
                </pic:pic>
              </a:graphicData>
            </a:graphic>
          </wp:inline>
        </w:drawing>
      </w:r>
    </w:p>
    <w:p>
      <w:pPr>
        <w:pStyle w:val="Caption"/>
      </w:pPr>
      <w:bookmarkStart w:id="171"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71"/>
    </w:p>
    <w:p>
      <w:pPr>
        <w:keepLines/>
        <w:spacing w:after="180"/>
        <w:jc w:val="both"/>
      </w:pPr>
      <w:r>
        <w:rPr>
          <w:rFonts w:ascii="Times New Roman" w:hAnsi="Times New Roman"/>
          <w:b w:val="0"/>
          <w:i w:val="0"/>
          <w:color w:val="202124"/>
          <w:sz w:val="24"/>
        </w:rPr>
        <w:t>L’API FastAPI centralise contrats et autorisations. Celery absorbe les opérations longues.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4"/>
        </w:rPr>
        <w:t>La figure 3.14 traduit cette architecture dans la machine Docker Compose utilisée pour la démonstration.</w:t>
      </w:r>
    </w:p>
    <w:p>
      <w:pPr>
        <w:keepNext/>
        <w:spacing w:before="160" w:after="0"/>
        <w:jc w:val="center"/>
      </w:pPr>
      <w:r>
        <w:drawing>
          <wp:inline xmlns:a="http://schemas.openxmlformats.org/drawingml/2006/main" xmlns:pic="http://schemas.openxmlformats.org/drawingml/2006/picture">
            <wp:extent cx="5688000" cy="3294840"/>
            <wp:docPr id="18" name="Picture 18"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1"/>
                    <a:stretch>
                      <a:fillRect/>
                    </a:stretch>
                  </pic:blipFill>
                  <pic:spPr>
                    <a:xfrm>
                      <a:off x="0" y="0"/>
                      <a:ext cx="5688000" cy="3294840"/>
                    </a:xfrm>
                    <a:prstGeom prst="rect"/>
                  </pic:spPr>
                </pic:pic>
              </a:graphicData>
            </a:graphic>
          </wp:inline>
        </w:drawing>
      </w:r>
    </w:p>
    <w:p>
      <w:pPr>
        <w:pStyle w:val="Caption"/>
      </w:pPr>
      <w:bookmarkStart w:id="172"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2"/>
    </w:p>
    <w:p>
      <w:pPr>
        <w:keepLines/>
        <w:spacing w:after="180"/>
        <w:jc w:val="both"/>
      </w:pPr>
      <w:r>
        <w:rPr>
          <w:rFonts w:ascii="Times New Roman" w:hAnsi="Times New Roman"/>
          <w:b w:val="0"/>
          <w:i w:val="0"/>
          <w:color w:val="202124"/>
          <w:sz w:val="24"/>
        </w:rPr>
        <w:t>Le navigateur atteint le frontend Nginx puis l’API. Le worker partage PostgreSQL et Redis avec l’API, interroge la base métier Acme et remet les courriels à MailHog. Cette topologie prouve le parcours local, pas une haute disponibilité de production.</w:t>
      </w:r>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Une dépendance externe défaillante ne supprime donc jamais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3" w:name="body_205"/>
      <w:r>
        <w:rPr>
          <w:rFonts w:ascii="Times New Roman" w:hAnsi="Times New Roman"/>
          <w:b/>
          <w:color w:val="202124"/>
          <w:sz w:val="29"/>
        </w:rPr>
        <w:t>3.5 Modèle de données et sécurité</w:t>
      </w:r>
      <w:bookmarkEnd w:id="173"/>
    </w:p>
    <w:p>
      <w:pPr>
        <w:pStyle w:val="Heading3"/>
      </w:pPr>
      <w:bookmarkStart w:id="174" w:name="extra_3_5_1_Isolation_multi_tenant"/>
      <w:r>
        <w:rPr>
          <w:rFonts w:ascii="Times New Roman" w:hAnsi="Times New Roman"/>
          <w:b/>
          <w:color w:val="202124"/>
          <w:sz w:val="25"/>
        </w:rPr>
        <w:t>3.5.1 Isolation multi-tenant</w:t>
      </w:r>
      <w:bookmarkEnd w:id="174"/>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5" w:name="extra_3_5_2_Protection_des_secrets"/>
      <w:r>
        <w:rPr>
          <w:rFonts w:ascii="Times New Roman" w:hAnsi="Times New Roman"/>
          <w:b/>
          <w:color w:val="202124"/>
          <w:sz w:val="25"/>
        </w:rPr>
        <w:t>3.5.2 Protection des secrets</w:t>
      </w:r>
      <w:bookmarkEnd w:id="175"/>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6" w:name="extra_3_5_3_Int_grit_et_conservation"/>
      <w:r>
        <w:rPr>
          <w:rFonts w:ascii="Times New Roman" w:hAnsi="Times New Roman"/>
          <w:b/>
          <w:color w:val="202124"/>
          <w:sz w:val="25"/>
        </w:rPr>
        <w:t>3.5.3 Intégrité et conservation</w:t>
      </w:r>
      <w:bookmarkEnd w:id="176"/>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7" w:name="extra_3_5_4_Structure_relationnelle_co"/>
      <w:r>
        <w:rPr>
          <w:rFonts w:ascii="Times New Roman" w:hAnsi="Times New Roman"/>
          <w:b/>
          <w:color w:val="202124"/>
          <w:sz w:val="25"/>
        </w:rPr>
        <w:t>3.5.4 Structure relationnelle complète</w:t>
      </w:r>
      <w:bookmarkEnd w:id="177"/>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colonnes, types, nullabilité, clés et effectifs seedés, est reporté en annexe afin de garder ce chapitre respirable.</w:t>
      </w:r>
    </w:p>
    <w:p>
      <w:pPr>
        <w:keepNext/>
        <w:spacing w:after="80"/>
        <w:jc w:val="both"/>
      </w:pPr>
      <w:r>
        <w:rPr>
          <w:rFonts w:ascii="Times New Roman" w:hAnsi="Times New Roman"/>
          <w:b w:val="0"/>
          <w:i w:val="0"/>
          <w:color w:val="202124"/>
          <w:sz w:val="24"/>
        </w:rPr>
        <w:t>La figure 3.15 offre une carte compacte des 29 tables applicatives avant leur décomposition en vues lisibles.</w:t>
      </w:r>
    </w:p>
    <w:p>
      <w:pPr>
        <w:keepNext/>
        <w:spacing w:before="160" w:after="0"/>
        <w:jc w:val="center"/>
      </w:pPr>
      <w:r>
        <w:drawing>
          <wp:inline xmlns:a="http://schemas.openxmlformats.org/drawingml/2006/main" xmlns:pic="http://schemas.openxmlformats.org/drawingml/2006/picture">
            <wp:extent cx="5688000" cy="2390732"/>
            <wp:docPr id="19" name="Picture 19"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2"/>
                    <a:stretch>
                      <a:fillRect/>
                    </a:stretch>
                  </pic:blipFill>
                  <pic:spPr>
                    <a:xfrm>
                      <a:off x="0" y="0"/>
                      <a:ext cx="5688000" cy="2390732"/>
                    </a:xfrm>
                    <a:prstGeom prst="rect"/>
                  </pic:spPr>
                </pic:pic>
              </a:graphicData>
            </a:graphic>
          </wp:inline>
        </w:drawing>
      </w:r>
    </w:p>
    <w:p>
      <w:pPr>
        <w:pStyle w:val="Caption"/>
      </w:pPr>
      <w:bookmarkStart w:id="178"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8"/>
    </w:p>
    <w:p>
      <w:pPr>
        <w:keepLines/>
        <w:spacing w:after="180"/>
        <w:jc w:val="both"/>
      </w:pPr>
      <w:r>
        <w:rPr>
          <w:rFonts w:ascii="Times New Roman" w:hAnsi="Times New Roman"/>
          <w:b w:val="0"/>
          <w:i w:val="0"/>
          <w:color w:val="202124"/>
          <w:sz w:val="24"/>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4"/>
        </w:rPr>
        <w:t>La figure 3.16 agrandit le modèle relationnel utilisé par le parcours principal de qualité des données.</w:t>
      </w:r>
    </w:p>
    <w:p>
      <w:pPr>
        <w:keepNext/>
        <w:spacing w:before="160" w:after="0"/>
        <w:jc w:val="center"/>
      </w:pPr>
      <w:r>
        <w:drawing>
          <wp:inline xmlns:a="http://schemas.openxmlformats.org/drawingml/2006/main" xmlns:pic="http://schemas.openxmlformats.org/drawingml/2006/picture">
            <wp:extent cx="5411344" cy="5472000"/>
            <wp:docPr id="20" name="Picture 20"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3"/>
                    <a:stretch>
                      <a:fillRect/>
                    </a:stretch>
                  </pic:blipFill>
                  <pic:spPr>
                    <a:xfrm>
                      <a:off x="0" y="0"/>
                      <a:ext cx="5411344" cy="5472000"/>
                    </a:xfrm>
                    <a:prstGeom prst="rect"/>
                  </pic:spPr>
                </pic:pic>
              </a:graphicData>
            </a:graphic>
          </wp:inline>
        </w:drawing>
      </w:r>
    </w:p>
    <w:p>
      <w:pPr>
        <w:pStyle w:val="Caption"/>
      </w:pPr>
      <w:bookmarkStart w:id="179"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9"/>
    </w:p>
    <w:p>
      <w:pPr>
        <w:keepLines/>
        <w:spacing w:after="180"/>
        <w:jc w:val="both"/>
      </w:pPr>
      <w:r>
        <w:rPr>
          <w:rFonts w:ascii="Times New Roman" w:hAnsi="Times New Roman"/>
          <w:b w:val="0"/>
          <w:i w:val="0"/>
          <w:color w:val="202124"/>
          <w:sz w:val="24"/>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4"/>
        </w:rPr>
        <w:t>La figure 3.17 isole les tables d’identité, d’invitation, d’équipe et d’astreinte.</w:t>
      </w:r>
    </w:p>
    <w:p>
      <w:pPr>
        <w:keepNext/>
        <w:spacing w:before="160" w:after="0"/>
        <w:jc w:val="center"/>
      </w:pPr>
      <w:r>
        <w:drawing>
          <wp:inline xmlns:a="http://schemas.openxmlformats.org/drawingml/2006/main" xmlns:pic="http://schemas.openxmlformats.org/drawingml/2006/picture">
            <wp:extent cx="5688000" cy="4002778"/>
            <wp:docPr id="21" name="Picture 21"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4"/>
                    <a:stretch>
                      <a:fillRect/>
                    </a:stretch>
                  </pic:blipFill>
                  <pic:spPr>
                    <a:xfrm>
                      <a:off x="0" y="0"/>
                      <a:ext cx="5688000" cy="4002778"/>
                    </a:xfrm>
                    <a:prstGeom prst="rect"/>
                  </pic:spPr>
                </pic:pic>
              </a:graphicData>
            </a:graphic>
          </wp:inline>
        </w:drawing>
      </w:r>
    </w:p>
    <w:p>
      <w:pPr>
        <w:pStyle w:val="Caption"/>
      </w:pPr>
      <w:bookmarkStart w:id="180"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80"/>
    </w:p>
    <w:p>
      <w:pPr>
        <w:keepLines/>
        <w:spacing w:after="180"/>
        <w:jc w:val="both"/>
      </w:pPr>
      <w:r>
        <w:rPr>
          <w:rFonts w:ascii="Times New Roman" w:hAnsi="Times New Roman"/>
          <w:b w:val="0"/>
          <w:i w:val="0"/>
          <w:color w:val="202124"/>
          <w:sz w:val="24"/>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4"/>
        </w:rPr>
        <w:t>La figure 3.18 développe la partie relationnelle consacrée au prototype de gouvernance IA.</w:t>
      </w:r>
    </w:p>
    <w:p>
      <w:pPr>
        <w:keepNext/>
        <w:spacing w:before="160" w:after="0"/>
        <w:jc w:val="center"/>
      </w:pPr>
      <w:r>
        <w:drawing>
          <wp:inline xmlns:a="http://schemas.openxmlformats.org/drawingml/2006/main" xmlns:pic="http://schemas.openxmlformats.org/drawingml/2006/picture">
            <wp:extent cx="3873828" cy="5472000"/>
            <wp:docPr id="22" name="Picture 22"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5"/>
                    <a:stretch>
                      <a:fillRect/>
                    </a:stretch>
                  </pic:blipFill>
                  <pic:spPr>
                    <a:xfrm>
                      <a:off x="0" y="0"/>
                      <a:ext cx="3873828" cy="5472000"/>
                    </a:xfrm>
                    <a:prstGeom prst="rect"/>
                  </pic:spPr>
                </pic:pic>
              </a:graphicData>
            </a:graphic>
          </wp:inline>
        </w:drawing>
      </w:r>
    </w:p>
    <w:p>
      <w:pPr>
        <w:pStyle w:val="Caption"/>
      </w:pPr>
      <w:bookmarkStart w:id="181"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81"/>
    </w:p>
    <w:p>
      <w:pPr>
        <w:keepLines/>
        <w:spacing w:after="180"/>
        <w:jc w:val="both"/>
      </w:pPr>
      <w:r>
        <w:rPr>
          <w:rFonts w:ascii="Times New Roman" w:hAnsi="Times New Roman"/>
          <w:b w:val="0"/>
          <w:i w:val="0"/>
          <w:color w:val="202124"/>
          <w:sz w:val="24"/>
        </w:rPr>
        <w:t>Les révisions et manifestes sont conservés comme instantanés, puis reliés aux déploiements, preuves et évaluations. Cette structure prépare la traçabilité et le rejeu. Elle ne démontre ni l’équité du modèle ni son usage juridique conforme.</w:t>
      </w:r>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2" w:name="body_207"/>
      <w:r>
        <w:rPr>
          <w:rFonts w:ascii="Times New Roman" w:hAnsi="Times New Roman"/>
          <w:b/>
          <w:color w:val="202124"/>
          <w:sz w:val="29"/>
        </w:rPr>
        <w:t>3.6 Gouvernance de la couche IA</w:t>
      </w:r>
      <w:bookmarkEnd w:id="182"/>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3" w:name="body_209"/>
      <w:r>
        <w:rPr>
          <w:rFonts w:ascii="Times New Roman" w:hAnsi="Times New Roman"/>
          <w:b/>
          <w:color w:val="202124"/>
          <w:sz w:val="29"/>
        </w:rPr>
        <w:t>3.7 Conclusion</w:t>
      </w:r>
      <w:bookmarkEnd w:id="183"/>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4" w:name="body_211"/>
      <w:r>
        <w:rPr>
          <w:rFonts w:ascii="Times New Roman" w:hAnsi="Times New Roman"/>
          <w:b/>
          <w:color w:val="202124"/>
          <w:sz w:val="38"/>
        </w:rPr>
        <w:t>CHAPITRE 4 : IMPLÉMENTATION TECHNIQUE ET TESTS</w:t>
      </w:r>
      <w:bookmarkEnd w:id="184"/>
    </w:p>
    <w:p>
      <w:pPr>
        <w:pStyle w:val="Heading2"/>
      </w:pPr>
      <w:bookmarkStart w:id="185" w:name="body_212"/>
      <w:r>
        <w:rPr>
          <w:rFonts w:ascii="Times New Roman" w:hAnsi="Times New Roman"/>
          <w:b/>
          <w:color w:val="202124"/>
          <w:sz w:val="29"/>
        </w:rPr>
        <w:t>4.1 Introduction</w:t>
      </w:r>
      <w:bookmarkEnd w:id="185"/>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6" w:name="body_214"/>
      <w:r>
        <w:rPr>
          <w:rFonts w:ascii="Times New Roman" w:hAnsi="Times New Roman"/>
          <w:b/>
          <w:color w:val="202124"/>
          <w:sz w:val="29"/>
        </w:rPr>
        <w:t>4.2 Workflow proposé</w:t>
      </w:r>
      <w:bookmarkEnd w:id="186"/>
    </w:p>
    <w:p>
      <w:pPr>
        <w:pStyle w:val="Heading3"/>
      </w:pPr>
      <w:bookmarkStart w:id="187" w:name="extra_4_2_1_Enregistrement_et_planific"/>
      <w:r>
        <w:rPr>
          <w:rFonts w:ascii="Times New Roman" w:hAnsi="Times New Roman"/>
          <w:b/>
          <w:color w:val="202124"/>
          <w:sz w:val="25"/>
        </w:rPr>
        <w:t>4.2.1 Enregistrement et planification</w:t>
      </w:r>
      <w:bookmarkEnd w:id="187"/>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Les recommandations considérées risquées ou reposant sur du SQL personnalisé sont laissées en attente de revue.</w:t>
      </w:r>
    </w:p>
    <w:p>
      <w:pPr>
        <w:pStyle w:val="Heading3"/>
      </w:pPr>
      <w:bookmarkStart w:id="188" w:name="extra_4_2_2_Profilage_et_d_tection"/>
      <w:r>
        <w:rPr>
          <w:rFonts w:ascii="Times New Roman" w:hAnsi="Times New Roman"/>
          <w:b/>
          <w:color w:val="202124"/>
          <w:sz w:val="25"/>
        </w:rPr>
        <w:t>4.2.2 Profilage et détection</w:t>
      </w:r>
      <w:bookmarkEnd w:id="188"/>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Les méthodes historiques s’activent seulement lorsque le nombre de profils est suffisant. Le score et la plage attendue sont persistés afin que l’interface puisse expliquer pourquoi un contrôle a échoué.</w:t>
      </w:r>
    </w:p>
    <w:p>
      <w:pPr>
        <w:pStyle w:val="Heading3"/>
      </w:pPr>
      <w:bookmarkStart w:id="189" w:name="extra_4_2_3_Incident_narration_et_aler"/>
      <w:r>
        <w:rPr>
          <w:rFonts w:ascii="Times New Roman" w:hAnsi="Times New Roman"/>
          <w:b/>
          <w:color w:val="202124"/>
          <w:sz w:val="25"/>
        </w:rPr>
        <w:t>4.2.3 Incident, narration et alerte</w:t>
      </w:r>
      <w:bookmarkEnd w:id="189"/>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Les dérives de schéma et cumuls d’échecs produisent généralement P2.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90" w:name="body_216"/>
      <w:r>
        <w:rPr>
          <w:rFonts w:ascii="Times New Roman" w:hAnsi="Times New Roman"/>
          <w:b/>
          <w:color w:val="202124"/>
          <w:sz w:val="29"/>
        </w:rPr>
        <w:t>4.3 Technologies utilisées</w:t>
      </w:r>
      <w:bookmarkEnd w:id="190"/>
    </w:p>
    <w:p>
      <w:pPr>
        <w:pStyle w:val="Caption"/>
        <w:keepNext/>
        <w:spacing w:before="160" w:after="100"/>
        <w:jc w:val="left"/>
      </w:pPr>
      <w:bookmarkStart w:id="191"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91"/>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Aucune technologie n’est ici décorative. PostgreSQL conserve l’historique et les contraintes. Redis et Celery encaissent la cadence variable des profils. Les connecteurs absorbent la diversité des dialectes. Scikit-learn et statsmodels portent les détecteurs non supervisés et temporels. L’API compatible OpenAI transforme enfin les faits déjà calculés en explication structurée. L’architecture Big Data et IA vient de cet enchaînement, pas de l’ajout nominal d’un outil isolé.</w:t>
      </w:r>
    </w:p>
    <w:p>
      <w:pPr>
        <w:spacing w:after="140"/>
        <w:jc w:val="both"/>
      </w:pPr>
      <w:r>
        <w:rPr>
          <w:rFonts w:ascii="Times New Roman" w:hAnsi="Times New Roman"/>
          <w:b w:val="0"/>
          <w:i w:val="0"/>
          <w:color w:val="202124"/>
          <w:sz w:val="24"/>
        </w:rPr>
        <w:t>Le choix des technologies suit les points de pression réels du produit : FastAPI expose des contrats asynchrones. PostgreSQL verrouille transactions, historique et isolation. Redis et Celery découplent la cadence de collecte du temps de réponse utilisateur. Les bibliothèques statistiques exécutent les détecteurs. React rend l’enquête lisible. Docker Compose fige la démonstration. L’ensemble peut évoluer composant par composant sans casser la chaîne de preuve de bout en bout.</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2" w:name="body_219"/>
      <w:r>
        <w:rPr>
          <w:rFonts w:ascii="Times New Roman" w:hAnsi="Times New Roman"/>
          <w:b/>
          <w:color w:val="202124"/>
          <w:sz w:val="29"/>
        </w:rPr>
        <w:t>4.4 Présentation des interfaces</w:t>
      </w:r>
      <w:bookmarkEnd w:id="192"/>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3" w:name="body_221"/>
      <w:r>
        <w:rPr>
          <w:rFonts w:ascii="Times New Roman" w:hAnsi="Times New Roman"/>
          <w:b/>
          <w:color w:val="202124"/>
          <w:sz w:val="25"/>
        </w:rPr>
        <w:t>4.4.1 Vue Opérations</w:t>
      </w:r>
      <w:bookmarkEnd w:id="193"/>
    </w:p>
    <w:p>
      <w:pPr>
        <w:spacing w:after="140"/>
        <w:jc w:val="both"/>
      </w:pPr>
      <w:r>
        <w:rPr>
          <w:rFonts w:ascii="Times New Roman" w:hAnsi="Times New Roman"/>
          <w:b w:val="0"/>
          <w:i w:val="0"/>
          <w:color w:val="202124"/>
          <w:sz w:val="24"/>
        </w:rPr>
        <w:t>Le parcours commence avant le tableau de bord. Le sous-domaine dans l’URL fixe le workspace.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4"/>
        </w:rPr>
        <w:t>La figure 4.1 ouvre le parcours réel par l’écran de connexion du workspace Acme Corp.</w:t>
      </w:r>
    </w:p>
    <w:p>
      <w:pPr>
        <w:keepNext/>
        <w:spacing w:before="160" w:after="0"/>
        <w:jc w:val="center"/>
      </w:pPr>
      <w:r>
        <w:drawing>
          <wp:inline xmlns:a="http://schemas.openxmlformats.org/drawingml/2006/main" xmlns:pic="http://schemas.openxmlformats.org/drawingml/2006/picture">
            <wp:extent cx="5688000" cy="3555000"/>
            <wp:docPr id="23" name="Picture 23"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4"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4"/>
    </w:p>
    <w:p>
      <w:pPr>
        <w:keepLines/>
        <w:spacing w:after="180"/>
        <w:jc w:val="both"/>
      </w:pPr>
      <w:r>
        <w:rPr>
          <w:rFonts w:ascii="Times New Roman" w:hAnsi="Times New Roman"/>
          <w:b w:val="0"/>
          <w:i w:val="0"/>
          <w:color w:val="202124"/>
          <w:sz w:val="24"/>
        </w:rPr>
        <w:t>Le champ Workspace matérialise l’isolation multi-tenant avant même l’authentification. L’utilisateur choisit ensuite connexion ou inscription. Aucune vue opérationnelle n’est accessible sans contexte d’organisation explicite.</w:t>
      </w:r>
    </w:p>
    <w:p>
      <w:pPr>
        <w:keepNext/>
        <w:spacing w:after="80"/>
        <w:jc w:val="both"/>
      </w:pPr>
      <w:r>
        <w:rPr>
          <w:rFonts w:ascii="Times New Roman" w:hAnsi="Times New Roman"/>
          <w:b w:val="0"/>
          <w:i w:val="0"/>
          <w:color w:val="202124"/>
          <w:sz w:val="24"/>
        </w:rPr>
        <w:t>La figure 4.2 présente la première vue obtenue après authentification sur le jeu de démonstration Acme.</w:t>
      </w:r>
    </w:p>
    <w:p>
      <w:pPr>
        <w:keepNext/>
        <w:spacing w:before="160" w:after="0"/>
        <w:jc w:val="center"/>
      </w:pPr>
      <w:r>
        <w:drawing>
          <wp:inline xmlns:a="http://schemas.openxmlformats.org/drawingml/2006/main" xmlns:pic="http://schemas.openxmlformats.org/drawingml/2006/picture">
            <wp:extent cx="5688000" cy="3555000"/>
            <wp:docPr id="24" name="Picture 24"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5"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5"/>
    </w:p>
    <w:p>
      <w:pPr>
        <w:keepLines/>
        <w:spacing w:after="180"/>
        <w:jc w:val="both"/>
      </w:pPr>
      <w:r>
        <w:rPr>
          <w:rFonts w:ascii="Times New Roman" w:hAnsi="Times New Roman"/>
          <w:b w:val="0"/>
          <w:i w:val="0"/>
          <w:color w:val="202124"/>
          <w:sz w:val="24"/>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4"/>
        </w:rPr>
        <w:t>La figure 4.3 inventorie les quatre tables surveillées de la source Acme Shop DB.</w:t>
      </w:r>
    </w:p>
    <w:p>
      <w:pPr>
        <w:keepNext/>
        <w:spacing w:before="160" w:after="0"/>
        <w:jc w:val="center"/>
      </w:pPr>
      <w:r>
        <w:drawing>
          <wp:inline xmlns:a="http://schemas.openxmlformats.org/drawingml/2006/main" xmlns:pic="http://schemas.openxmlformats.org/drawingml/2006/picture">
            <wp:extent cx="5688000" cy="3555000"/>
            <wp:docPr id="25" name="Picture 25"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6"/>
    </w:p>
    <w:p>
      <w:pPr>
        <w:keepLines/>
        <w:spacing w:after="180"/>
        <w:jc w:val="both"/>
      </w:pPr>
      <w:r>
        <w:rPr>
          <w:rFonts w:ascii="Times New Roman" w:hAnsi="Times New Roman"/>
          <w:b w:val="0"/>
          <w:i w:val="0"/>
          <w:color w:val="202124"/>
          <w:sz w:val="24"/>
        </w:rPr>
        <w:t>Chaque ligne expose volumétrie, dernière exécution, état et action manuelle. Les quatre badges Incident correspondent à l’état volontairement dégradé du seed. Ils donnent une matière stable à la démonstration et ne décrivent pas une exploitation réelle.</w:t>
      </w:r>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7" w:name="body_225"/>
      <w:r>
        <w:rPr>
          <w:rFonts w:ascii="Times New Roman" w:hAnsi="Times New Roman"/>
          <w:b/>
          <w:color w:val="202124"/>
          <w:sz w:val="25"/>
        </w:rPr>
        <w:t>4.4.2 Détail de l’incident P1</w:t>
      </w:r>
      <w:bookmarkEnd w:id="197"/>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affecter, acquitter, résoudre ou documenter un faux positif.</w:t>
      </w:r>
    </w:p>
    <w:p>
      <w:pPr>
        <w:keepNext/>
        <w:spacing w:after="80"/>
        <w:jc w:val="both"/>
      </w:pPr>
      <w:r>
        <w:rPr>
          <w:rFonts w:ascii="Times New Roman" w:hAnsi="Times New Roman"/>
          <w:b w:val="0"/>
          <w:i w:val="0"/>
          <w:color w:val="202124"/>
          <w:sz w:val="24"/>
        </w:rPr>
        <w:t>La figure 4.4 recentre l’investigation sur la liste filtrable des incidents.</w:t>
      </w:r>
    </w:p>
    <w:p>
      <w:pPr>
        <w:keepNext/>
        <w:spacing w:before="160" w:after="0"/>
        <w:jc w:val="center"/>
      </w:pPr>
      <w:r>
        <w:drawing>
          <wp:inline xmlns:a="http://schemas.openxmlformats.org/drawingml/2006/main" xmlns:pic="http://schemas.openxmlformats.org/drawingml/2006/picture">
            <wp:extent cx="5688000" cy="3555000"/>
            <wp:docPr id="26" name="Picture 26"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8"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8"/>
    </w:p>
    <w:p>
      <w:pPr>
        <w:keepLines/>
        <w:spacing w:after="180"/>
        <w:jc w:val="both"/>
      </w:pPr>
      <w:r>
        <w:rPr>
          <w:rFonts w:ascii="Times New Roman" w:hAnsi="Times New Roman"/>
          <w:b w:val="0"/>
          <w:i w:val="0"/>
          <w:color w:val="202124"/>
          <w:sz w:val="24"/>
        </w:rPr>
        <w:t>Les onglets séparent ouverts, en cours d’analyse, résolus et ignorés.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4"/>
        </w:rPr>
        <w:t>La figure 4.5 ouvre l’incident P1 de public.orders, déclenché par une hausse du taux de valeurs nulles de payment_status et une rupture de fraîcheur.</w:t>
      </w:r>
    </w:p>
    <w:p>
      <w:pPr>
        <w:keepNext/>
        <w:spacing w:before="160" w:after="0"/>
        <w:jc w:val="center"/>
      </w:pPr>
      <w:r>
        <w:drawing>
          <wp:inline xmlns:a="http://schemas.openxmlformats.org/drawingml/2006/main" xmlns:pic="http://schemas.openxmlformats.org/drawingml/2006/picture">
            <wp:extent cx="5688000" cy="3555000"/>
            <wp:docPr id="27" name="Picture 27"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9"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9"/>
    </w:p>
    <w:p>
      <w:pPr>
        <w:keepLines/>
        <w:spacing w:after="180"/>
        <w:jc w:val="both"/>
      </w:pPr>
      <w:r>
        <w:rPr>
          <w:rFonts w:ascii="Times New Roman" w:hAnsi="Times New Roman"/>
          <w:b w:val="0"/>
          <w:i w:val="0"/>
          <w:color w:val="202124"/>
          <w:sz w:val="24"/>
        </w:rPr>
        <w:t>La chronologie, les faits, la table affectée et l’affectation sont réunis sans masquer l’origine du signal. Les boutons Acquitter et Résoudre modifient l’état de travail. Ils ne corrigent pas automatiquement la donnée source.</w:t>
      </w:r>
    </w:p>
    <w:p>
      <w:pPr>
        <w:keepNext/>
        <w:spacing w:after="80"/>
        <w:jc w:val="both"/>
      </w:pPr>
      <w:r>
        <w:rPr>
          <w:rFonts w:ascii="Times New Roman" w:hAnsi="Times New Roman"/>
          <w:b w:val="0"/>
          <w:i w:val="0"/>
          <w:color w:val="202124"/>
          <w:sz w:val="24"/>
        </w:rPr>
        <w:t>La figure 4.6 agrandit la narration IA associée au même incident.</w:t>
      </w:r>
    </w:p>
    <w:p>
      <w:pPr>
        <w:keepNext/>
        <w:spacing w:before="160" w:after="0"/>
        <w:jc w:val="center"/>
      </w:pPr>
      <w:r>
        <w:drawing>
          <wp:inline xmlns:a="http://schemas.openxmlformats.org/drawingml/2006/main" xmlns:pic="http://schemas.openxmlformats.org/drawingml/2006/picture">
            <wp:extent cx="5688000" cy="3555000"/>
            <wp:docPr id="28" name="Picture 28"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200"/>
    </w:p>
    <w:p>
      <w:pPr>
        <w:keepLines/>
        <w:spacing w:after="180"/>
        <w:jc w:val="both"/>
      </w:pPr>
      <w:r>
        <w:rPr>
          <w:rFonts w:ascii="Times New Roman" w:hAnsi="Times New Roman"/>
          <w:b w:val="0"/>
          <w:i w:val="0"/>
          <w:color w:val="202124"/>
          <w:sz w:val="24"/>
        </w:rPr>
        <w:t>Le texte distingue résumé, causes probables et impact, avec des niveaux de confiance visibles. Ces propositions accélèrent l’enquête, mais restent des hypothèses à confronter aux métriques et au système source avant toute décision.</w:t>
      </w:r>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201" w:name="body_229"/>
      <w:r>
        <w:rPr>
          <w:rFonts w:ascii="Times New Roman" w:hAnsi="Times New Roman"/>
          <w:b/>
          <w:color w:val="202124"/>
          <w:sz w:val="25"/>
        </w:rPr>
        <w:t>4.4.3 Détail de la table surveillée</w:t>
      </w:r>
      <w:bookmarkEnd w:id="201"/>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4"/>
        </w:rPr>
        <w:t>La figure 4.7 montre le profil courant de public.orders et son historique récent.</w:t>
      </w:r>
    </w:p>
    <w:p>
      <w:pPr>
        <w:keepNext/>
        <w:spacing w:before="160" w:after="0"/>
        <w:jc w:val="center"/>
      </w:pPr>
      <w:r>
        <w:drawing>
          <wp:inline xmlns:a="http://schemas.openxmlformats.org/drawingml/2006/main" xmlns:pic="http://schemas.openxmlformats.org/drawingml/2006/picture">
            <wp:extent cx="5688000" cy="3555000"/>
            <wp:docPr id="29" name="Picture 29"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2"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2"/>
    </w:p>
    <w:p>
      <w:pPr>
        <w:keepLines/>
        <w:spacing w:after="180"/>
        <w:jc w:val="both"/>
      </w:pPr>
      <w:r>
        <w:rPr>
          <w:rFonts w:ascii="Times New Roman" w:hAnsi="Times New Roman"/>
          <w:b w:val="0"/>
          <w:i w:val="0"/>
          <w:color w:val="202124"/>
          <w:sz w:val="24"/>
        </w:rPr>
        <w:t>Le seed affiche 8 500 lignes, une fraîcheur datée, un taux de nullité agrégé et un incident actif. Les graphiques replacent ces valeurs dans le temps. Le tableau de colonnes permet ensuite de localiser la dérive plutôt que de s’arrêter au score global.</w:t>
      </w:r>
    </w:p>
    <w:p>
      <w:pPr>
        <w:keepNext/>
        <w:spacing w:after="80"/>
        <w:jc w:val="both"/>
      </w:pPr>
      <w:r>
        <w:rPr>
          <w:rFonts w:ascii="Times New Roman" w:hAnsi="Times New Roman"/>
          <w:b w:val="0"/>
          <w:i w:val="0"/>
          <w:color w:val="202124"/>
          <w:sz w:val="24"/>
        </w:rPr>
        <w:t>La figure 4.8 poursuit la même fiche avec les dérives de percentiles, exclusions de colonnes, routes d’alerte et recommandations de moniteurs.</w:t>
      </w:r>
    </w:p>
    <w:p>
      <w:pPr>
        <w:keepNext/>
        <w:spacing w:before="160" w:after="0"/>
        <w:jc w:val="center"/>
      </w:pPr>
      <w:r>
        <w:drawing>
          <wp:inline xmlns:a="http://schemas.openxmlformats.org/drawingml/2006/main" xmlns:pic="http://schemas.openxmlformats.org/drawingml/2006/picture">
            <wp:extent cx="5688000" cy="3555000"/>
            <wp:docPr id="30" name="Picture 30"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3"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3"/>
    </w:p>
    <w:p>
      <w:pPr>
        <w:keepLines/>
        <w:spacing w:after="180"/>
        <w:jc w:val="both"/>
      </w:pPr>
      <w:r>
        <w:rPr>
          <w:rFonts w:ascii="Times New Roman" w:hAnsi="Times New Roman"/>
          <w:b w:val="0"/>
          <w:i w:val="0"/>
          <w:color w:val="202124"/>
          <w:sz w:val="24"/>
        </w:rPr>
        <w:t>Une recommandation ne devient pas silencieusement un contrôle actif. L’utilisateur la relit, choisit sa portée, puis ouvre le constructeur. Ce passage protège le catalogue contre des règles opaques générées sans validation humaine.</w:t>
      </w:r>
    </w:p>
    <w:p>
      <w:pPr>
        <w:keepNext/>
        <w:spacing w:after="80"/>
        <w:jc w:val="both"/>
      </w:pPr>
      <w:r>
        <w:rPr>
          <w:rFonts w:ascii="Times New Roman" w:hAnsi="Times New Roman"/>
          <w:b w:val="0"/>
          <w:i w:val="0"/>
          <w:color w:val="202124"/>
          <w:sz w:val="24"/>
        </w:rPr>
        <w:t>La figure 4.9 présente le catalogue des moniteurs typés avant la création d’une première règle dans ce seed.</w:t>
      </w:r>
    </w:p>
    <w:p>
      <w:pPr>
        <w:keepNext/>
        <w:spacing w:before="160" w:after="0"/>
        <w:jc w:val="center"/>
      </w:pPr>
      <w:r>
        <w:drawing>
          <wp:inline xmlns:a="http://schemas.openxmlformats.org/drawingml/2006/main" xmlns:pic="http://schemas.openxmlformats.org/drawingml/2006/picture">
            <wp:extent cx="5688000" cy="3555000"/>
            <wp:docPr id="31" name="Picture 31"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4"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4"/>
    </w:p>
    <w:p>
      <w:pPr>
        <w:keepLines/>
        <w:spacing w:after="180"/>
        <w:jc w:val="both"/>
      </w:pPr>
      <w:r>
        <w:rPr>
          <w:rFonts w:ascii="Times New Roman" w:hAnsi="Times New Roman"/>
          <w:b w:val="0"/>
          <w:i w:val="0"/>
          <w:color w:val="202124"/>
          <w:sz w:val="24"/>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4"/>
        </w:rPr>
        <w:t>La figure 4.10 ouvre le constructeur d’un moniteur de volume sur public.orders.</w:t>
      </w:r>
    </w:p>
    <w:p>
      <w:pPr>
        <w:keepNext/>
        <w:spacing w:before="160" w:after="0"/>
        <w:jc w:val="center"/>
      </w:pPr>
      <w:r>
        <w:drawing>
          <wp:inline xmlns:a="http://schemas.openxmlformats.org/drawingml/2006/main" xmlns:pic="http://schemas.openxmlformats.org/drawingml/2006/picture">
            <wp:extent cx="5688000" cy="3555000"/>
            <wp:docPr id="32" name="Picture 32"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5"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5"/>
    </w:p>
    <w:p>
      <w:pPr>
        <w:keepLines/>
        <w:spacing w:after="180"/>
        <w:jc w:val="both"/>
      </w:pPr>
      <w:r>
        <w:rPr>
          <w:rFonts w:ascii="Times New Roman" w:hAnsi="Times New Roman"/>
          <w:b w:val="0"/>
          <w:i w:val="0"/>
          <w:color w:val="202124"/>
          <w:sz w:val="24"/>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6" w:name="body_233"/>
      <w:r>
        <w:rPr>
          <w:rFonts w:ascii="Times New Roman" w:hAnsi="Times New Roman"/>
          <w:b/>
          <w:color w:val="202124"/>
          <w:sz w:val="25"/>
        </w:rPr>
        <w:t>4.4.4 Alertes et gouvernance IA</w:t>
      </w:r>
      <w:bookmarkEnd w:id="206"/>
    </w:p>
    <w:p>
      <w:pPr>
        <w:pStyle w:val="Heading3"/>
      </w:pPr>
      <w:bookmarkStart w:id="207" w:name="extra_4_4_4_1_Rapports_quipes_et_astre"/>
      <w:r>
        <w:rPr>
          <w:rFonts w:ascii="Times New Roman" w:hAnsi="Times New Roman"/>
          <w:b/>
          <w:color w:val="202124"/>
          <w:sz w:val="25"/>
        </w:rPr>
        <w:t>4.4.4.1 Rapports, équipes et astreintes</w:t>
      </w:r>
      <w:bookmarkEnd w:id="207"/>
    </w:p>
    <w:p>
      <w:pPr>
        <w:spacing w:after="140"/>
        <w:jc w:val="both"/>
      </w:pPr>
      <w:r>
        <w:rPr>
          <w:rFonts w:ascii="Times New Roman" w:hAnsi="Times New Roman"/>
          <w:b w:val="0"/>
          <w:i w:val="0"/>
          <w:color w:val="202124"/>
          <w:sz w:val="24"/>
        </w:rPr>
        <w:t>La réponse à l’incident dépasse l’écran technique. Les rapports condensent une semaine. Les équipes rendent l’affectation concrète. Les créneaux d’astreinte indiquent qui peut réellement recevoir une escalade.</w:t>
      </w:r>
    </w:p>
    <w:p>
      <w:pPr>
        <w:keepNext/>
        <w:spacing w:after="80"/>
        <w:jc w:val="both"/>
      </w:pPr>
      <w:r>
        <w:rPr>
          <w:rFonts w:ascii="Times New Roman" w:hAnsi="Times New Roman"/>
          <w:b w:val="0"/>
          <w:i w:val="0"/>
          <w:color w:val="202124"/>
          <w:sz w:val="24"/>
        </w:rPr>
        <w:t>La figure 4.11 synthétise la semaine seedée sous forme d’indicateurs de santé et de contrôles en échec.</w:t>
      </w:r>
    </w:p>
    <w:p>
      <w:pPr>
        <w:keepNext/>
        <w:spacing w:before="160" w:after="0"/>
        <w:jc w:val="center"/>
      </w:pPr>
      <w:r>
        <w:drawing>
          <wp:inline xmlns:a="http://schemas.openxmlformats.org/drawingml/2006/main" xmlns:pic="http://schemas.openxmlformats.org/drawingml/2006/picture">
            <wp:extent cx="5688000" cy="3555000"/>
            <wp:docPr id="33" name="Picture 33"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8"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8"/>
    </w:p>
    <w:p>
      <w:pPr>
        <w:keepLines/>
        <w:spacing w:after="180"/>
        <w:jc w:val="both"/>
      </w:pPr>
      <w:r>
        <w:rPr>
          <w:rFonts w:ascii="Times New Roman" w:hAnsi="Times New Roman"/>
          <w:b w:val="0"/>
          <w:i w:val="0"/>
          <w:color w:val="202124"/>
          <w:sz w:val="24"/>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4"/>
        </w:rPr>
        <w:t>La figure 4.12 recense les équipes créées dans le workspace Acme.</w:t>
      </w:r>
    </w:p>
    <w:p>
      <w:pPr>
        <w:keepNext/>
        <w:spacing w:before="160" w:after="0"/>
        <w:jc w:val="center"/>
      </w:pPr>
      <w:r>
        <w:drawing>
          <wp:inline xmlns:a="http://schemas.openxmlformats.org/drawingml/2006/main" xmlns:pic="http://schemas.openxmlformats.org/drawingml/2006/picture">
            <wp:extent cx="5688000" cy="3555000"/>
            <wp:docPr id="34" name="Picture 34"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9"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9"/>
    </w:p>
    <w:p>
      <w:pPr>
        <w:keepLines/>
        <w:spacing w:after="180"/>
        <w:jc w:val="both"/>
      </w:pPr>
      <w:r>
        <w:rPr>
          <w:rFonts w:ascii="Times New Roman" w:hAnsi="Times New Roman"/>
          <w:b w:val="0"/>
          <w:i w:val="0"/>
          <w:color w:val="202124"/>
          <w:sz w:val="24"/>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4"/>
        </w:rPr>
        <w:t>La figure 4.13 ouvre le détail de l’équipe Data Engineering.</w:t>
      </w:r>
    </w:p>
    <w:p>
      <w:pPr>
        <w:keepNext/>
        <w:spacing w:before="160" w:after="0"/>
        <w:jc w:val="center"/>
      </w:pPr>
      <w:r>
        <w:drawing>
          <wp:inline xmlns:a="http://schemas.openxmlformats.org/drawingml/2006/main" xmlns:pic="http://schemas.openxmlformats.org/drawingml/2006/picture">
            <wp:extent cx="5688000" cy="3555000"/>
            <wp:docPr id="35" name="Picture 35"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10"/>
    </w:p>
    <w:p>
      <w:pPr>
        <w:keepLines/>
        <w:spacing w:after="180"/>
        <w:jc w:val="both"/>
      </w:pPr>
      <w:r>
        <w:rPr>
          <w:rFonts w:ascii="Times New Roman" w:hAnsi="Times New Roman"/>
          <w:b w:val="0"/>
          <w:i w:val="0"/>
          <w:color w:val="202124"/>
          <w:sz w:val="24"/>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11" w:name="extra_4_4_4_2_Sources_connecteurs_et_n"/>
      <w:r>
        <w:rPr>
          <w:rFonts w:ascii="Times New Roman" w:hAnsi="Times New Roman"/>
          <w:b/>
          <w:color w:val="202124"/>
          <w:sz w:val="25"/>
        </w:rPr>
        <w:t>4.4.4.2 Sources, connecteurs et notifications</w:t>
      </w:r>
      <w:bookmarkEnd w:id="211"/>
    </w:p>
    <w:p>
      <w:pPr>
        <w:spacing w:after="140"/>
        <w:jc w:val="both"/>
      </w:pPr>
      <w:r>
        <w:rPr>
          <w:rFonts w:ascii="Times New Roman" w:hAnsi="Times New Roman"/>
          <w:b w:val="0"/>
          <w:i w:val="0"/>
          <w:color w:val="202124"/>
          <w:sz w:val="24"/>
        </w:rPr>
        <w:t>Le catalogue distingue les capacités annoncées de chaque moteur. La source seedée sert de verticale vérifiée.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4"/>
        </w:rPr>
        <w:t>La figure 4.14 affiche les sources enregistrées dans les paramètres du workspace.</w:t>
      </w:r>
    </w:p>
    <w:p>
      <w:pPr>
        <w:keepNext/>
        <w:spacing w:before="160" w:after="0"/>
        <w:jc w:val="center"/>
      </w:pPr>
      <w:r>
        <w:drawing>
          <wp:inline xmlns:a="http://schemas.openxmlformats.org/drawingml/2006/main" xmlns:pic="http://schemas.openxmlformats.org/drawingml/2006/picture">
            <wp:extent cx="5688000" cy="3555000"/>
            <wp:docPr id="36" name="Picture 36"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2"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2"/>
    </w:p>
    <w:p>
      <w:pPr>
        <w:keepLines/>
        <w:spacing w:after="180"/>
        <w:jc w:val="both"/>
      </w:pPr>
      <w:r>
        <w:rPr>
          <w:rFonts w:ascii="Times New Roman" w:hAnsi="Times New Roman"/>
          <w:b w:val="0"/>
          <w:i w:val="0"/>
          <w:color w:val="202124"/>
          <w:sz w:val="24"/>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4"/>
        </w:rPr>
        <w:t>La figure 4.15 montre le formulaire d’ajout d’une source et la sélection du connecteur PostgreSQL.</w:t>
      </w:r>
    </w:p>
    <w:p>
      <w:pPr>
        <w:keepNext/>
        <w:spacing w:before="160" w:after="0"/>
        <w:jc w:val="center"/>
      </w:pPr>
      <w:r>
        <w:drawing>
          <wp:inline xmlns:a="http://schemas.openxmlformats.org/drawingml/2006/main" xmlns:pic="http://schemas.openxmlformats.org/drawingml/2006/picture">
            <wp:extent cx="5688000" cy="3555000"/>
            <wp:docPr id="37" name="Picture 37"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3"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3"/>
    </w:p>
    <w:p>
      <w:pPr>
        <w:keepLines/>
        <w:spacing w:after="180"/>
        <w:jc w:val="both"/>
      </w:pPr>
      <w:r>
        <w:rPr>
          <w:rFonts w:ascii="Times New Roman" w:hAnsi="Times New Roman"/>
          <w:b w:val="0"/>
          <w:i w:val="0"/>
          <w:color w:val="202124"/>
          <w:sz w:val="24"/>
        </w:rPr>
        <w:t>Hôte, port, base, utilisateur et mot de passe sont saisis avant le test de connexion. Le mot de passe n’est jamais réaffiché après enregistrement. Le backend chiffre la configuration dans le contexte du tenant.</w:t>
      </w:r>
    </w:p>
    <w:p>
      <w:pPr>
        <w:keepNext/>
        <w:spacing w:after="80"/>
        <w:jc w:val="both"/>
      </w:pPr>
      <w:r>
        <w:rPr>
          <w:rFonts w:ascii="Times New Roman" w:hAnsi="Times New Roman"/>
          <w:b w:val="0"/>
          <w:i w:val="0"/>
          <w:color w:val="202124"/>
          <w:sz w:val="24"/>
        </w:rPr>
        <w:t>La figure 4.16 présente les canaux disponibles et la route e-mail utilisée pendant la démonstration.</w:t>
      </w:r>
    </w:p>
    <w:p>
      <w:pPr>
        <w:keepNext/>
        <w:spacing w:before="160" w:after="0"/>
        <w:jc w:val="center"/>
      </w:pPr>
      <w:r>
        <w:drawing>
          <wp:inline xmlns:a="http://schemas.openxmlformats.org/drawingml/2006/main" xmlns:pic="http://schemas.openxmlformats.org/drawingml/2006/picture">
            <wp:extent cx="5688000" cy="3555000"/>
            <wp:docPr id="38" name="Picture 38"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4"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4"/>
    </w:p>
    <w:p>
      <w:pPr>
        <w:keepLines/>
        <w:spacing w:after="180"/>
        <w:jc w:val="both"/>
      </w:pPr>
      <w:r>
        <w:rPr>
          <w:rFonts w:ascii="Times New Roman" w:hAnsi="Times New Roman"/>
          <w:b w:val="0"/>
          <w:i w:val="0"/>
          <w:color w:val="202124"/>
          <w:sz w:val="24"/>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4"/>
        </w:rPr>
        <w:t>La figure 4.17 descend au niveau des préférences de notification de l’utilisateur connecté.</w:t>
      </w:r>
    </w:p>
    <w:p>
      <w:pPr>
        <w:keepNext/>
        <w:spacing w:before="160" w:after="0"/>
        <w:jc w:val="center"/>
      </w:pPr>
      <w:r>
        <w:drawing>
          <wp:inline xmlns:a="http://schemas.openxmlformats.org/drawingml/2006/main" xmlns:pic="http://schemas.openxmlformats.org/drawingml/2006/picture">
            <wp:extent cx="5688000" cy="3555000"/>
            <wp:docPr id="39" name="Picture 39"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5"/>
    </w:p>
    <w:p>
      <w:pPr>
        <w:keepLines/>
        <w:spacing w:after="180"/>
        <w:jc w:val="both"/>
      </w:pPr>
      <w:r>
        <w:rPr>
          <w:rFonts w:ascii="Times New Roman" w:hAnsi="Times New Roman"/>
          <w:b w:val="0"/>
          <w:i w:val="0"/>
          <w:color w:val="202124"/>
          <w:sz w:val="24"/>
        </w:rPr>
        <w:t>Les bascules distinguent attribution, activité d’équipe et changement d’état. Le digest quotidien possède sa propre heure et son fuseau. Une route d’organisation définit donc la livraison possible, tandis que ces préférences règlent ce que chaque personne souhaite recevoir.</w:t>
      </w:r>
    </w:p>
    <w:p>
      <w:pPr>
        <w:pStyle w:val="Heading3"/>
      </w:pPr>
      <w:bookmarkStart w:id="216" w:name="extra_4_4_4_3_Registre_de_gouvernance_"/>
      <w:r>
        <w:rPr>
          <w:rFonts w:ascii="Times New Roman" w:hAnsi="Times New Roman"/>
          <w:b/>
          <w:color w:val="202124"/>
          <w:sz w:val="25"/>
        </w:rPr>
        <w:t>4.4.4.3 Registre de gouvernance IA</w:t>
      </w:r>
      <w:bookmarkEnd w:id="216"/>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4"/>
        </w:rPr>
        <w:t>La figure 4.18 ouvre la file de travail du prototype de gouvernance IA.</w:t>
      </w:r>
    </w:p>
    <w:p>
      <w:pPr>
        <w:keepNext/>
        <w:spacing w:before="160" w:after="0"/>
        <w:jc w:val="center"/>
      </w:pPr>
      <w:r>
        <w:drawing>
          <wp:inline xmlns:a="http://schemas.openxmlformats.org/drawingml/2006/main" xmlns:pic="http://schemas.openxmlformats.org/drawingml/2006/picture">
            <wp:extent cx="5688000" cy="3555000"/>
            <wp:docPr id="40" name="Picture 40"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7"/>
    </w:p>
    <w:p>
      <w:pPr>
        <w:keepLines/>
        <w:spacing w:after="180"/>
        <w:jc w:val="both"/>
      </w:pPr>
      <w:r>
        <w:rPr>
          <w:rFonts w:ascii="Times New Roman" w:hAnsi="Times New Roman"/>
          <w:b w:val="0"/>
          <w:i w:val="0"/>
          <w:color w:val="202124"/>
          <w:sz w:val="24"/>
        </w:rPr>
        <w:t>Un seul système seedé apparaît : Support knowledge assistant, avec trois responsables sur trois et cinq contrôles ouverts. Cette faible volumétrie est volontaire. Elle démontre le registre et ses états, pas sa capacité à gouverner un portefeuille industriel.</w:t>
      </w:r>
    </w:p>
    <w:p>
      <w:pPr>
        <w:keepNext/>
        <w:spacing w:after="80"/>
        <w:jc w:val="both"/>
      </w:pPr>
      <w:r>
        <w:rPr>
          <w:rFonts w:ascii="Times New Roman" w:hAnsi="Times New Roman"/>
          <w:b w:val="0"/>
          <w:i w:val="0"/>
          <w:color w:val="202124"/>
          <w:sz w:val="24"/>
        </w:rPr>
        <w:t>La figure 4.19 détaille l’état calculé pour le système IA de support.</w:t>
      </w:r>
    </w:p>
    <w:p>
      <w:pPr>
        <w:keepNext/>
        <w:spacing w:before="160" w:after="0"/>
        <w:jc w:val="center"/>
      </w:pPr>
      <w:r>
        <w:drawing>
          <wp:inline xmlns:a="http://schemas.openxmlformats.org/drawingml/2006/main" xmlns:pic="http://schemas.openxmlformats.org/drawingml/2006/picture">
            <wp:extent cx="5688000" cy="3555000"/>
            <wp:docPr id="41" name="Picture 41"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8"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8"/>
    </w:p>
    <w:p>
      <w:pPr>
        <w:keepLines/>
        <w:spacing w:after="180"/>
        <w:jc w:val="both"/>
      </w:pPr>
      <w:r>
        <w:rPr>
          <w:rFonts w:ascii="Times New Roman" w:hAnsi="Times New Roman"/>
          <w:b w:val="0"/>
          <w:i w:val="0"/>
          <w:color w:val="202124"/>
          <w:sz w:val="24"/>
        </w:rPr>
        <w:t>L’écran affiche une action requise, une confiance des preuves de 81,8 % et un risque résiduel de 27,4 sur 100. Les cartes de contrôle exposent leurs raisons et leurs échecs. Ces nombres appartiennent au scénario seedé et ne sont ni un score réglementaire ni une certification.</w:t>
      </w:r>
    </w:p>
    <w:p>
      <w:pPr>
        <w:keepNext/>
        <w:spacing w:after="80"/>
        <w:jc w:val="both"/>
      </w:pPr>
      <w:r>
        <w:rPr>
          <w:rFonts w:ascii="Times New Roman" w:hAnsi="Times New Roman"/>
          <w:b w:val="0"/>
          <w:i w:val="0"/>
          <w:color w:val="202124"/>
          <w:sz w:val="24"/>
        </w:rPr>
        <w:t>La figure 4.20 prolonge cette fiche par la chronologie des preuves attachées au système.</w:t>
      </w:r>
    </w:p>
    <w:p>
      <w:pPr>
        <w:keepNext/>
        <w:spacing w:before="160" w:after="0"/>
        <w:jc w:val="center"/>
      </w:pPr>
      <w:r>
        <w:drawing>
          <wp:inline xmlns:a="http://schemas.openxmlformats.org/drawingml/2006/main" xmlns:pic="http://schemas.openxmlformats.org/drawingml/2006/picture">
            <wp:extent cx="5688000" cy="3555000"/>
            <wp:docPr id="42" name="Picture 42"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19"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9"/>
    </w:p>
    <w:p>
      <w:pPr>
        <w:keepLines/>
        <w:spacing w:after="180"/>
        <w:jc w:val="both"/>
      </w:pPr>
      <w:r>
        <w:rPr>
          <w:rFonts w:ascii="Times New Roman" w:hAnsi="Times New Roman"/>
          <w:b w:val="0"/>
          <w:i w:val="0"/>
          <w:color w:val="202124"/>
          <w:sz w:val="24"/>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20" w:name="extra_4_4_4_4_Limites_du_prototype_de_"/>
      <w:r>
        <w:rPr>
          <w:rFonts w:ascii="Times New Roman" w:hAnsi="Times New Roman"/>
          <w:b/>
          <w:color w:val="202124"/>
          <w:sz w:val="25"/>
        </w:rPr>
        <w:t>4.4.4.4 Limites du prototype de gouvernance IA</w:t>
      </w:r>
      <w:bookmarkEnd w:id="220"/>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21" w:name="extra_4_4_4_5_Portail_staff"/>
      <w:r>
        <w:rPr>
          <w:rFonts w:ascii="Times New Roman" w:hAnsi="Times New Roman"/>
          <w:b/>
          <w:color w:val="202124"/>
          <w:sz w:val="25"/>
        </w:rPr>
        <w:t>4.4.4.5 Portail staff</w:t>
      </w:r>
      <w:bookmarkEnd w:id="221"/>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Il n’emprunte pas l’identité d’un membre du workspace.</w:t>
      </w:r>
    </w:p>
    <w:p>
      <w:pPr>
        <w:keepNext/>
        <w:spacing w:after="80"/>
        <w:jc w:val="both"/>
      </w:pPr>
      <w:r>
        <w:rPr>
          <w:rFonts w:ascii="Times New Roman" w:hAnsi="Times New Roman"/>
          <w:b w:val="0"/>
          <w:i w:val="0"/>
          <w:color w:val="202124"/>
          <w:sz w:val="24"/>
        </w:rPr>
        <w:t>La figure 4.21 montre la porte d’entrée distincte du portail réservé au personnel DataWatch.</w:t>
      </w:r>
    </w:p>
    <w:p>
      <w:pPr>
        <w:keepNext/>
        <w:spacing w:before="160" w:after="0"/>
        <w:jc w:val="center"/>
      </w:pPr>
      <w:r>
        <w:drawing>
          <wp:inline xmlns:a="http://schemas.openxmlformats.org/drawingml/2006/main" xmlns:pic="http://schemas.openxmlformats.org/drawingml/2006/picture">
            <wp:extent cx="5688000" cy="3555000"/>
            <wp:docPr id="43" name="Picture 43"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2"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2"/>
    </w:p>
    <w:p>
      <w:pPr>
        <w:keepLines/>
        <w:spacing w:after="180"/>
        <w:jc w:val="both"/>
      </w:pPr>
      <w:r>
        <w:rPr>
          <w:rFonts w:ascii="Times New Roman" w:hAnsi="Times New Roman"/>
          <w:b w:val="0"/>
          <w:i w:val="0"/>
          <w:color w:val="202124"/>
          <w:sz w:val="24"/>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4"/>
        </w:rPr>
        <w:t>La figure 4.22 présente l’inventaire des organisations depuis le portail staff.</w:t>
      </w:r>
    </w:p>
    <w:p>
      <w:pPr>
        <w:keepNext/>
        <w:spacing w:before="160" w:after="0"/>
        <w:jc w:val="center"/>
      </w:pPr>
      <w:r>
        <w:drawing>
          <wp:inline xmlns:a="http://schemas.openxmlformats.org/drawingml/2006/main" xmlns:pic="http://schemas.openxmlformats.org/drawingml/2006/picture">
            <wp:extent cx="5688000" cy="3555000"/>
            <wp:docPr id="44" name="Picture 44"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3"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3"/>
    </w:p>
    <w:p>
      <w:pPr>
        <w:keepLines/>
        <w:spacing w:after="180"/>
        <w:jc w:val="both"/>
      </w:pPr>
      <w:r>
        <w:rPr>
          <w:rFonts w:ascii="Times New Roman" w:hAnsi="Times New Roman"/>
          <w:b w:val="0"/>
          <w:i w:val="0"/>
          <w:color w:val="202124"/>
          <w:sz w:val="24"/>
        </w:rPr>
        <w:t>Le seed contient deux tenants actifs, cinq membres au total et un revenu mensuel estimé à 298 dollars. Recherche, filtres de plan et statut précèdent l’ouverture d’une organisation. Les valeurs restent des données de démonstration.</w:t>
      </w:r>
    </w:p>
    <w:p>
      <w:pPr>
        <w:keepNext/>
        <w:spacing w:after="80"/>
        <w:jc w:val="both"/>
      </w:pPr>
      <w:r>
        <w:rPr>
          <w:rFonts w:ascii="Times New Roman" w:hAnsi="Times New Roman"/>
          <w:b w:val="0"/>
          <w:i w:val="0"/>
          <w:color w:val="202124"/>
          <w:sz w:val="24"/>
        </w:rPr>
        <w:t>La figure 4.23 rassemble les indicateurs commerciaux et opérationnels visibles par le staff.</w:t>
      </w:r>
    </w:p>
    <w:p>
      <w:pPr>
        <w:keepNext/>
        <w:spacing w:before="160" w:after="0"/>
        <w:jc w:val="center"/>
      </w:pPr>
      <w:r>
        <w:drawing>
          <wp:inline xmlns:a="http://schemas.openxmlformats.org/drawingml/2006/main" xmlns:pic="http://schemas.openxmlformats.org/drawingml/2006/picture">
            <wp:extent cx="5688000" cy="3555000"/>
            <wp:docPr id="45" name="Picture 45"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4"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4"/>
    </w:p>
    <w:p>
      <w:pPr>
        <w:keepLines/>
        <w:spacing w:after="180"/>
        <w:jc w:val="both"/>
      </w:pPr>
      <w:r>
        <w:rPr>
          <w:rFonts w:ascii="Times New Roman" w:hAnsi="Times New Roman"/>
          <w:b w:val="0"/>
          <w:i w:val="0"/>
          <w:color w:val="202124"/>
          <w:sz w:val="24"/>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4"/>
        </w:rPr>
        <w:t>La figure 4.24 ouvre la fiche administrative d’Acme Corp.</w:t>
      </w:r>
    </w:p>
    <w:p>
      <w:pPr>
        <w:keepNext/>
        <w:spacing w:before="160" w:after="0"/>
        <w:jc w:val="center"/>
      </w:pPr>
      <w:r>
        <w:drawing>
          <wp:inline xmlns:a="http://schemas.openxmlformats.org/drawingml/2006/main" xmlns:pic="http://schemas.openxmlformats.org/drawingml/2006/picture">
            <wp:extent cx="5688000" cy="3555000"/>
            <wp:docPr id="46" name="Picture 46"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8"/>
                    <a:stretch>
                      <a:fillRect/>
                    </a:stretch>
                  </pic:blipFill>
                  <pic:spPr>
                    <a:xfrm>
                      <a:off x="0" y="0"/>
                      <a:ext cx="5688000" cy="3555000"/>
                    </a:xfrm>
                    <a:prstGeom prst="rect"/>
                  </pic:spPr>
                </pic:pic>
              </a:graphicData>
            </a:graphic>
          </wp:inline>
        </w:drawing>
      </w:r>
    </w:p>
    <w:p>
      <w:pPr>
        <w:pStyle w:val="Caption"/>
      </w:pPr>
      <w:bookmarkStart w:id="225"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5"/>
    </w:p>
    <w:p>
      <w:pPr>
        <w:keepLines/>
        <w:spacing w:after="180"/>
        <w:jc w:val="both"/>
      </w:pPr>
      <w:r>
        <w:rPr>
          <w:rFonts w:ascii="Times New Roman" w:hAnsi="Times New Roman"/>
          <w:b w:val="0"/>
          <w:i w:val="0"/>
          <w:color w:val="202124"/>
          <w:sz w:val="24"/>
        </w:rPr>
        <w:t>Le plan Growth actif est affiché à 149 dollars par mois, avec une source, quatre tables et trois membres. Les compteurs sur trente jours permettent de vérifier l’activité déclarée avant une modification d’abonnement. Ils restent isolés des écrans opérationnels du client.</w:t>
      </w:r>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Il sert à éprouver le modèle de données et l’interface, pas à prouver une gouvernance industrielle.</w:t>
      </w:r>
    </w:p>
    <w:p>
      <w:pPr>
        <w:pStyle w:val="Heading3"/>
      </w:pPr>
      <w:bookmarkStart w:id="226" w:name="body_239"/>
      <w:r>
        <w:rPr>
          <w:rFonts w:ascii="Times New Roman" w:hAnsi="Times New Roman"/>
          <w:b/>
          <w:color w:val="202124"/>
          <w:sz w:val="25"/>
        </w:rPr>
        <w:t>4.4.5 Règles de présentation des captures</w:t>
      </w:r>
      <w:bookmarkEnd w:id="226"/>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7" w:name="body_247"/>
      <w:r>
        <w:rPr>
          <w:rFonts w:ascii="Times New Roman" w:hAnsi="Times New Roman"/>
          <w:b/>
          <w:color w:val="202124"/>
          <w:sz w:val="29"/>
        </w:rPr>
        <w:t>4.5 Tests et validation</w:t>
      </w:r>
      <w:bookmarkEnd w:id="227"/>
    </w:p>
    <w:p>
      <w:pPr>
        <w:pStyle w:val="Heading3"/>
      </w:pPr>
      <w:bookmarkStart w:id="228" w:name="extra_4_5_1_Strat_gie_de_test"/>
      <w:r>
        <w:rPr>
          <w:rFonts w:ascii="Times New Roman" w:hAnsi="Times New Roman"/>
          <w:b/>
          <w:color w:val="202124"/>
          <w:sz w:val="25"/>
        </w:rPr>
        <w:t>4.5.1 Stratégie de test</w:t>
      </w:r>
      <w:bookmarkEnd w:id="228"/>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9" w:name="extra_4_5_2_Sc_narios_fonctionnels"/>
      <w:r>
        <w:rPr>
          <w:rFonts w:ascii="Times New Roman" w:hAnsi="Times New Roman"/>
          <w:b/>
          <w:color w:val="202124"/>
          <w:sz w:val="25"/>
        </w:rPr>
        <w:t>4.5.2 Scénarios fonctionnels</w:t>
      </w:r>
      <w:bookmarkEnd w:id="229"/>
    </w:p>
    <w:p>
      <w:pPr>
        <w:pStyle w:val="Caption"/>
        <w:keepNext/>
        <w:spacing w:before="160" w:after="100"/>
        <w:jc w:val="left"/>
      </w:pPr>
      <w:bookmarkStart w:id="230"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30"/>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31" w:name="extra_4_5_3_R_sultats_et_interpr_tatio"/>
      <w:r>
        <w:rPr>
          <w:rFonts w:ascii="Times New Roman" w:hAnsi="Times New Roman"/>
          <w:b/>
          <w:color w:val="202124"/>
          <w:sz w:val="25"/>
        </w:rPr>
        <w:t>4.5.3 Résultats et interprétation</w:t>
      </w:r>
      <w:bookmarkEnd w:id="231"/>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Une suite avec dépendances simulées ne prouve pas qu’une transaction réelle fonctionne.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Elles ne deviennent pas, par glissement de vocabulaire, une validation totale.</w:t>
      </w:r>
    </w:p>
    <w:p>
      <w:pPr>
        <w:pStyle w:val="Heading2"/>
      </w:pPr>
      <w:bookmarkStart w:id="232" w:name="body_254"/>
      <w:r>
        <w:rPr>
          <w:rFonts w:ascii="Times New Roman" w:hAnsi="Times New Roman"/>
          <w:b/>
          <w:color w:val="202124"/>
          <w:sz w:val="29"/>
        </w:rPr>
        <w:t>4.6 Discussion des limites</w:t>
      </w:r>
      <w:bookmarkEnd w:id="232"/>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3" w:name="body_256"/>
      <w:r>
        <w:rPr>
          <w:rFonts w:ascii="Times New Roman" w:hAnsi="Times New Roman"/>
          <w:b/>
          <w:color w:val="202124"/>
          <w:sz w:val="29"/>
        </w:rPr>
        <w:t>4.7 Conclusion</w:t>
      </w:r>
      <w:bookmarkEnd w:id="233"/>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4" w:name="body_258"/>
      <w:r>
        <w:rPr>
          <w:rFonts w:ascii="Times New Roman" w:hAnsi="Times New Roman"/>
          <w:b/>
          <w:color w:val="202124"/>
          <w:sz w:val="38"/>
        </w:rPr>
        <w:t>CONCLUSION GÉNÉRALE ET PERSPECTIVES</w:t>
      </w:r>
      <w:bookmarkEnd w:id="234"/>
    </w:p>
    <w:p>
      <w:pPr>
        <w:pStyle w:val="Heading2"/>
      </w:pPr>
      <w:bookmarkStart w:id="235" w:name="body_259"/>
      <w:r>
        <w:rPr>
          <w:rFonts w:ascii="Times New Roman" w:hAnsi="Times New Roman"/>
          <w:b/>
          <w:color w:val="202124"/>
          <w:sz w:val="29"/>
        </w:rPr>
        <w:t>Cadre du travail</w:t>
      </w:r>
      <w:bookmarkEnd w:id="235"/>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6" w:name="body_261"/>
      <w:r>
        <w:rPr>
          <w:rFonts w:ascii="Times New Roman" w:hAnsi="Times New Roman"/>
          <w:b/>
          <w:color w:val="202124"/>
          <w:sz w:val="29"/>
        </w:rPr>
        <w:t>Synthèse des apports</w:t>
      </w:r>
      <w:bookmarkEnd w:id="236"/>
    </w:p>
    <w:p>
      <w:pPr>
        <w:spacing w:after="140"/>
        <w:jc w:val="both"/>
      </w:pPr>
      <w:r>
        <w:rPr>
          <w:rFonts w:ascii="Times New Roman" w:hAnsi="Times New Roman"/>
          <w:b w:val="0"/>
          <w:i w:val="0"/>
          <w:color w:val="202124"/>
          <w:sz w:val="24"/>
        </w:rPr>
        <w:t>Sur le plan technique, le projet relie quatre contraintes classiques d’un système data à une chaîne concrète. Le volume correspond aux agrégats. La variété est absorbée par les connecteurs. La vélocité passe par la file de tâches. La véracité s’appuie sur les profils, détecteurs, incidents et alertes. L’apport IA n’est donc pas un écran ajouté après coup. Il compare plusieurs méthodes de détection, puis produit une explication générative tenue à distance de la décision. Les capacités déclarées, états explicites, révisions immuables et résultats reproductibles forment une discipline de preuve. Des métriques éparses deviennent ainsi un parcours d’investigation lisible.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7" w:name="body_263"/>
      <w:r>
        <w:rPr>
          <w:rFonts w:ascii="Times New Roman" w:hAnsi="Times New Roman"/>
          <w:b/>
          <w:color w:val="202124"/>
          <w:sz w:val="29"/>
        </w:rPr>
        <w:t>Perspectives</w:t>
      </w:r>
      <w:bookmarkEnd w:id="237"/>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8" w:name="body_269"/>
      <w:r>
        <w:rPr>
          <w:rFonts w:ascii="Times New Roman" w:hAnsi="Times New Roman"/>
          <w:b/>
          <w:color w:val="202124"/>
          <w:sz w:val="38"/>
        </w:rPr>
        <w:t>RÉFÉRENCES</w:t>
      </w:r>
      <w:bookmarkEnd w:id="238"/>
    </w:p>
    <w:p>
      <w:pPr>
        <w:spacing w:after="100"/>
        <w:ind w:left="397" w:hanging="397"/>
        <w:jc w:val="left"/>
      </w:pPr>
      <w:r>
        <w:rPr>
          <w:rFonts w:ascii="Times New Roman" w:hAnsi="Times New Roman"/>
          <w:b w:val="0"/>
          <w:i w:val="0"/>
          <w:color w:val="202124"/>
          <w:sz w:val="19"/>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2026-08-21, dossier docs/evidence du projet.</w:t>
      </w:r>
    </w:p>
    <w:p>
      <w:pPr>
        <w:spacing w:after="100"/>
        <w:ind w:left="397" w:hanging="397"/>
        <w:jc w:val="left"/>
      </w:pPr>
      <w:r>
        <w:rPr>
          <w:rFonts w:ascii="Times New Roman" w:hAnsi="Times New Roman"/>
          <w:b w:val="0"/>
          <w:i w:val="0"/>
          <w:color w:val="202124"/>
          <w:sz w:val="19"/>
        </w:rPr>
        <w:t>[3] DataWatch, AI governance phase-two evidence,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SQuaRE, Data quality model, version confirmée en 2025.</w:t>
      </w:r>
    </w:p>
    <w:p>
      <w:pPr>
        <w:spacing w:after="100"/>
        <w:ind w:left="397" w:hanging="397"/>
        <w:jc w:val="left"/>
      </w:pPr>
      <w:r>
        <w:rPr>
          <w:rFonts w:ascii="Times New Roman" w:hAnsi="Times New Roman"/>
          <w:b w:val="0"/>
          <w:i w:val="0"/>
          <w:color w:val="202124"/>
          <w:sz w:val="19"/>
        </w:rPr>
        <w:t>[10] ISGA, École d’ingénieur, campus Casablanca, présentation du cycle et de la spécialisation Intelligence Artificielle et Big Data, consultée en septembre 2026. https://info.isga.ma/ecole-ingenieur-casablanca</w:t>
      </w:r>
    </w:p>
    <w:p>
      <w:pPr>
        <w:spacing w:after="100"/>
        <w:ind w:left="397" w:hanging="397"/>
        <w:jc w:val="left"/>
      </w:pPr>
      <w:r>
        <w:rPr>
          <w:rFonts w:ascii="Times New Roman" w:hAnsi="Times New Roman"/>
          <w:b w:val="0"/>
          <w:i w:val="0"/>
          <w:color w:val="202124"/>
          <w:sz w:val="19"/>
        </w:rPr>
        <w:t>[11] Great Expectations, Run Validations, documentation officielle, consultée en septembre 2026. https://docs.greatexpectations.io/docs/core/run_validations/</w:t>
      </w:r>
    </w:p>
    <w:p>
      <w:pPr>
        <w:spacing w:after="100"/>
        <w:ind w:left="397" w:hanging="397"/>
        <w:jc w:val="left"/>
      </w:pPr>
      <w:r>
        <w:rPr>
          <w:rFonts w:ascii="Times New Roman" w:hAnsi="Times New Roman"/>
          <w:b w:val="0"/>
          <w:i w:val="0"/>
          <w:color w:val="202124"/>
          <w:sz w:val="19"/>
        </w:rPr>
        <w:t>[12] Soda, SodaCL metrics and checks, documentation officielle, consultée en septembre 2026. https://docs.soda.io/soda-cl/metrics-and-checks.html</w:t>
      </w:r>
    </w:p>
    <w:p>
      <w:pPr>
        <w:spacing w:after="100"/>
        <w:ind w:left="397" w:hanging="397"/>
        <w:jc w:val="left"/>
      </w:pPr>
      <w:r>
        <w:rPr>
          <w:rFonts w:ascii="Times New Roman" w:hAnsi="Times New Roman"/>
          <w:b w:val="0"/>
          <w:i w:val="0"/>
          <w:color w:val="202124"/>
          <w:sz w:val="19"/>
        </w:rPr>
        <w:t>[13] Oyster, Who we are, présentation officielle de l’entreprise et de son organisation distribuée, consultée en septembre 2026. https://www.oysterhr.com/who-we-are</w:t>
      </w:r>
    </w:p>
    <w:p>
      <w:pPr>
        <w:spacing w:after="100"/>
        <w:ind w:left="397" w:hanging="397"/>
        <w:jc w:val="left"/>
      </w:pPr>
      <w:r>
        <w:rPr>
          <w:rFonts w:ascii="Times New Roman" w:hAnsi="Times New Roman"/>
          <w:b w:val="0"/>
          <w:i w:val="0"/>
          <w:color w:val="202124"/>
          <w:sz w:val="19"/>
        </w:rPr>
        <w:t>[14] Oyster, plateforme mondiale d’emploi, services et couverture géographique, consultée en septembre 2026. https://www.oysterhr.com/</w:t>
      </w:r>
    </w:p>
    <w:p>
      <w:pPr>
        <w:pStyle w:val="Heading1"/>
        <w:jc w:val="left"/>
        <w:pBdr>
          <w:bottom w:val="single" w:sz="14" w:space="6" w:color="B1202D"/>
        </w:pBdr>
      </w:pPr>
      <w:bookmarkStart w:id="239" w:name="body_279"/>
      <w:r>
        <w:rPr>
          <w:rFonts w:ascii="Times New Roman" w:hAnsi="Times New Roman"/>
          <w:b/>
          <w:color w:val="202124"/>
          <w:sz w:val="38"/>
        </w:rPr>
        <w:t>ANNEXES</w:t>
      </w:r>
      <w:bookmarkEnd w:id="239"/>
    </w:p>
    <w:p>
      <w:pPr>
        <w:pStyle w:val="Heading2"/>
      </w:pPr>
      <w:bookmarkStart w:id="240" w:name="body_280"/>
      <w:r>
        <w:rPr>
          <w:rFonts w:ascii="Times New Roman" w:hAnsi="Times New Roman"/>
          <w:b/>
          <w:color w:val="202124"/>
          <w:sz w:val="29"/>
        </w:rPr>
        <w:t>Annexe A, Procédure de démonstration</w:t>
      </w:r>
      <w:bookmarkEnd w:id="240"/>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41" w:name="body_286"/>
      <w:r>
        <w:rPr>
          <w:rFonts w:ascii="Times New Roman" w:hAnsi="Times New Roman"/>
          <w:b/>
          <w:color w:val="202124"/>
          <w:sz w:val="29"/>
        </w:rPr>
        <w:t>Annexe B, Indicateurs à interpréter avec prudence</w:t>
      </w:r>
      <w:bookmarkEnd w:id="241"/>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2" w:name="body_288"/>
      <w:r>
        <w:rPr>
          <w:rFonts w:ascii="Times New Roman" w:hAnsi="Times New Roman"/>
          <w:b/>
          <w:color w:val="202124"/>
          <w:sz w:val="29"/>
        </w:rPr>
        <w:t>Annexe C, Guide de captures d’écran pour la soutenance</w:t>
      </w:r>
      <w:bookmarkEnd w:id="242"/>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3" w:name="body_290"/>
      <w:r>
        <w:rPr>
          <w:rFonts w:ascii="Times New Roman" w:hAnsi="Times New Roman"/>
          <w:b/>
          <w:color w:val="202124"/>
          <w:sz w:val="25"/>
        </w:rPr>
        <w:t>C.1 Tableau de bord Opérations</w:t>
      </w:r>
      <w:bookmarkEnd w:id="243"/>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4" w:name="body_292"/>
      <w:r>
        <w:rPr>
          <w:rFonts w:ascii="Times New Roman" w:hAnsi="Times New Roman"/>
          <w:b/>
          <w:color w:val="202124"/>
          <w:sz w:val="25"/>
        </w:rPr>
        <w:t>C.2 Détail de l’incident orders</w:t>
      </w:r>
      <w:bookmarkEnd w:id="244"/>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5" w:name="body_294"/>
      <w:r>
        <w:rPr>
          <w:rFonts w:ascii="Times New Roman" w:hAnsi="Times New Roman"/>
          <w:b/>
          <w:color w:val="202124"/>
          <w:sz w:val="25"/>
        </w:rPr>
        <w:t>C.3 Routage d’alerte et gouvernance IA</w:t>
      </w:r>
      <w:bookmarkEnd w:id="245"/>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6" w:name="annex_d"/>
      <w:r>
        <w:rPr>
          <w:rFonts w:ascii="Times New Roman" w:hAnsi="Times New Roman"/>
          <w:b/>
          <w:color w:val="202124"/>
          <w:sz w:val="29"/>
        </w:rPr>
        <w:t>Annexe D : Repères techniques et reproduction</w:t>
      </w:r>
      <w:bookmarkEnd w:id="246"/>
    </w:p>
    <w:p>
      <w:pPr>
        <w:spacing w:after="140"/>
        <w:jc w:val="both"/>
      </w:pPr>
      <w:r>
        <w:rPr>
          <w:rFonts w:ascii="Times New Roman" w:hAnsi="Times New Roman"/>
          <w:b w:val="0"/>
          <w:i w:val="0"/>
          <w:color w:val="202124"/>
          <w:sz w:val="24"/>
        </w:rPr>
        <w:t>Cette annexe conserve uniquement les chiffres nécessaires pour relire la démonstration et reproduire le rapport. Le modèle relationnel complet est déjà présenté par les figures 3.15 à 3.18. Répéter ici les colonnes de chacune des 29 tables alourdirait le document sans améliorer l’analyse.</w:t>
      </w:r>
    </w:p>
    <w:p>
      <w:pPr>
        <w:pStyle w:val="Caption"/>
        <w:keepNext/>
        <w:spacing w:before="160" w:after="100"/>
        <w:jc w:val="left"/>
      </w:pPr>
      <w:bookmarkStart w:id="247" w:name="tab_d_1"/>
      <w:r>
        <w:rPr>
          <w:rFonts w:ascii="Times New Roman" w:hAnsi="Times New Roman"/>
          <w:b/>
          <w:color w:val="B1202D"/>
          <w:sz w:val="19"/>
        </w:rPr>
        <w:t>Tableau D.1</w:t>
      </w:r>
      <w:r>
        <w:rPr>
          <w:rFonts w:ascii="Times New Roman" w:hAnsi="Times New Roman"/>
          <w:color w:val="5F6368"/>
          <w:sz w:val="19"/>
        </w:rPr>
        <w:t xml:space="preserve"> : Repères vérifiables du prototype</w:t>
      </w:r>
      <w:bookmarkEnd w:id="247"/>
    </w:p>
    <w:tbl>
      <w:tblPr>
        <w:tblW w:type="auto" w:w="0"/>
        <w:jc w:val="center"/>
        <w:tblLayout w:type="fixed"/>
        <w:tblLook w:firstColumn="1" w:firstRow="1" w:lastColumn="0" w:lastRow="0" w:noHBand="0" w:noVBand="1" w:val="04A0"/>
      </w:tblPr>
      <w:tblGrid>
        <w:gridCol w:w="2850"/>
        <w:gridCol w:w="1200"/>
        <w:gridCol w:w="4850"/>
      </w:tblGrid>
      <w:tr>
        <w:trPr>
          <w:tblHeader w:val="true"/>
        </w:trPr>
        <w:tc>
          <w:tcPr>
            <w:tcW w:type="dxa" w:w="2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Repère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Valeur</w:t>
            </w:r>
          </w:p>
        </w:tc>
        <w:tc>
          <w:tcPr>
            <w:tcW w:type="dxa" w:w="4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Modèle applicatif</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29</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Tables SQLAlchemy, hors table technique de migration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Jeu de démonstration</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922</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Lignes applicatives seedées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Profils de table</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utilisé par les courbes et détecteurs</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Résultats de contrôle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Observations persistées et explicables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Tables surveillées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Actifs configurés dans les workspaces de démonstration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ouverts ou historisés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Contrôles de gouvernance IA</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Preuves du prototype observe-only</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r>
        <w:rPr>
          <w:rFonts w:ascii="Times New Roman" w:hAnsi="Times New Roman"/>
          <w:b/>
          <w:color w:val="202124"/>
          <w:sz w:val="25"/>
        </w:rPr>
        <w:t>D.1 Commandes de reproduction</w:t>
      </w:r>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vues du rapport. Les identifiants de démonstration restent dans le guide local.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5"/>
      <w:footerReference w:type="default" r:id="rId16"/>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DataWatch</dc:title>
  <dc:subject>Conception et réalisation d’une plateforme SaaS de surveillance de la qualité des données</dc:subject>
  <dc:creator>Mounir Gaiby</dc:creator>
  <cp:keywords>DataWatch, qualité des données, SaaS, intelligence artificielle, ISGA, Oyster</cp:keywords>
  <dc:description>Rapport de Projet de Fin d’Études, ISGA Casablanca</dc:description>
  <cp:lastModifiedBy/>
  <cp:revision>1</cp:revision>
  <dcterms:created xsi:type="dcterms:W3CDTF">2013-12-23T23:15:00Z</dcterms:created>
  <dcterms:modified xsi:type="dcterms:W3CDTF">2013-12-23T23:15:00Z</dcterms:modified>
  <cp:category/>
</cp:coreProperties>
</file>