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479"/>
        <w:gridCol w:w="4479"/>
      </w:tblGrid>
      <w:tr>
        <w:trPr>
          <w:tblHeader w:val="true"/>
        </w:trPr>
        <w:tc>
          <w:tcPr>
            <w:tcW w:type="dxa" w:w="4479"/>
            <w:vAlign w:val="center"/>
            <w:tcMar>
              <w:top w:w="40" w:type="dxa"/>
              <w:start w:w="100" w:type="dxa"/>
              <w:bottom w:w="40" w:type="dxa"/>
              <w:end w:w="100" w:type="dxa"/>
            </w:tcMar>
            <w:tcBorders>
              <w:top w:val="nil"/>
              <w:bottom w:val="nil"/>
              <w:start w:val="nil"/>
              <w:end w:val="nil"/>
              <w:insideH w:val="nil"/>
              <w:insideV w:val="nil"/>
            </w:tcBorders>
          </w:tcPr>
          <w:p>
            <w:pPr>
              <w:jc w:val="left"/>
            </w:pPr>
            <w:r>
              <w:drawing>
                <wp:inline xmlns:a="http://schemas.openxmlformats.org/drawingml/2006/main" xmlns:pic="http://schemas.openxmlformats.org/drawingml/2006/picture">
                  <wp:extent cx="1872000" cy="1100571"/>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1872000" cy="1100571"/>
                          </a:xfrm>
                          <a:prstGeom prst="rect"/>
                        </pic:spPr>
                      </pic:pic>
                    </a:graphicData>
                  </a:graphic>
                </wp:inline>
              </w:drawing>
            </w:r>
          </w:p>
        </w:tc>
        <w:tc>
          <w:tcPr>
            <w:tcW w:type="dxa" w:w="4479"/>
            <w:vAlign w:val="center"/>
            <w:tcMar>
              <w:top w:w="40" w:type="dxa"/>
              <w:start w:w="100" w:type="dxa"/>
              <w:bottom w:w="40" w:type="dxa"/>
              <w:end w:w="100" w:type="dxa"/>
            </w:tcMar>
            <w:tcBorders>
              <w:top w:val="nil"/>
              <w:bottom w:val="nil"/>
              <w:start w:val="nil"/>
              <w:end w:val="nil"/>
              <w:insideH w:val="nil"/>
              <w:insideV w:val="nil"/>
            </w:tcBorders>
          </w:tcPr>
          <w:p>
            <w:pPr>
              <w:jc w:val="right"/>
            </w:pPr>
            <w:r>
              <w:drawing>
                <wp:inline xmlns:a="http://schemas.openxmlformats.org/drawingml/2006/main" xmlns:pic="http://schemas.openxmlformats.org/drawingml/2006/picture">
                  <wp:extent cx="1980000" cy="523462"/>
                  <wp:docPr id="2" name="Picture 2" descr="Logo officiel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1980000" cy="523462"/>
                          </a:xfrm>
                          <a:prstGeom prst="rect"/>
                        </pic:spPr>
                      </pic:pic>
                    </a:graphicData>
                  </a:graphic>
                </wp:inline>
              </w:drawing>
            </w:r>
          </w:p>
        </w:tc>
      </w:tr>
    </w:tbl>
    <w:p>
      <w:pPr>
        <w:spacing w:after="40"/>
        <w:jc w:val="center"/>
      </w:pPr>
      <w:r>
        <w:rPr>
          <w:rFonts w:ascii="Times New Roman" w:hAnsi="Times New Roman"/>
          <w:b/>
          <w:color w:val="202124"/>
          <w:sz w:val="22"/>
        </w:rPr>
        <w:t>ISGA CASABLANCA</w:t>
      </w:r>
    </w:p>
    <w:p>
      <w:pPr>
        <w:spacing w:after="200"/>
        <w:jc w:val="center"/>
      </w:pPr>
      <w:r>
        <w:rPr>
          <w:rFonts w:ascii="Times New Roman" w:hAnsi="Times New Roman"/>
          <w:color w:val="5F6368"/>
          <w:sz w:val="20"/>
        </w:rPr>
        <w:t>3CI Big Data et Intelligence Artificielle</w:t>
      </w:r>
    </w:p>
    <w:p>
      <w:pPr>
        <w:spacing w:before="80" w:after="200"/>
        <w:jc w:val="center"/>
        <w:pBdr>
          <w:bottom w:val="single" w:sz="10" w:space="10" w:color="B1202D"/>
        </w:pBdr>
      </w:pPr>
      <w:r>
        <w:rPr>
          <w:rFonts w:ascii="Times New Roman" w:hAnsi="Times New Roman"/>
          <w:b/>
          <w:color w:val="B1202D"/>
          <w:sz w:val="26"/>
        </w:rPr>
        <w:t>PROJET DE FIN D’ÉTUDES</w:t>
      </w:r>
    </w:p>
    <w:p>
      <w:pPr>
        <w:spacing w:after="40"/>
        <w:jc w:val="center"/>
      </w:pPr>
      <w:r>
        <w:rPr>
          <w:rFonts w:ascii="Times New Roman" w:hAnsi="Times New Roman"/>
          <w:color w:val="202124"/>
          <w:sz w:val="21"/>
        </w:rPr>
        <w:t>Pour l’obtention du diplôme d’Ingénieur d’État</w:t>
      </w:r>
    </w:p>
    <w:p>
      <w:pPr>
        <w:spacing w:after="240"/>
        <w:jc w:val="center"/>
      </w:pPr>
      <w:r>
        <w:rPr>
          <w:rFonts w:ascii="Times New Roman" w:hAnsi="Times New Roman"/>
          <w:b/>
          <w:color w:val="202124"/>
          <w:sz w:val="21"/>
        </w:rPr>
        <w:t>Filière Big Data et Intelligence Artificielle</w:t>
      </w:r>
    </w:p>
    <w:p>
      <w:pPr>
        <w:spacing w:before="120" w:after="120"/>
        <w:jc w:val="center"/>
      </w:pPr>
      <w:r>
        <w:rPr>
          <w:rFonts w:ascii="Times New Roman" w:hAnsi="Times New Roman"/>
          <w:b/>
          <w:color w:val="202124"/>
          <w:sz w:val="48"/>
        </w:rPr>
        <w:t>Conception et réalisation de DataWatch</w:t>
      </w:r>
    </w:p>
    <w:p>
      <w:pPr>
        <w:spacing w:after="40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Pr. HANINE MOHAMED</w:t>
      </w:r>
    </w:p>
    <w:p>
      <w:pPr>
        <w:tabs>
          <w:tab w:pos="3515" w:val="left"/>
        </w:tabs>
        <w:spacing w:after="160"/>
        <w:ind w:left="142"/>
        <w:jc w:val="left"/>
      </w:pPr>
      <w:r>
        <w:rPr>
          <w:rFonts w:ascii="Times New Roman" w:hAnsi="Times New Roman"/>
          <w:b/>
          <w:color w:val="B1202D"/>
          <w:sz w:val="17"/>
        </w:rPr>
        <w:t>ENTREPRISE</w:t>
      </w:r>
      <w:r>
        <w:rPr>
          <w:rFonts w:ascii="Times New Roman" w:hAnsi="Times New Roman"/>
          <w:b/>
          <w:color w:val="202124"/>
          <w:sz w:val="21"/>
        </w:rPr>
        <w:tab/>
        <w:t>Oyster HR</w:t>
      </w:r>
    </w:p>
    <w:p>
      <w:pPr>
        <w:spacing w:before="4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Times New Roman" w:hAnsi="Times New Roman"/>
          <w:b/>
          <w:color w:val="202124"/>
          <w:sz w:val="38"/>
        </w:rPr>
        <w:t>I. Dédicace</w:t>
      </w:r>
      <w:bookmarkEnd w:id="100"/>
    </w:p>
    <w:p/>
    <w:p/>
    <w:p/>
    <w:p/>
    <w:p/>
    <w:p>
      <w:pPr>
        <w:spacing w:after="140"/>
        <w:jc w:val="center"/>
      </w:pPr>
      <w:r>
        <w:rPr>
          <w:rFonts w:ascii="Times New Roman" w:hAnsi="Times New Roman"/>
          <w:b w:val="0"/>
          <w:i/>
          <w:color w:val="202124"/>
          <w:sz w:val="24"/>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8"/>
        </w:rPr>
        <w:t>II. Remerciements</w:t>
      </w:r>
      <w:bookmarkEnd w:id="101"/>
    </w:p>
    <w:p>
      <w:pPr>
        <w:spacing w:after="140"/>
        <w:jc w:val="both"/>
      </w:pPr>
      <w:r>
        <w:rPr>
          <w:rFonts w:ascii="Times New Roman" w:hAnsi="Times New Roman"/>
          <w:b w:val="0"/>
          <w:i w:val="0"/>
          <w:color w:val="202124"/>
          <w:sz w:val="24"/>
        </w:rPr>
        <w:t>Avant toute chose, je remercie Allah, le Tout-Puissant, de m’avoir accordé la force, la patience et la persévérance nécessaires pour mener ce projet à son terme. Je tiens ensuite à exprimer ma reconnaissance à Pr.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40"/>
        <w:jc w:val="both"/>
      </w:pPr>
      <w:r>
        <w:rPr>
          <w:rFonts w:ascii="Times New Roman" w:hAnsi="Times New Roman"/>
          <w:b w:val="0"/>
          <w:i w:val="0"/>
          <w:color w:val="202124"/>
          <w:sz w:val="24"/>
        </w:rPr>
        <w:t>Je remercie mes collègues de l’équipe Payments chez Oyster pour les échanges professionnels qui nourrissent chaque jour ma manière de concevoir des systèmes fiables. Je remercie enfin ma famille et mes proches pour leur soutien, leurs encouragements et leur disponibilité. Leur confiance a compté dans l’aboutissement de ce projet de fin d’études.</w:t>
      </w:r>
    </w:p>
    <w:p>
      <w:pPr>
        <w:pStyle w:val="Heading1"/>
        <w:spacing w:after="400"/>
        <w:jc w:val="center"/>
      </w:pPr>
      <w:bookmarkStart w:id="102" w:name="front_15"/>
      <w:r>
        <w:rPr>
          <w:rFonts w:ascii="Times New Roman" w:hAnsi="Times New Roman"/>
          <w:b/>
          <w:color w:val="202124"/>
          <w:sz w:val="38"/>
        </w:rPr>
        <w:t>III. Résumé</w:t>
      </w:r>
      <w:bookmarkEnd w:id="102"/>
    </w:p>
    <w:p>
      <w:pPr>
        <w:spacing w:after="140"/>
        <w:jc w:val="both"/>
      </w:pPr>
      <w:r>
        <w:rPr>
          <w:rFonts w:ascii="Times New Roman" w:hAnsi="Times New Roman"/>
          <w:b w:val="0"/>
          <w:i w:val="0"/>
          <w:color w:val="202124"/>
          <w:sz w:val="24"/>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40"/>
        <w:jc w:val="both"/>
      </w:pPr>
      <w:r>
        <w:rPr>
          <w:rFonts w:ascii="Times New Roman" w:hAnsi="Times New Roman"/>
          <w:b w:val="0"/>
          <w:i w:val="0"/>
          <w:color w:val="202124"/>
          <w:sz w:val="24"/>
        </w:rPr>
        <w:t>Ce projet présente DataWatch, une plateforme SaaS multi-tenant de surveillance de la qualité des données. Son architecture répond aux quatre tensions du Big Data : le volume est condensé par des agrégats calculés sur la source, la variété passe par des contrats de connecteurs, la vélocité par une exécution Redis/Celery et la véracité par des profils horodatés. La détection associe règles métier, z-score, Isolation Forest et STL avant de créer des incidents priorisés. Une narration par grand modèle de langage propose ensuite un résumé, des hypothèses et des actions de diagnostic, sans retirer la décision à l’opérateur.</w:t>
      </w:r>
    </w:p>
    <w:p>
      <w:pPr>
        <w:spacing w:after="140"/>
        <w:jc w:val="both"/>
      </w:pPr>
      <w:r>
        <w:rPr>
          <w:rFonts w:ascii="Times New Roman" w:hAnsi="Times New Roman"/>
          <w:b w:val="0"/>
          <w:i w:val="0"/>
          <w:color w:val="202124"/>
          <w:sz w:val="24"/>
        </w:rPr>
        <w:t>La réalisation s’appuie sur FastAPI, PostgreSQL, Redis, Celery, React et Docker. Une validation locale reproductible a couvert les parcours de surveillance, d’alerte et de moniteurs, ainsi qu’un petit prototype de gouvernance IA en mode observation. Les résultats montrent la faisabilité d’une chaîne de détection, d’explication et d’alerte. Ils ne transforment ni la gouvernance expérimentale ni les preuves locales en garantie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8"/>
        </w:rPr>
        <w:t>IV. Abstract</w:t>
      </w:r>
      <w:bookmarkEnd w:id="103"/>
    </w:p>
    <w:p>
      <w:pPr>
        <w:spacing w:after="140"/>
        <w:jc w:val="both"/>
      </w:pPr>
      <w:r>
        <w:rPr>
          <w:rFonts w:ascii="Times New Roman" w:hAnsi="Times New Roman"/>
          <w:b w:val="0"/>
          <w:i w:val="0"/>
          <w:color w:val="202124"/>
          <w:sz w:val="24"/>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40"/>
        <w:jc w:val="both"/>
      </w:pPr>
      <w:r>
        <w:rPr>
          <w:rFonts w:ascii="Times New Roman" w:hAnsi="Times New Roman"/>
          <w:b w:val="0"/>
          <w:i w:val="0"/>
          <w:color w:val="202124"/>
          <w:sz w:val="24"/>
        </w:rPr>
        <w:t>This project presents DataWatch, a multi-tenant SaaS platform for data-quality monitoring. Its architecture addresses four recurring data-system pressures: volume through source-side aggregation, variety through connector contracts, velocity through Redis/Celery execution, and veracity through timestamped profiles. Detection combines business rules, z-scores, Isolation Forest and STL before prioritised incidents are created. A large-language-model layer then supplies a structured summary, plausible hypotheses and investigation actions while keeping the operator in control.</w:t>
      </w:r>
    </w:p>
    <w:p>
      <w:pPr>
        <w:spacing w:after="140"/>
        <w:jc w:val="both"/>
      </w:pPr>
      <w:r>
        <w:rPr>
          <w:rFonts w:ascii="Times New Roman" w:hAnsi="Times New Roman"/>
          <w:b w:val="0"/>
          <w:i w:val="0"/>
          <w:color w:val="202124"/>
          <w:sz w:val="24"/>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8"/>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2</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_Oyster" w:history="1">
            <w:r>
              <w:rPr>
                <w:rStyle w:val="Hyperlink"/>
                <w:rFonts w:ascii="Times New Roman" w:hAnsi="Times New Roman"/>
                <w:sz w:val="17"/>
                <w:color w:val="202124"/>
              </w:rPr>
              <w:t>1.2.1 Présentation d’Oyster</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Services_et_mod_le_op_rati" w:history="1">
            <w:r>
              <w:rPr>
                <w:rStyle w:val="Hyperlink"/>
                <w:rFonts w:ascii="Times New Roman" w:hAnsi="Times New Roman"/>
                <w:sz w:val="17"/>
                <w:color w:val="202124"/>
              </w:rPr>
              <w:t>1.2.2 Services et modèle opérationnel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3_Organisation_distribu_e" w:history="1">
            <w:r>
              <w:rPr>
                <w:rStyle w:val="Hyperlink"/>
                <w:rFonts w:ascii="Times New Roman" w:hAnsi="Times New Roman"/>
                <w:sz w:val="17"/>
                <w:color w:val="202124"/>
              </w:rPr>
              <w:t>1.2.3 Organisation distribuée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2_4_quipe_Payments_et_fonction" w:history="1">
            <w:r>
              <w:rPr>
                <w:rStyle w:val="Hyperlink"/>
                <w:rFonts w:ascii="Times New Roman" w:hAnsi="Times New Roman"/>
                <w:sz w:val="17"/>
                <w:color w:val="202124"/>
              </w:rPr>
              <w:t>1.2.4 Équipe Payments et fonction occupée</w:t>
            </w:r>
          </w:hyperlink>
          <w:r>
            <w:rPr>
              <w:rFonts w:ascii="Times New Roman" w:hAnsi="Times New Roman"/>
              <w:b w:val="0"/>
              <w:color w:val="202124"/>
              <w:sz w:val="17"/>
            </w:rPr>
            <w:tab/>
            <w:t>4</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7</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8</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9</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10</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11</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12</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12</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13</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14</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14</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16</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19</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22</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25</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30</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30</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31</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32</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35</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38</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45</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49</w:t>
          </w:r>
        </w:p>
        <w:p>
          <w:pPr>
            <w:tabs>
              <w:tab w:pos="8617" w:val="right" w:leader="dot"/>
            </w:tabs>
            <w:spacing w:before="0" w:after="24" w:line="240" w:lineRule="auto"/>
            <w:ind w:left="567"/>
            <w:jc w:val="left"/>
          </w:pPr>
          <w:hyperlink w:anchor="extra_4_4_4_4_Limites_du_prototype_de_" w:history="1">
            <w:r>
              <w:rPr>
                <w:rStyle w:val="Hyperlink"/>
                <w:rFonts w:ascii="Times New Roman" w:hAnsi="Times New Roman"/>
                <w:sz w:val="17"/>
                <w:color w:val="202124"/>
              </w:rPr>
              <w:t>4.4.4.4 Limites du prototype de gouvernance IA</w:t>
            </w:r>
          </w:hyperlink>
          <w:r>
            <w:rPr>
              <w:rFonts w:ascii="Times New Roman" w:hAnsi="Times New Roman"/>
              <w:b w:val="0"/>
              <w:color w:val="202124"/>
              <w:sz w:val="17"/>
            </w:rPr>
            <w:tab/>
            <w:t>52</w:t>
          </w:r>
        </w:p>
        <w:p>
          <w:pPr>
            <w:tabs>
              <w:tab w:pos="8617" w:val="right" w:leader="dot"/>
            </w:tabs>
            <w:spacing w:before="0" w:after="24" w:line="240" w:lineRule="auto"/>
            <w:ind w:left="567"/>
            <w:jc w:val="left"/>
          </w:pPr>
          <w:hyperlink w:anchor="extra_4_4_4_5_Portail_staff" w:history="1">
            <w:r>
              <w:rPr>
                <w:rStyle w:val="Hyperlink"/>
                <w:rFonts w:ascii="Times New Roman" w:hAnsi="Times New Roman"/>
                <w:sz w:val="17"/>
                <w:color w:val="202124"/>
              </w:rPr>
              <w:t>4.4.4.5 Portail staff</w:t>
            </w:r>
          </w:hyperlink>
          <w:r>
            <w:rPr>
              <w:rFonts w:ascii="Times New Roman" w:hAnsi="Times New Roman"/>
              <w:b w:val="0"/>
              <w:color w:val="202124"/>
              <w:sz w:val="17"/>
            </w:rPr>
            <w:tab/>
            <w:t>53</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56</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57</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57</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58</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59</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60</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60</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61</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62</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Procédure de démonstration</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Indicateurs à interpréter avec prudence</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Guide de captures d’écran pour la soutenance</w:t>
            </w:r>
          </w:hyperlink>
          <w:r>
            <w:rPr>
              <w:rFonts w:ascii="Times New Roman" w:hAnsi="Times New Roman"/>
              <w:b w:val="0"/>
              <w:color w:val="202124"/>
              <w:sz w:val="17"/>
            </w:rPr>
            <w:tab/>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62</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62</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62</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Repères techniques et reproduction</w:t>
            </w:r>
          </w:hyperlink>
          <w:r>
            <w:rPr>
              <w:rFonts w:ascii="Times New Roman" w:hAnsi="Times New Roman"/>
              <w:b w:val="0"/>
              <w:color w:val="202124"/>
              <w:sz w:val="17"/>
            </w:rPr>
            <w:tab/>
            <w:t>63</w:t>
          </w:r>
          <w:r>
            <w:fldChar w:fldCharType="end"/>
          </w:r>
        </w:p>
      </w:sdtContent>
    </w:sdt>
    <w:p>
      <w:pPr>
        <w:pStyle w:val="Heading1"/>
        <w:spacing w:after="400"/>
        <w:jc w:val="center"/>
      </w:pPr>
      <w:bookmarkStart w:id="105" w:name="front_figures"/>
      <w:r>
        <w:rPr>
          <w:rFonts w:ascii="Times New Roman" w:hAnsi="Times New Roman"/>
          <w:b/>
          <w:color w:val="202124"/>
          <w:sz w:val="38"/>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Identité visuelle officielle d’Oyster</w:t>
        </w:r>
      </w:hyperlink>
      <w:r>
        <w:rPr>
          <w:rFonts w:ascii="Times New Roman" w:hAnsi="Times New Roman"/>
          <w:color w:val="202124"/>
          <w:sz w:val="20"/>
        </w:rPr>
        <w:tab/>
        <w:t>3</w:t>
      </w:r>
    </w:p>
    <w:p>
      <w:pPr>
        <w:tabs>
          <w:tab w:pos="8617" w:val="right" w:leader="dot"/>
        </w:tabs>
        <w:spacing w:before="0" w:after="100"/>
        <w:ind w:left="283"/>
        <w:jc w:val="left"/>
      </w:pPr>
      <w:hyperlink w:anchor="fig_1_2" w:history="1">
        <w:r>
          <w:rPr>
            <w:rStyle w:val="Hyperlink"/>
            <w:rFonts w:ascii="Times New Roman" w:hAnsi="Times New Roman"/>
            <w:sz w:val="17"/>
            <w:color w:val="202124"/>
          </w:rPr>
          <w:t>Figure 1.2 : Planification du PFE du 1er juin au 31 août et continuité du produit</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14</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15</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16</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17</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17</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18</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18</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19</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20</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20</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21</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21</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23</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24</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26</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27</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28</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29</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33</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34</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35</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36</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37</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38</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39</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40</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41</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42</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43</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44</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45</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46</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47</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48</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49</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50</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51</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52</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53</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54</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55</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56</w:t>
      </w:r>
    </w:p>
    <w:p>
      <w:pPr>
        <w:pStyle w:val="Heading1"/>
        <w:spacing w:after="400"/>
        <w:jc w:val="center"/>
      </w:pPr>
      <w:bookmarkStart w:id="106" w:name="front_tables"/>
      <w:r>
        <w:rPr>
          <w:rFonts w:ascii="Times New Roman" w:hAnsi="Times New Roman"/>
          <w:b/>
          <w:color w:val="202124"/>
          <w:sz w:val="38"/>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Découpage des sprints et critères de sortie</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9</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12</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13</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32</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57</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Repères vérifiables du prototype</w:t>
        </w:r>
      </w:hyperlink>
      <w:r>
        <w:rPr>
          <w:rFonts w:ascii="Times New Roman" w:hAnsi="Times New Roman"/>
          <w:color w:val="202124"/>
          <w:sz w:val="20"/>
        </w:rPr>
        <w:tab/>
        <w:t>63</w:t>
      </w:r>
    </w:p>
    <w:p>
      <w:pPr>
        <w:pStyle w:val="Heading1"/>
        <w:spacing w:after="400"/>
        <w:jc w:val="center"/>
      </w:pPr>
      <w:bookmarkStart w:id="107" w:name="front_abbr"/>
      <w:r>
        <w:rPr>
          <w:rFonts w:ascii="Times New Roman" w:hAnsi="Times New Roman"/>
          <w:b/>
          <w:color w:val="202124"/>
          <w:sz w:val="38"/>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3"/>
          <w:footerReference w:type="default" r:id="rId14"/>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8"/>
        </w:rPr>
        <w:t>INTRODUCTION GÉNÉRALE</w:t>
      </w:r>
      <w:bookmarkEnd w:id="108"/>
    </w:p>
    <w:p>
      <w:pPr>
        <w:pStyle w:val="Heading2"/>
      </w:pPr>
      <w:bookmarkStart w:id="109" w:name="extra_1_1_Contexte_et_motivation"/>
      <w:r>
        <w:rPr>
          <w:rFonts w:ascii="Times New Roman" w:hAnsi="Times New Roman"/>
          <w:b/>
          <w:color w:val="202124"/>
          <w:sz w:val="29"/>
        </w:rPr>
        <w:t>1.1 Contexte et motivation</w:t>
      </w:r>
      <w:bookmarkEnd w:id="109"/>
    </w:p>
    <w:p>
      <w:pPr>
        <w:spacing w:after="140"/>
        <w:jc w:val="both"/>
      </w:pPr>
      <w:r>
        <w:rPr>
          <w:rFonts w:ascii="Times New Roman" w:hAnsi="Times New Roman"/>
          <w:b w:val="0"/>
          <w:i w:val="0"/>
          <w:color w:val="202124"/>
          <w:sz w:val="24"/>
        </w:rPr>
        <w:t>La transformation numérique a placé la donnée au centre des processus de pilotage, de recommandation et d’automatisation. Le problème change d’échelle dès que quatre tensions se croisent : le volume des tables, la variété des moteurs, la vélocité des mises à jour et la véracité des valeurs. Une rupture de fraîcheur, une dérive de schéma ou une poussée silencieuse de valeurs manquantes peut alors contaminer plusieurs usages avant d’être visible. DataWatch attaque ces quatre dimensions sans aspirer les lignes métier dans sa propre base : calcul agrégé au plus près de la source, contrat commun pour les connecteurs, exécution périodique distribuée et conservation de profils horodatés.</w:t>
      </w:r>
    </w:p>
    <w:p>
      <w:pPr>
        <w:spacing w:after="140"/>
        <w:jc w:val="both"/>
      </w:pPr>
      <w:r>
        <w:rPr>
          <w:rFonts w:ascii="Times New Roman" w:hAnsi="Times New Roman"/>
          <w:b w:val="0"/>
          <w:i w:val="0"/>
          <w:color w:val="202124"/>
          <w:sz w:val="24"/>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9"/>
        </w:rPr>
        <w:t>1.2 Problématique et démarche</w:t>
      </w:r>
      <w:bookmarkEnd w:id="110"/>
    </w:p>
    <w:p>
      <w:pPr>
        <w:spacing w:after="140"/>
        <w:jc w:val="both"/>
      </w:pPr>
      <w:r>
        <w:rPr>
          <w:rFonts w:ascii="Times New Roman" w:hAnsi="Times New Roman"/>
          <w:b w:val="0"/>
          <w:i w:val="0"/>
          <w:color w:val="202124"/>
          <w:sz w:val="24"/>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140"/>
        <w:jc w:val="both"/>
      </w:pPr>
      <w:r>
        <w:rPr>
          <w:rFonts w:ascii="Times New Roman" w:hAnsi="Times New Roman"/>
          <w:b w:val="0"/>
          <w:i w:val="0"/>
          <w:color w:val="202124"/>
          <w:sz w:val="24"/>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140"/>
        <w:jc w:val="both"/>
      </w:pPr>
      <w:r>
        <w:rPr>
          <w:rFonts w:ascii="Times New Roman" w:hAnsi="Times New Roman"/>
          <w:b w:val="0"/>
          <w:i w:val="0"/>
          <w:color w:val="202124"/>
          <w:sz w:val="24"/>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40"/>
        <w:jc w:val="both"/>
      </w:pPr>
      <w:r>
        <w:rPr>
          <w:rFonts w:ascii="Times New Roman" w:hAnsi="Times New Roman"/>
          <w:b w:val="0"/>
          <w:i w:val="0"/>
          <w:color w:val="202124"/>
          <w:sz w:val="24"/>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9"/>
        </w:rPr>
        <w:t>1.3 Résultats attendus</w:t>
      </w:r>
      <w:bookmarkEnd w:id="111"/>
    </w:p>
    <w:p>
      <w:pPr>
        <w:numPr>
          <w:ilvl w:val="0"/>
          <w:numId w:val="10"/>
        </w:numPr>
        <w:spacing w:after="80" w:line="288" w:lineRule="auto"/>
        <w:jc w:val="left"/>
      </w:pPr>
      <w:r>
        <w:rPr>
          <w:rFonts w:ascii="Times New Roman" w:hAnsi="Times New Roman"/>
          <w:color w:val="202124"/>
          <w:sz w:val="23"/>
        </w:rPr>
        <w:t>Une architecture multi-tenant séparant les données et les identités des organisations.</w:t>
      </w:r>
    </w:p>
    <w:p>
      <w:pPr>
        <w:numPr>
          <w:ilvl w:val="0"/>
          <w:numId w:val="10"/>
        </w:numPr>
        <w:spacing w:after="80" w:line="288" w:lineRule="auto"/>
        <w:jc w:val="left"/>
      </w:pPr>
      <w:r>
        <w:rPr>
          <w:rFonts w:ascii="Times New Roman" w:hAnsi="Times New Roman"/>
          <w:color w:val="202124"/>
          <w:sz w:val="23"/>
        </w:rPr>
        <w:t>Un profilage agrégé des tables avec métriques de volume, fraîcheur, schéma et colonnes.</w:t>
      </w:r>
    </w:p>
    <w:p>
      <w:pPr>
        <w:numPr>
          <w:ilvl w:val="0"/>
          <w:numId w:val="10"/>
        </w:numPr>
        <w:spacing w:after="80" w:line="288" w:lineRule="auto"/>
        <w:jc w:val="left"/>
      </w:pPr>
      <w:r>
        <w:rPr>
          <w:rFonts w:ascii="Times New Roman" w:hAnsi="Times New Roman"/>
          <w:color w:val="202124"/>
          <w:sz w:val="23"/>
        </w:rPr>
        <w:t>Une détection hybride : règles, z-score, Isolation Forest et STL lorsque l’historique est suffisant.</w:t>
      </w:r>
    </w:p>
    <w:p>
      <w:pPr>
        <w:numPr>
          <w:ilvl w:val="0"/>
          <w:numId w:val="10"/>
        </w:numPr>
        <w:spacing w:after="80" w:line="288" w:lineRule="auto"/>
        <w:jc w:val="left"/>
      </w:pPr>
      <w:r>
        <w:rPr>
          <w:rFonts w:ascii="Times New Roman" w:hAnsi="Times New Roman"/>
          <w:color w:val="202124"/>
          <w:sz w:val="23"/>
        </w:rPr>
        <w:t>Une gestion d’incidents, de narration IA et de routage d’alertes vérifiable localement.</w:t>
      </w:r>
    </w:p>
    <w:p>
      <w:pPr>
        <w:numPr>
          <w:ilvl w:val="0"/>
          <w:numId w:val="10"/>
        </w:numPr>
        <w:spacing w:after="80" w:line="288" w:lineRule="auto"/>
        <w:jc w:val="left"/>
      </w:pPr>
      <w:r>
        <w:rPr>
          <w:rFonts w:ascii="Times New Roman" w:hAnsi="Times New Roman"/>
          <w:color w:val="202124"/>
          <w:sz w:val="23"/>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9"/>
        </w:rPr>
        <w:t>1.4 Organisation du rapport</w:t>
      </w:r>
      <w:bookmarkEnd w:id="112"/>
    </w:p>
    <w:p>
      <w:pPr>
        <w:spacing w:after="140"/>
        <w:jc w:val="both"/>
      </w:pPr>
      <w:r>
        <w:rPr>
          <w:rFonts w:ascii="Times New Roman" w:hAnsi="Times New Roman"/>
          <w:b w:val="0"/>
          <w:i w:val="0"/>
          <w:color w:val="202124"/>
          <w:sz w:val="24"/>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8"/>
        </w:rPr>
        <w:t>CHAPITRE 1 : CADRE GÉNÉRAL ET CONDUITE DU PROJET</w:t>
      </w:r>
      <w:bookmarkEnd w:id="113"/>
    </w:p>
    <w:p>
      <w:pPr>
        <w:pStyle w:val="Heading2"/>
      </w:pPr>
      <w:bookmarkStart w:id="114" w:name="body_130"/>
      <w:r>
        <w:rPr>
          <w:rFonts w:ascii="Times New Roman" w:hAnsi="Times New Roman"/>
          <w:b/>
          <w:color w:val="202124"/>
          <w:sz w:val="29"/>
        </w:rPr>
        <w:t>1.1 Introduction</w:t>
      </w:r>
      <w:bookmarkEnd w:id="114"/>
    </w:p>
    <w:p>
      <w:pPr>
        <w:spacing w:after="140"/>
        <w:jc w:val="both"/>
      </w:pPr>
      <w:r>
        <w:rPr>
          <w:rFonts w:ascii="Times New Roman" w:hAnsi="Times New Roman"/>
          <w:b w:val="0"/>
          <w:i w:val="0"/>
          <w:color w:val="202124"/>
          <w:sz w:val="24"/>
        </w:rPr>
        <w:t>Ce chapitre présente Oyster, mon environnement professionnel, puis la problématique et la méthode de conduite retenues pour DataWatch. Le projet répond aux exigences du PFE de la filière 3CI Big Data et Intelligence Artificielle à l’ISGA Casablanca. Il a été mené en parallèle de mon emploi de Software Engineer dans l’équipe Payments d’Oyster.</w:t>
      </w:r>
    </w:p>
    <w:p>
      <w:pPr>
        <w:pStyle w:val="Heading2"/>
      </w:pPr>
      <w:bookmarkStart w:id="115" w:name="body_132"/>
      <w:r>
        <w:rPr>
          <w:rFonts w:ascii="Times New Roman" w:hAnsi="Times New Roman"/>
          <w:b/>
          <w:color w:val="202124"/>
          <w:sz w:val="29"/>
        </w:rPr>
        <w:t>1.2 Présentation de l’organisme d’accueil</w:t>
      </w:r>
      <w:bookmarkEnd w:id="115"/>
    </w:p>
    <w:p>
      <w:pPr>
        <w:pStyle w:val="Heading3"/>
      </w:pPr>
      <w:bookmarkStart w:id="116" w:name="extra_1_2_1_Pr_sentation_d_Oyster"/>
      <w:r>
        <w:rPr>
          <w:rFonts w:ascii="Times New Roman" w:hAnsi="Times New Roman"/>
          <w:b/>
          <w:color w:val="202124"/>
          <w:sz w:val="25"/>
        </w:rPr>
        <w:t>1.2.1 Présentation d’Oyster</w:t>
      </w:r>
      <w:bookmarkEnd w:id="116"/>
    </w:p>
    <w:p>
      <w:pPr>
        <w:spacing w:after="140"/>
        <w:jc w:val="both"/>
      </w:pPr>
      <w:r>
        <w:rPr>
          <w:rFonts w:ascii="Times New Roman" w:hAnsi="Times New Roman"/>
          <w:b w:val="0"/>
          <w:i w:val="0"/>
          <w:color w:val="202124"/>
          <w:sz w:val="24"/>
        </w:rPr>
        <w:t>Oyster est une entreprise technologique fondée en 2020. Son organisation est entièrement distribuée, avec plus de 600 collaborateurs répartis dans plus de 60 pays [13]. Sa plateforme accompagne l’emploi international dans plus de 180 pays. Elle réunit les opérations d’Employer of Record, la gestion des contractuels, la paie mondiale, les avantages sociaux et l’accompagnement des mobilités [14].</w:t>
      </w:r>
    </w:p>
    <w:p>
      <w:pPr>
        <w:keepNext/>
        <w:spacing w:after="80"/>
        <w:jc w:val="both"/>
      </w:pPr>
      <w:r>
        <w:rPr>
          <w:rFonts w:ascii="Times New Roman" w:hAnsi="Times New Roman"/>
          <w:b w:val="0"/>
          <w:i w:val="0"/>
          <w:color w:val="202124"/>
          <w:sz w:val="24"/>
        </w:rPr>
        <w:t>La figure 1.1 présente l’identité visuelle officielle d’Oyster, l’entreprise dans laquelle j’exerce mon activité professionnelle.</w:t>
      </w:r>
    </w:p>
    <w:p>
      <w:pPr>
        <w:keepNext/>
        <w:spacing w:before="160" w:after="0"/>
        <w:jc w:val="center"/>
      </w:pPr>
      <w:r>
        <w:drawing>
          <wp:inline xmlns:a="http://schemas.openxmlformats.org/drawingml/2006/main" xmlns:pic="http://schemas.openxmlformats.org/drawingml/2006/picture">
            <wp:extent cx="5688000" cy="1503765"/>
            <wp:docPr id="3" name="Picture 3" descr="Identité visuelle officielle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5688000" cy="1503765"/>
                    </a:xfrm>
                    <a:prstGeom prst="rect"/>
                  </pic:spPr>
                </pic:pic>
              </a:graphicData>
            </a:graphic>
          </wp:inline>
        </w:drawing>
      </w:r>
    </w:p>
    <w:p>
      <w:pPr>
        <w:pStyle w:val="Caption"/>
      </w:pPr>
      <w:bookmarkStart w:id="117" w:name="fig_1_1"/>
      <w:r>
        <w:rPr>
          <w:rFonts w:ascii="Times New Roman" w:hAnsi="Times New Roman"/>
          <w:b/>
          <w:color w:val="B1202D"/>
          <w:sz w:val="18"/>
        </w:rPr>
        <w:t>Figure 1.1</w:t>
      </w:r>
      <w:r>
        <w:rPr>
          <w:rFonts w:ascii="Times New Roman" w:hAnsi="Times New Roman"/>
          <w:color w:val="5F6368"/>
          <w:sz w:val="18"/>
        </w:rPr>
        <w:t xml:space="preserve"> : Identité visuelle officielle d’Oyster</w:t>
      </w:r>
      <w:bookmarkEnd w:id="117"/>
    </w:p>
    <w:p>
      <w:pPr>
        <w:keepLines/>
        <w:spacing w:after="180"/>
        <w:jc w:val="both"/>
      </w:pPr>
      <w:r>
        <w:rPr>
          <w:rFonts w:ascii="Times New Roman" w:hAnsi="Times New Roman"/>
          <w:b w:val="0"/>
          <w:i w:val="0"/>
          <w:color w:val="202124"/>
          <w:sz w:val="24"/>
        </w:rPr>
        <w:t>Ce repère distingue clairement le contexte d’emploi du périmètre technique du PFE. DataWatch reste un projet académique personnel. Il ne constitue ni un produit Oyster, ni une reproduction de ses systèmes internes.</w:t>
      </w:r>
    </w:p>
    <w:p>
      <w:pPr>
        <w:pStyle w:val="Heading3"/>
      </w:pPr>
      <w:bookmarkStart w:id="118" w:name="extra_1_2_2_Services_et_mod_le_op_rati"/>
      <w:r>
        <w:rPr>
          <w:rFonts w:ascii="Times New Roman" w:hAnsi="Times New Roman"/>
          <w:b/>
          <w:color w:val="202124"/>
          <w:sz w:val="25"/>
        </w:rPr>
        <w:t>1.2.2 Services et modèle opérationnel</w:t>
      </w:r>
      <w:bookmarkEnd w:id="118"/>
    </w:p>
    <w:p>
      <w:pPr>
        <w:spacing w:after="140"/>
        <w:jc w:val="both"/>
      </w:pPr>
      <w:r>
        <w:rPr>
          <w:rFonts w:ascii="Times New Roman" w:hAnsi="Times New Roman"/>
          <w:b w:val="0"/>
          <w:i w:val="0"/>
          <w:color w:val="202124"/>
          <w:sz w:val="24"/>
        </w:rPr>
        <w:t>Le produit Oyster relie des fonctions qui doivent rester cohérentes malgré la diversité des pays, des devises et des calendriers. Le parcours couvre l’embauche, les contrats, la collecte des variables de paie, les paiements, les remboursements, les avantages et le suivi administratif. Cette activité impose une forte discipline de traçabilité. Un statut de paiement ambigu, une donnée bancaire incomplète ou un calcul arrivé en retard peut interrompre une chaîne qui traverse plusieurs systèmes.</w:t>
      </w:r>
    </w:p>
    <w:p>
      <w:pPr>
        <w:pStyle w:val="Heading3"/>
      </w:pPr>
      <w:bookmarkStart w:id="119" w:name="extra_1_2_3_Organisation_distribu_e"/>
      <w:r>
        <w:rPr>
          <w:rFonts w:ascii="Times New Roman" w:hAnsi="Times New Roman"/>
          <w:b/>
          <w:color w:val="202124"/>
          <w:sz w:val="25"/>
        </w:rPr>
        <w:t>1.2.3 Organisation distribuée</w:t>
      </w:r>
      <w:bookmarkEnd w:id="119"/>
    </w:p>
    <w:p>
      <w:pPr>
        <w:spacing w:after="140"/>
        <w:jc w:val="both"/>
      </w:pPr>
      <w:r>
        <w:rPr>
          <w:rFonts w:ascii="Times New Roman" w:hAnsi="Times New Roman"/>
          <w:b w:val="0"/>
          <w:i w:val="0"/>
          <w:color w:val="202124"/>
          <w:sz w:val="24"/>
        </w:rPr>
        <w:t>Oyster travaille à distance par conception. Les équipes produit, ingénierie, opérations et support collaborent à travers les fuseaux horaires. Cette organisation rend les interfaces écrites, les journaux techniques et les responsabilités explicites particulièrement utiles. Une anomalie doit pouvoir être comprise sans dépendre de la mémoire d’une seule personne ni d’une réunion immédiate.</w:t>
      </w:r>
    </w:p>
    <w:p>
      <w:pPr>
        <w:pStyle w:val="Heading3"/>
      </w:pPr>
      <w:bookmarkStart w:id="120" w:name="extra_1_2_4_quipe_Payments_et_fonction"/>
      <w:r>
        <w:rPr>
          <w:rFonts w:ascii="Times New Roman" w:hAnsi="Times New Roman"/>
          <w:b/>
          <w:color w:val="202124"/>
          <w:sz w:val="25"/>
        </w:rPr>
        <w:t>1.2.4 Équipe Payments et fonction occupée</w:t>
      </w:r>
      <w:bookmarkEnd w:id="120"/>
    </w:p>
    <w:p>
      <w:pPr>
        <w:spacing w:after="140"/>
        <w:jc w:val="both"/>
      </w:pPr>
      <w:r>
        <w:rPr>
          <w:rFonts w:ascii="Times New Roman" w:hAnsi="Times New Roman"/>
          <w:b w:val="0"/>
          <w:i w:val="0"/>
          <w:color w:val="202124"/>
          <w:sz w:val="24"/>
        </w:rPr>
        <w:t>J’occupe chez Oyster le poste de Software Engineer au sein de l’équipe Payments. Mon travail concerne les fonctionnalités de paiement, leur fiabilité, leur intégration et leur maintenance. Je traite les tâches techniques liées aux flux de paiement, aux statuts, aux erreurs, aux contrôles et aux évolutions attendues par le produit. Il s’agit de mon emploi actuel. Ce PFE n’est pas un stage.</w:t>
      </w:r>
    </w:p>
    <w:p>
      <w:pPr>
        <w:spacing w:after="140"/>
        <w:jc w:val="both"/>
      </w:pPr>
      <w:r>
        <w:rPr>
          <w:rFonts w:ascii="Times New Roman" w:hAnsi="Times New Roman"/>
          <w:b w:val="0"/>
          <w:i w:val="0"/>
          <w:color w:val="202124"/>
          <w:sz w:val="24"/>
        </w:rPr>
        <w:t>Cette expérience a orienté mon regard sur DataWatch. Dans un domaine sensible comme les paiements, un incident utile doit conserver les faits, expliquer son origine et montrer ce qui a changé. DataWatch transpose cette exigence vers la qualité des données. Le projet reste toutefois séparé d’Oyster. Il ne reprend aucun code interne, aucune donnée confidentielle et aucune architecture propriétaire de l’entreprise.</w:t>
      </w:r>
    </w:p>
    <w:p>
      <w:pPr>
        <w:spacing w:after="140"/>
        <w:jc w:val="both"/>
      </w:pPr>
      <w:r>
        <w:rPr>
          <w:rFonts w:ascii="Times New Roman" w:hAnsi="Times New Roman"/>
          <w:b w:val="0"/>
          <w:i w:val="0"/>
          <w:color w:val="202124"/>
          <w:sz w:val="24"/>
        </w:rPr>
        <w:t>Oyster constitue l’entreprise d’accueil au sens professionnel du rapport. DataWatch demeure un projet de fin d’études distinct de mon activité salariée. Cette séparation protège les informations internes de l’entreprise et permet d’évaluer le projet sur ses propres preuves, son code, ses tests et sa démonstration reproductible.</w:t>
      </w:r>
    </w:p>
    <w:p>
      <w:pPr>
        <w:pStyle w:val="Heading2"/>
      </w:pPr>
      <w:bookmarkStart w:id="121" w:name="body_134"/>
      <w:r>
        <w:rPr>
          <w:rFonts w:ascii="Times New Roman" w:hAnsi="Times New Roman"/>
          <w:b/>
          <w:color w:val="202124"/>
          <w:sz w:val="29"/>
        </w:rPr>
        <w:t>1.3 Présentation du projet</w:t>
      </w:r>
      <w:bookmarkEnd w:id="121"/>
    </w:p>
    <w:p>
      <w:pPr>
        <w:pStyle w:val="Heading3"/>
      </w:pPr>
      <w:bookmarkStart w:id="122" w:name="extra_1_3_1_Contexte_m_tier"/>
      <w:r>
        <w:rPr>
          <w:rFonts w:ascii="Times New Roman" w:hAnsi="Times New Roman"/>
          <w:b/>
          <w:color w:val="202124"/>
          <w:sz w:val="25"/>
        </w:rPr>
        <w:t>1.3.1 Contexte métier</w:t>
      </w:r>
      <w:bookmarkEnd w:id="122"/>
    </w:p>
    <w:p>
      <w:pPr>
        <w:spacing w:after="140"/>
        <w:jc w:val="both"/>
      </w:pPr>
      <w:r>
        <w:rPr>
          <w:rFonts w:ascii="Times New Roman" w:hAnsi="Times New Roman"/>
          <w:b w:val="0"/>
          <w:i w:val="0"/>
          <w:color w:val="202124"/>
          <w:sz w:val="24"/>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3" w:name="extra_1_3_2_P_rim_tre_fonctionnel"/>
      <w:r>
        <w:rPr>
          <w:rFonts w:ascii="Times New Roman" w:hAnsi="Times New Roman"/>
          <w:b/>
          <w:color w:val="202124"/>
          <w:sz w:val="25"/>
        </w:rPr>
        <w:t>1.3.2 Périmètre fonctionnel</w:t>
      </w:r>
      <w:bookmarkEnd w:id="123"/>
    </w:p>
    <w:p>
      <w:pPr>
        <w:spacing w:after="140"/>
        <w:jc w:val="both"/>
      </w:pPr>
      <w:r>
        <w:rPr>
          <w:rFonts w:ascii="Times New Roman" w:hAnsi="Times New Roman"/>
          <w:b w:val="0"/>
          <w:i w:val="0"/>
          <w:color w:val="202124"/>
          <w:sz w:val="24"/>
        </w:rPr>
        <w:t>Le périmètre couvre l’authentification par organisation, le registre de sources hétérogènes, la découverte des schémas, la sélection des tables, le profilage périodique et la gestion complète des incidents. Le cœur Big Data se trouve dans ce passage de sources variées à des profils compacts, calculés par agrégats et traités hors requête web par une file de tâches. Le cœur IA combine règles déterministes, z-score, Isolation Forest et décomposition STL. La narration générative intervient ensuite, sur un contexte borné. Les moniteurs typés et le petit prototype de gouvernance IA en mode observation complètent cette chaîne. La facturation réelle, les garanties de disponibilité et l’exploitation à grande échelle restent hors du périmètre de preuve du PFE.</w:t>
      </w:r>
    </w:p>
    <w:p>
      <w:pPr>
        <w:pStyle w:val="Heading3"/>
      </w:pPr>
      <w:bookmarkStart w:id="124" w:name="extra_1_3_3_Utilisateurs_cibles"/>
      <w:r>
        <w:rPr>
          <w:rFonts w:ascii="Times New Roman" w:hAnsi="Times New Roman"/>
          <w:b/>
          <w:color w:val="202124"/>
          <w:sz w:val="25"/>
        </w:rPr>
        <w:t>1.3.3 Utilisateurs cibles</w:t>
      </w:r>
      <w:bookmarkEnd w:id="124"/>
    </w:p>
    <w:p>
      <w:pPr>
        <w:spacing w:after="140"/>
        <w:jc w:val="both"/>
      </w:pPr>
      <w:r>
        <w:rPr>
          <w:rFonts w:ascii="Times New Roman" w:hAnsi="Times New Roman"/>
          <w:b w:val="0"/>
          <w:i w:val="0"/>
          <w:color w:val="202124"/>
          <w:sz w:val="24"/>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5" w:name="body_135"/>
      <w:r>
        <w:rPr>
          <w:rFonts w:ascii="Times New Roman" w:hAnsi="Times New Roman"/>
          <w:b/>
          <w:color w:val="202124"/>
          <w:sz w:val="25"/>
        </w:rPr>
        <w:t>1.3.4 Problématique</w:t>
      </w:r>
      <w:bookmarkEnd w:id="125"/>
    </w:p>
    <w:p>
      <w:pPr>
        <w:spacing w:after="140"/>
        <w:jc w:val="both"/>
      </w:pPr>
      <w:r>
        <w:rPr>
          <w:rFonts w:ascii="Times New Roman" w:hAnsi="Times New Roman"/>
          <w:b w:val="0"/>
          <w:i w:val="0"/>
          <w:color w:val="202124"/>
          <w:sz w:val="24"/>
        </w:rPr>
        <w:t>Trois difficultés structurent le besoin. Premièrement, les systèmes sources utilisent des dialectes et des capacités différentes.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140"/>
        <w:jc w:val="both"/>
      </w:pPr>
      <w:r>
        <w:rPr>
          <w:rFonts w:ascii="Times New Roman" w:hAnsi="Times New Roman"/>
          <w:b w:val="0"/>
          <w:i w:val="0"/>
          <w:color w:val="202124"/>
          <w:sz w:val="24"/>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6" w:name="body_137"/>
      <w:r>
        <w:rPr>
          <w:rFonts w:ascii="Times New Roman" w:hAnsi="Times New Roman"/>
          <w:b/>
          <w:color w:val="202124"/>
          <w:sz w:val="25"/>
        </w:rPr>
        <w:t>1.3.5 Solution proposée</w:t>
      </w:r>
      <w:bookmarkEnd w:id="126"/>
    </w:p>
    <w:p>
      <w:pPr>
        <w:spacing w:after="140"/>
        <w:jc w:val="both"/>
      </w:pPr>
      <w:r>
        <w:rPr>
          <w:rFonts w:ascii="Times New Roman" w:hAnsi="Times New Roman"/>
          <w:b w:val="0"/>
          <w:i w:val="0"/>
          <w:color w:val="202124"/>
          <w:sz w:val="24"/>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Le LLM l’explique. Une narration indisponible ou invalide ne doit jamais effacer le signal technique ni empêcher l’opérateur d’accéder aux mesures.</w:t>
            </w:r>
          </w:p>
        </w:tc>
      </w:tr>
    </w:tbl>
    <w:p>
      <w:pPr>
        <w:spacing w:after="40"/>
      </w:pPr>
    </w:p>
    <w:p>
      <w:pPr>
        <w:spacing w:after="140"/>
        <w:jc w:val="both"/>
      </w:pPr>
      <w:r>
        <w:rPr>
          <w:rFonts w:ascii="Times New Roman" w:hAnsi="Times New Roman"/>
          <w:b w:val="0"/>
          <w:i w:val="0"/>
          <w:color w:val="202124"/>
          <w:sz w:val="24"/>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7" w:name="body_139"/>
      <w:r>
        <w:rPr>
          <w:rFonts w:ascii="Times New Roman" w:hAnsi="Times New Roman"/>
          <w:b/>
          <w:color w:val="202124"/>
          <w:sz w:val="29"/>
        </w:rPr>
        <w:t>1.4 Méthodologie de travail</w:t>
      </w:r>
      <w:bookmarkEnd w:id="127"/>
    </w:p>
    <w:p>
      <w:pPr>
        <w:pStyle w:val="Heading3"/>
      </w:pPr>
      <w:bookmarkStart w:id="128" w:name="body_140"/>
      <w:r>
        <w:rPr>
          <w:rFonts w:ascii="Times New Roman" w:hAnsi="Times New Roman"/>
          <w:b/>
          <w:color w:val="202124"/>
          <w:sz w:val="25"/>
        </w:rPr>
        <w:t>1.4.1 Méthode Agile</w:t>
      </w:r>
      <w:bookmarkEnd w:id="128"/>
    </w:p>
    <w:p>
      <w:pPr>
        <w:spacing w:after="140"/>
        <w:jc w:val="both"/>
      </w:pPr>
      <w:r>
        <w:rPr>
          <w:rFonts w:ascii="Times New Roman" w:hAnsi="Times New Roman"/>
          <w:b w:val="0"/>
          <w:i w:val="0"/>
          <w:color w:val="202124"/>
          <w:sz w:val="24"/>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140"/>
        <w:jc w:val="both"/>
      </w:pPr>
      <w:r>
        <w:rPr>
          <w:rFonts w:ascii="Times New Roman" w:hAnsi="Times New Roman"/>
          <w:b w:val="0"/>
          <w:i w:val="0"/>
          <w:color w:val="202124"/>
          <w:sz w:val="24"/>
        </w:rPr>
        <w:t>La conduite du projet s’appuie sur une démarche Agile courte et itérative. Les besoins sont priorisés, implémentés dans une verticale complète, puis vérifiés par des tests et une démonstration avant d’ouvrir l’incrément suivant.</w:t>
      </w:r>
    </w:p>
    <w:p>
      <w:pPr>
        <w:spacing w:after="140"/>
        <w:jc w:val="both"/>
      </w:pPr>
      <w:r>
        <w:rPr>
          <w:rFonts w:ascii="Times New Roman" w:hAnsi="Times New Roman"/>
          <w:b w:val="0"/>
          <w:i w:val="0"/>
          <w:color w:val="202124"/>
          <w:sz w:val="24"/>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9" w:name="body_143"/>
      <w:r>
        <w:rPr>
          <w:rFonts w:ascii="Times New Roman" w:hAnsi="Times New Roman"/>
          <w:b/>
          <w:color w:val="202124"/>
          <w:sz w:val="25"/>
        </w:rPr>
        <w:t>1.4.2 Organisation en sprints</w:t>
      </w:r>
      <w:bookmarkEnd w:id="129"/>
    </w:p>
    <w:p>
      <w:pPr>
        <w:pStyle w:val="Caption"/>
        <w:keepNext/>
        <w:spacing w:before="160" w:after="100"/>
        <w:jc w:val="left"/>
      </w:pPr>
      <w:bookmarkStart w:id="130" w:name="tab_1_1"/>
      <w:r>
        <w:rPr>
          <w:rFonts w:ascii="Times New Roman" w:hAnsi="Times New Roman"/>
          <w:b/>
          <w:color w:val="B1202D"/>
          <w:sz w:val="19"/>
        </w:rPr>
        <w:t>Tableau 1.1</w:t>
      </w:r>
      <w:r>
        <w:rPr>
          <w:rFonts w:ascii="Times New Roman" w:hAnsi="Times New Roman"/>
          <w:color w:val="5F6368"/>
          <w:sz w:val="19"/>
        </w:rPr>
        <w:t xml:space="preserve"> : Découpage des sprints et critères de sortie</w:t>
      </w:r>
      <w:bookmarkEnd w:id="130"/>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31" w:name="body_145"/>
      <w:r>
        <w:rPr>
          <w:rFonts w:ascii="Times New Roman" w:hAnsi="Times New Roman"/>
          <w:b/>
          <w:color w:val="202124"/>
          <w:sz w:val="25"/>
        </w:rPr>
        <w:t>1.4.3 Diagramme de Gantt et jalons</w:t>
      </w:r>
      <w:bookmarkEnd w:id="131"/>
    </w:p>
    <w:p>
      <w:pPr>
        <w:spacing w:after="140"/>
        <w:jc w:val="both"/>
      </w:pPr>
      <w:r>
        <w:rPr>
          <w:rFonts w:ascii="Times New Roman" w:hAnsi="Times New Roman"/>
          <w:b w:val="0"/>
          <w:i w:val="0"/>
          <w:color w:val="202124"/>
          <w:sz w:val="24"/>
        </w:rPr>
        <w:t>Le calendrier ne simule pas une succession parfaitement linéaire. L’architecture démarre pendant le cadrage. La détection chevauche le profilage. Les tests commencent avant la fermeture fonctionnelle. La ligne rouge du 31 août borne la période évaluée. Au-delà, la barre grise assume le statut réel du projet : le produit continue.</w:t>
      </w:r>
    </w:p>
    <w:p>
      <w:pPr>
        <w:keepNext/>
        <w:spacing w:after="80"/>
        <w:jc w:val="both"/>
      </w:pPr>
      <w:r>
        <w:rPr>
          <w:rFonts w:ascii="Times New Roman" w:hAnsi="Times New Roman"/>
          <w:b w:val="0"/>
          <w:i w:val="0"/>
          <w:color w:val="202124"/>
          <w:sz w:val="24"/>
        </w:rPr>
        <w:t>La figure 1.2 replace les travaux dans les trois mois retenus pour le PFE, du 1er juin au 31 août, puis distingue la continuité du produit après cette échéance académique.</w:t>
      </w:r>
    </w:p>
    <w:p>
      <w:pPr>
        <w:keepNext/>
        <w:spacing w:before="160" w:after="0"/>
        <w:jc w:val="center"/>
      </w:pPr>
      <w:r>
        <w:drawing>
          <wp:inline xmlns:a="http://schemas.openxmlformats.org/drawingml/2006/main" xmlns:pic="http://schemas.openxmlformats.org/drawingml/2006/picture">
            <wp:extent cx="5688000" cy="3223691"/>
            <wp:docPr id="4" name="Picture 4"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7"/>
                    <a:stretch>
                      <a:fillRect/>
                    </a:stretch>
                  </pic:blipFill>
                  <pic:spPr>
                    <a:xfrm>
                      <a:off x="0" y="0"/>
                      <a:ext cx="5688000" cy="3223691"/>
                    </a:xfrm>
                    <a:prstGeom prst="rect"/>
                  </pic:spPr>
                </pic:pic>
              </a:graphicData>
            </a:graphic>
          </wp:inline>
        </w:drawing>
      </w:r>
    </w:p>
    <w:p>
      <w:pPr>
        <w:pStyle w:val="Caption"/>
      </w:pPr>
      <w:bookmarkStart w:id="132" w:name="fig_1_2"/>
      <w:r>
        <w:rPr>
          <w:rFonts w:ascii="Times New Roman" w:hAnsi="Times New Roman"/>
          <w:b/>
          <w:color w:val="B1202D"/>
          <w:sz w:val="18"/>
        </w:rPr>
        <w:t>Figure 1.2</w:t>
      </w:r>
      <w:r>
        <w:rPr>
          <w:rFonts w:ascii="Times New Roman" w:hAnsi="Times New Roman"/>
          <w:color w:val="5F6368"/>
          <w:sz w:val="18"/>
        </w:rPr>
        <w:t xml:space="preserve"> : Planification du PFE du 1er juin au 31 août et continuité du produit</w:t>
      </w:r>
      <w:bookmarkEnd w:id="132"/>
    </w:p>
    <w:p>
      <w:pPr>
        <w:keepLines/>
        <w:spacing w:after="180"/>
        <w:jc w:val="both"/>
      </w:pPr>
      <w:r>
        <w:rPr>
          <w:rFonts w:ascii="Times New Roman" w:hAnsi="Times New Roman"/>
          <w:b w:val="0"/>
          <w:i w:val="0"/>
          <w:color w:val="202124"/>
          <w:sz w:val="24"/>
        </w:rPr>
        <w:t>La lecture horizontale révèle des chevauchements assumés : le profilage commence avant la clôture de l’architecture, tandis que les tests accompagnent les derniers incréments. Le jalon du 31 août ferme l’évaluation du PFE, pas le développement de DataWatch.</w:t>
      </w:r>
    </w:p>
    <w:p>
      <w:pPr>
        <w:spacing w:after="140"/>
        <w:jc w:val="both"/>
      </w:pPr>
      <w:r>
        <w:rPr>
          <w:rFonts w:ascii="Times New Roman" w:hAnsi="Times New Roman"/>
          <w:b w:val="0"/>
          <w:i w:val="0"/>
          <w:color w:val="202124"/>
          <w:sz w:val="24"/>
        </w:rPr>
        <w:t>Le planning associe chaque incrément à un objectif vérifiable et à un livrable exploitable dans la démonstration. La figure 1.2 synthétise les sept sprints, leurs chevauchements et leurs principaux jalons.</w:t>
      </w:r>
    </w:p>
    <w:p>
      <w:pPr>
        <w:spacing w:after="140"/>
        <w:jc w:val="both"/>
      </w:pPr>
      <w:r>
        <w:rPr>
          <w:rFonts w:ascii="Times New Roman" w:hAnsi="Times New Roman"/>
          <w:b w:val="0"/>
          <w:i w:val="0"/>
          <w:color w:val="202124"/>
          <w:sz w:val="24"/>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40"/>
        <w:jc w:val="both"/>
      </w:pPr>
      <w:r>
        <w:rPr>
          <w:rFonts w:ascii="Times New Roman" w:hAnsi="Times New Roman"/>
          <w:b w:val="0"/>
          <w:i w:val="0"/>
          <w:color w:val="202124"/>
          <w:sz w:val="24"/>
        </w:rPr>
        <w:t>Le diagramme de Gantt de la figure 1.2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3" w:name="body_155"/>
      <w:r>
        <w:rPr>
          <w:rFonts w:ascii="Times New Roman" w:hAnsi="Times New Roman"/>
          <w:b/>
          <w:color w:val="202124"/>
          <w:sz w:val="29"/>
        </w:rPr>
        <w:t>1.5 Conclusion</w:t>
      </w:r>
      <w:bookmarkEnd w:id="133"/>
    </w:p>
    <w:p>
      <w:pPr>
        <w:spacing w:after="140"/>
        <w:jc w:val="both"/>
      </w:pPr>
      <w:r>
        <w:rPr>
          <w:rFonts w:ascii="Times New Roman" w:hAnsi="Times New Roman"/>
          <w:b w:val="0"/>
          <w:i w:val="0"/>
          <w:color w:val="202124"/>
          <w:sz w:val="24"/>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4" w:name="body_157"/>
      <w:r>
        <w:rPr>
          <w:rFonts w:ascii="Times New Roman" w:hAnsi="Times New Roman"/>
          <w:b/>
          <w:color w:val="202124"/>
          <w:sz w:val="38"/>
        </w:rPr>
        <w:t>CHAPITRE 2 : ÉTAT DE L’ART ET POSITIONNEMENT</w:t>
      </w:r>
      <w:bookmarkEnd w:id="134"/>
    </w:p>
    <w:p>
      <w:pPr>
        <w:pStyle w:val="Heading2"/>
      </w:pPr>
      <w:bookmarkStart w:id="135" w:name="body_158"/>
      <w:r>
        <w:rPr>
          <w:rFonts w:ascii="Times New Roman" w:hAnsi="Times New Roman"/>
          <w:b/>
          <w:color w:val="202124"/>
          <w:sz w:val="29"/>
        </w:rPr>
        <w:t>2.1 Introduction</w:t>
      </w:r>
      <w:bookmarkEnd w:id="135"/>
    </w:p>
    <w:p>
      <w:pPr>
        <w:spacing w:after="140"/>
        <w:jc w:val="both"/>
      </w:pPr>
      <w:r>
        <w:rPr>
          <w:rFonts w:ascii="Times New Roman" w:hAnsi="Times New Roman"/>
          <w:b w:val="0"/>
          <w:i w:val="0"/>
          <w:color w:val="202124"/>
          <w:sz w:val="24"/>
        </w:rPr>
        <w:t>La surveillance de qualité des données recouvre plusieurs familles de mécanismes : validation déclarative, contrôle statistique, apprentissage automatique et observabilité opérationnelle. Aucune de ces familles ne répond seule à l’ensemble des besoins. Leur combinaison doit rester explicable et gouvernable.</w:t>
      </w:r>
    </w:p>
    <w:p>
      <w:pPr>
        <w:pStyle w:val="Heading2"/>
      </w:pPr>
      <w:bookmarkStart w:id="136" w:name="body_160"/>
      <w:r>
        <w:rPr>
          <w:rFonts w:ascii="Times New Roman" w:hAnsi="Times New Roman"/>
          <w:b/>
          <w:color w:val="202124"/>
          <w:sz w:val="29"/>
        </w:rPr>
        <w:t>2.2 Approches existantes</w:t>
      </w:r>
      <w:bookmarkEnd w:id="136"/>
    </w:p>
    <w:p>
      <w:pPr>
        <w:pStyle w:val="Heading3"/>
      </w:pPr>
      <w:bookmarkStart w:id="137" w:name="extra_2_2_1_Contr_les_d_claratifs"/>
      <w:r>
        <w:rPr>
          <w:rFonts w:ascii="Times New Roman" w:hAnsi="Times New Roman"/>
          <w:b/>
          <w:color w:val="202124"/>
          <w:sz w:val="25"/>
        </w:rPr>
        <w:t>2.2.1 Contrôles déclaratifs</w:t>
      </w:r>
      <w:bookmarkEnd w:id="137"/>
    </w:p>
    <w:p>
      <w:pPr>
        <w:spacing w:after="140"/>
        <w:jc w:val="both"/>
      </w:pPr>
      <w:r>
        <w:rPr>
          <w:rFonts w:ascii="Times New Roman" w:hAnsi="Times New Roman"/>
          <w:b w:val="0"/>
          <w:i w:val="0"/>
          <w:color w:val="202124"/>
          <w:sz w:val="24"/>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8" w:name="extra_2_2_2_D_tection_statistique_et_a"/>
      <w:r>
        <w:rPr>
          <w:rFonts w:ascii="Times New Roman" w:hAnsi="Times New Roman"/>
          <w:b/>
          <w:color w:val="202124"/>
          <w:sz w:val="25"/>
        </w:rPr>
        <w:t>2.2.2 Détection statistique et apprentissage non supervisé</w:t>
      </w:r>
      <w:bookmarkEnd w:id="138"/>
    </w:p>
    <w:p>
      <w:pPr>
        <w:spacing w:after="140"/>
        <w:jc w:val="both"/>
      </w:pPr>
      <w:r>
        <w:rPr>
          <w:rFonts w:ascii="Times New Roman" w:hAnsi="Times New Roman"/>
          <w:b w:val="0"/>
          <w:i w:val="0"/>
          <w:color w:val="202124"/>
          <w:sz w:val="24"/>
        </w:rPr>
        <w:t>Les seuils statiques sont insuffisants lorsque le volume suit une tendance ou une saisonnalité. Le z-score compare une observation à une moyenne et un écart-type historiques. Isolation Forest repère des observations rares dans un espace multivarié. STL sépare tendance, saison et résidu. Ces méthodes réduisent l’effort de configuration, mais nécessitent un historique minimal et peuvent produire des faux positifs lorsque le contexte métier change.</w:t>
      </w:r>
    </w:p>
    <w:p>
      <w:pPr>
        <w:pStyle w:val="Heading3"/>
      </w:pPr>
      <w:bookmarkStart w:id="139" w:name="extra_2_2_3_Observabilit_et_gestion_d_"/>
      <w:r>
        <w:rPr>
          <w:rFonts w:ascii="Times New Roman" w:hAnsi="Times New Roman"/>
          <w:b/>
          <w:color w:val="202124"/>
          <w:sz w:val="25"/>
        </w:rPr>
        <w:t>2.2.3 Observabilité et gestion d’incidents</w:t>
      </w:r>
      <w:bookmarkEnd w:id="139"/>
    </w:p>
    <w:p>
      <w:pPr>
        <w:spacing w:after="140"/>
        <w:jc w:val="both"/>
      </w:pPr>
      <w:r>
        <w:rPr>
          <w:rFonts w:ascii="Times New Roman" w:hAnsi="Times New Roman"/>
          <w:b w:val="0"/>
          <w:i w:val="0"/>
          <w:color w:val="202124"/>
          <w:sz w:val="24"/>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40"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40"/>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40"/>
        <w:jc w:val="both"/>
      </w:pPr>
      <w:r>
        <w:rPr>
          <w:rFonts w:ascii="Times New Roman" w:hAnsi="Times New Roman"/>
          <w:b w:val="0"/>
          <w:i w:val="0"/>
          <w:color w:val="202124"/>
          <w:sz w:val="24"/>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41" w:name="body_163"/>
      <w:r>
        <w:rPr>
          <w:rFonts w:ascii="Times New Roman" w:hAnsi="Times New Roman"/>
          <w:b/>
          <w:color w:val="202124"/>
          <w:sz w:val="29"/>
        </w:rPr>
        <w:t>2.3 Originalité de la solution</w:t>
      </w:r>
      <w:bookmarkEnd w:id="141"/>
    </w:p>
    <w:p>
      <w:pPr>
        <w:spacing w:after="140"/>
        <w:jc w:val="both"/>
      </w:pPr>
      <w:r>
        <w:rPr>
          <w:rFonts w:ascii="Times New Roman" w:hAnsi="Times New Roman"/>
          <w:b w:val="0"/>
          <w:i w:val="0"/>
          <w:color w:val="202124"/>
          <w:sz w:val="24"/>
        </w:rPr>
        <w:t>Le positionnement n’est pas celui d’un remplacement complet des outils industriels. DataWatch assemble plutôt, dans un prototype SaaS cohérent, des briques rarement montrées ensemble dans un PFE : diversité des sources, profilage agrégé, exécution asynchrone, détection hybride et traitement opérationnel de l’incident. Le volume n’est pas déplacé inutilement. Il est condensé en métriques sur la source. La variété est rendue explicite par un registre de capacités. La vélocité est absorbée par la planification et les workers. La véracité, enfin, devient une suite de preuves datées au lieu d’un simple voyant rouge. La narration IA reste subordonnée à ces faits mesurés.</w:t>
      </w:r>
    </w:p>
    <w:p>
      <w:pPr>
        <w:spacing w:after="140"/>
        <w:jc w:val="both"/>
      </w:pPr>
      <w:r>
        <w:rPr>
          <w:rFonts w:ascii="Times New Roman" w:hAnsi="Times New Roman"/>
          <w:b w:val="0"/>
          <w:i w:val="0"/>
          <w:color w:val="202124"/>
          <w:sz w:val="24"/>
        </w:rPr>
        <w:t>La seconde originalité concerne la gouvernance. Les preuves, versions et évaluations sont séparées des états mutables de déploiement. Les contrôles peuvent conclure pass, fail, unknown, unsupported, not applicable ou error. Un manque d’information n’est donc pas transformé artificiellement en conformité. Le mode observe-only rend le risque visible sans bloquer une publication et sans revendiquer une certification juridique.</w:t>
      </w:r>
    </w:p>
    <w:p>
      <w:pPr>
        <w:spacing w:after="140"/>
        <w:jc w:val="both"/>
      </w:pPr>
      <w:r>
        <w:rPr>
          <w:rFonts w:ascii="Times New Roman" w:hAnsi="Times New Roman"/>
          <w:b w:val="0"/>
          <w:i w:val="0"/>
          <w:color w:val="202124"/>
          <w:sz w:val="24"/>
        </w:rPr>
        <w:t>Le DSL de moniteurs complète cette chaîne par des définitions strictes, versionnées et liées au schéma observé. Une révision est validée puis prévisualisée avant activation. L’exécution utilise un plan déterministe et un état d’évaluation séparé de l’historique immuable. Ce choix évite qu’une modification silencieuse change le comportement d’un contrôle déjà audité.</w:t>
      </w:r>
    </w:p>
    <w:p>
      <w:pPr>
        <w:spacing w:after="140"/>
        <w:jc w:val="both"/>
      </w:pPr>
      <w:r>
        <w:rPr>
          <w:rFonts w:ascii="Times New Roman" w:hAnsi="Times New Roman"/>
          <w:b w:val="0"/>
          <w:i w:val="0"/>
          <w:color w:val="202124"/>
          <w:sz w:val="24"/>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2" w:name="body_165"/>
      <w:r>
        <w:rPr>
          <w:rFonts w:ascii="Times New Roman" w:hAnsi="Times New Roman"/>
          <w:b/>
          <w:color w:val="202124"/>
          <w:sz w:val="29"/>
        </w:rPr>
        <w:t>2.4 Conclusion</w:t>
      </w:r>
      <w:bookmarkEnd w:id="142"/>
    </w:p>
    <w:p>
      <w:pPr>
        <w:spacing w:after="140"/>
        <w:jc w:val="both"/>
      </w:pPr>
      <w:r>
        <w:rPr>
          <w:rFonts w:ascii="Times New Roman" w:hAnsi="Times New Roman"/>
          <w:b w:val="0"/>
          <w:i w:val="0"/>
          <w:color w:val="202124"/>
          <w:sz w:val="24"/>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3" w:name="body_167"/>
      <w:r>
        <w:rPr>
          <w:rFonts w:ascii="Times New Roman" w:hAnsi="Times New Roman"/>
          <w:b/>
          <w:color w:val="202124"/>
          <w:sz w:val="38"/>
        </w:rPr>
        <w:t>CHAPITRE 3 : ANALYSE, CONCEPTION ET ARCHITECTURE</w:t>
      </w:r>
      <w:bookmarkEnd w:id="143"/>
    </w:p>
    <w:p>
      <w:pPr>
        <w:pStyle w:val="Heading2"/>
      </w:pPr>
      <w:bookmarkStart w:id="144" w:name="body_168"/>
      <w:r>
        <w:rPr>
          <w:rFonts w:ascii="Times New Roman" w:hAnsi="Times New Roman"/>
          <w:b/>
          <w:color w:val="202124"/>
          <w:sz w:val="29"/>
        </w:rPr>
        <w:t>3.1 Introduction</w:t>
      </w:r>
      <w:bookmarkEnd w:id="144"/>
    </w:p>
    <w:p>
      <w:pPr>
        <w:spacing w:after="140"/>
        <w:jc w:val="both"/>
      </w:pPr>
      <w:r>
        <w:rPr>
          <w:rFonts w:ascii="Times New Roman" w:hAnsi="Times New Roman"/>
          <w:b w:val="0"/>
          <w:i w:val="0"/>
          <w:color w:val="202124"/>
          <w:sz w:val="24"/>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5" w:name="body_170"/>
      <w:r>
        <w:rPr>
          <w:rFonts w:ascii="Times New Roman" w:hAnsi="Times New Roman"/>
          <w:b/>
          <w:color w:val="202124"/>
          <w:sz w:val="29"/>
        </w:rPr>
        <w:t>3.2 Analyse du projet</w:t>
      </w:r>
      <w:bookmarkEnd w:id="145"/>
    </w:p>
    <w:p>
      <w:pPr>
        <w:pStyle w:val="Heading3"/>
      </w:pPr>
      <w:bookmarkStart w:id="146" w:name="body_171"/>
      <w:r>
        <w:rPr>
          <w:rFonts w:ascii="Times New Roman" w:hAnsi="Times New Roman"/>
          <w:b/>
          <w:color w:val="202124"/>
          <w:sz w:val="25"/>
        </w:rPr>
        <w:t>3.2.1 Objectifs de la solution</w:t>
      </w:r>
      <w:bookmarkEnd w:id="146"/>
    </w:p>
    <w:p>
      <w:pPr>
        <w:spacing w:after="140"/>
        <w:jc w:val="both"/>
      </w:pPr>
      <w:r>
        <w:rPr>
          <w:rFonts w:ascii="Times New Roman" w:hAnsi="Times New Roman"/>
          <w:b w:val="0"/>
          <w:i w:val="0"/>
          <w:color w:val="202124"/>
          <w:sz w:val="24"/>
        </w:rPr>
        <w:t>L’objectif général est décliné en résultats vérifiables : enregistrer une source sans stocker ses secrets en clair. Réduire une table potentiellement volumineuse à un profil agrégé et horodaté. Distribuer les travaux de surveillance sans bloquer l’API. Choisir un détecteur selon l’historique disponible. Expliquer chaque contrôle par une valeur observée, un score et une plage attendue. Conserver un incident unique tant que le défaut persiste. Livrer l’alerte selon sa sévérité. Puis produire une narration structurée qui sépare résumé, causes plausibles et actions recommandées.</w:t>
      </w:r>
    </w:p>
    <w:p>
      <w:pPr>
        <w:spacing w:after="140"/>
        <w:jc w:val="both"/>
      </w:pPr>
      <w:r>
        <w:rPr>
          <w:rFonts w:ascii="Times New Roman" w:hAnsi="Times New Roman"/>
          <w:b w:val="0"/>
          <w:i w:val="0"/>
          <w:color w:val="202124"/>
          <w:sz w:val="24"/>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7" w:name="body_173"/>
      <w:r>
        <w:rPr>
          <w:rFonts w:ascii="Times New Roman" w:hAnsi="Times New Roman"/>
          <w:b/>
          <w:color w:val="202124"/>
          <w:sz w:val="25"/>
        </w:rPr>
        <w:t>3.2.2 Besoins fonctionnels</w:t>
      </w:r>
      <w:bookmarkEnd w:id="147"/>
    </w:p>
    <w:p>
      <w:pPr>
        <w:pStyle w:val="Caption"/>
        <w:keepNext/>
        <w:spacing w:before="160" w:after="100"/>
        <w:jc w:val="left"/>
      </w:pPr>
      <w:bookmarkStart w:id="148"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8"/>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besoins fonctionnels couvrent six capacités cohérentes : connecter une source et vérifier sa disponibilité. Sélectionner les tables à surveiller. Produire des profils périodiques. Appliquer des règles et détecteurs hybrides. Ouvrir, affecter, acquitter puis résoudre les incidents. Enfin, acheminer les alertes et documenter les preuves de gouvernance IA.</w:t>
      </w:r>
    </w:p>
    <w:p>
      <w:pPr>
        <w:spacing w:after="140"/>
        <w:jc w:val="both"/>
      </w:pPr>
      <w:r>
        <w:rPr>
          <w:rFonts w:ascii="Times New Roman" w:hAnsi="Times New Roman"/>
          <w:b w:val="0"/>
          <w:i w:val="0"/>
          <w:color w:val="202124"/>
          <w:sz w:val="24"/>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9" w:name="body_176"/>
      <w:r>
        <w:rPr>
          <w:rFonts w:ascii="Times New Roman" w:hAnsi="Times New Roman"/>
          <w:b/>
          <w:color w:val="202124"/>
          <w:sz w:val="25"/>
        </w:rPr>
        <w:t>3.2.3 Besoins non fonctionnels</w:t>
      </w:r>
      <w:bookmarkEnd w:id="149"/>
    </w:p>
    <w:p>
      <w:pPr>
        <w:pStyle w:val="Caption"/>
        <w:keepNext/>
        <w:spacing w:before="160" w:after="100"/>
        <w:jc w:val="left"/>
      </w:pPr>
      <w:bookmarkStart w:id="150"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50"/>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sur la source, cache borné et exécution Celery</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80" w:line="288" w:lineRule="auto"/>
        <w:jc w:val="left"/>
      </w:pPr>
      <w:r>
        <w:rPr>
          <w:rFonts w:ascii="Times New Roman" w:hAnsi="Times New Roman"/>
          <w:color w:val="202124"/>
          <w:sz w:val="23"/>
        </w:rPr>
        <w:t>Sécurité : chiffrement des configurations de connexion et séparation des organisations.</w:t>
      </w:r>
    </w:p>
    <w:p>
      <w:pPr>
        <w:numPr>
          <w:ilvl w:val="0"/>
          <w:numId w:val="10"/>
        </w:numPr>
        <w:spacing w:after="80" w:line="288" w:lineRule="auto"/>
        <w:jc w:val="left"/>
      </w:pPr>
      <w:r>
        <w:rPr>
          <w:rFonts w:ascii="Times New Roman" w:hAnsi="Times New Roman"/>
          <w:color w:val="202124"/>
          <w:sz w:val="23"/>
        </w:rPr>
        <w:t>Fiabilité : tâches idempotentes, déduplication des incidents et reprise planifiée.</w:t>
      </w:r>
    </w:p>
    <w:p>
      <w:pPr>
        <w:numPr>
          <w:ilvl w:val="0"/>
          <w:numId w:val="10"/>
        </w:numPr>
        <w:spacing w:after="80" w:line="288" w:lineRule="auto"/>
        <w:jc w:val="left"/>
      </w:pPr>
      <w:r>
        <w:rPr>
          <w:rFonts w:ascii="Times New Roman" w:hAnsi="Times New Roman"/>
          <w:color w:val="202124"/>
          <w:sz w:val="23"/>
        </w:rPr>
        <w:t>Performance : profilage par requêtes agrégées plutôt que lecture ligne par ligne.</w:t>
      </w:r>
    </w:p>
    <w:p>
      <w:pPr>
        <w:numPr>
          <w:ilvl w:val="0"/>
          <w:numId w:val="10"/>
        </w:numPr>
        <w:spacing w:after="80" w:line="288" w:lineRule="auto"/>
        <w:jc w:val="left"/>
      </w:pPr>
      <w:r>
        <w:rPr>
          <w:rFonts w:ascii="Times New Roman" w:hAnsi="Times New Roman"/>
          <w:color w:val="202124"/>
          <w:sz w:val="23"/>
        </w:rPr>
        <w:t>Maintenabilité : API typée, migrations versionnées et tests de régression.</w:t>
      </w:r>
    </w:p>
    <w:p>
      <w:pPr>
        <w:numPr>
          <w:ilvl w:val="0"/>
          <w:numId w:val="10"/>
        </w:numPr>
        <w:spacing w:after="80" w:line="288" w:lineRule="auto"/>
        <w:jc w:val="left"/>
      </w:pPr>
      <w:r>
        <w:rPr>
          <w:rFonts w:ascii="Times New Roman" w:hAnsi="Times New Roman"/>
          <w:color w:val="202124"/>
          <w:sz w:val="23"/>
        </w:rPr>
        <w:t>Traçabilité : profils, résultats de contrôles, incidents et versions de moniteurs conservés.</w:t>
      </w:r>
    </w:p>
    <w:p>
      <w:pPr>
        <w:numPr>
          <w:ilvl w:val="0"/>
          <w:numId w:val="10"/>
        </w:numPr>
        <w:spacing w:after="80" w:line="288" w:lineRule="auto"/>
        <w:jc w:val="left"/>
      </w:pPr>
      <w:r>
        <w:rPr>
          <w:rFonts w:ascii="Times New Roman" w:hAnsi="Times New Roman"/>
          <w:color w:val="202124"/>
          <w:sz w:val="23"/>
        </w:rPr>
        <w:t>Explicabilité : scores, plages attendues et raisons de contrôle visibles dans l’interface.</w:t>
      </w:r>
    </w:p>
    <w:p>
      <w:pPr>
        <w:pStyle w:val="Heading2"/>
      </w:pPr>
      <w:bookmarkStart w:id="151" w:name="body_183"/>
      <w:r>
        <w:rPr>
          <w:rFonts w:ascii="Times New Roman" w:hAnsi="Times New Roman"/>
          <w:b/>
          <w:color w:val="202124"/>
          <w:sz w:val="29"/>
        </w:rPr>
        <w:t>3.3 Conception de la solution</w:t>
      </w:r>
      <w:bookmarkEnd w:id="151"/>
    </w:p>
    <w:p>
      <w:pPr>
        <w:pStyle w:val="Heading3"/>
      </w:pPr>
      <w:bookmarkStart w:id="152" w:name="extra_3_3_1_Acteurs_et_cas_d_utilisati"/>
      <w:r>
        <w:rPr>
          <w:rFonts w:ascii="Times New Roman" w:hAnsi="Times New Roman"/>
          <w:b/>
          <w:color w:val="202124"/>
          <w:sz w:val="25"/>
        </w:rPr>
        <w:t>3.3.1 Acteurs et cas d’utilisation</w:t>
      </w:r>
      <w:bookmarkEnd w:id="152"/>
    </w:p>
    <w:p>
      <w:pPr>
        <w:spacing w:after="140"/>
        <w:jc w:val="both"/>
      </w:pPr>
      <w:r>
        <w:rPr>
          <w:rFonts w:ascii="Times New Roman" w:hAnsi="Times New Roman"/>
          <w:b w:val="0"/>
          <w:i w:val="0"/>
          <w:color w:val="202124"/>
          <w:sz w:val="24"/>
        </w:rPr>
        <w:t>Le diagramme de cas d’utilisation distingue le membre d’une organisation, son administrateur et l’opérateur staff. Le membre consulte les actifs et traite les incidents. L’administrateur ajoute les sources, configure les tables, les moniteurs et les alertes. Le staff gère le cycle de vie des organisations depuis un portail séparé. Les services externes - bases, fournisseur LLM et canaux de notification - sont représentés comme systèmes secondaires.</w:t>
      </w:r>
    </w:p>
    <w:p>
      <w:pPr>
        <w:spacing w:after="140"/>
        <w:jc w:val="both"/>
      </w:pPr>
      <w:r>
        <w:rPr>
          <w:rFonts w:ascii="Times New Roman" w:hAnsi="Times New Roman"/>
          <w:b w:val="0"/>
          <w:i w:val="0"/>
          <w:color w:val="202124"/>
          <w:sz w:val="24"/>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after="80"/>
        <w:jc w:val="both"/>
      </w:pPr>
      <w:r>
        <w:rPr>
          <w:rFonts w:ascii="Times New Roman" w:hAnsi="Times New Roman"/>
          <w:b w:val="0"/>
          <w:i w:val="0"/>
          <w:color w:val="202124"/>
          <w:sz w:val="24"/>
        </w:rPr>
        <w:t>La figure 3.1 condense le périmètre fonctionnel autour de trois acteurs : l’administrateur d’organisation, l’opérateur data et le personnel DataWatch.</w:t>
      </w:r>
    </w:p>
    <w:p>
      <w:pPr>
        <w:keepNext/>
        <w:spacing w:before="160" w:after="0"/>
        <w:jc w:val="center"/>
      </w:pPr>
      <w:r>
        <w:drawing>
          <wp:inline xmlns:a="http://schemas.openxmlformats.org/drawingml/2006/main" xmlns:pic="http://schemas.openxmlformats.org/drawingml/2006/picture">
            <wp:extent cx="5688000" cy="4872491"/>
            <wp:docPr id="5" name="Picture 5"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8"/>
                    <a:stretch>
                      <a:fillRect/>
                    </a:stretch>
                  </pic:blipFill>
                  <pic:spPr>
                    <a:xfrm>
                      <a:off x="0" y="0"/>
                      <a:ext cx="5688000" cy="4872491"/>
                    </a:xfrm>
                    <a:prstGeom prst="rect"/>
                  </pic:spPr>
                </pic:pic>
              </a:graphicData>
            </a:graphic>
          </wp:inline>
        </w:drawing>
      </w:r>
    </w:p>
    <w:p>
      <w:pPr>
        <w:pStyle w:val="Caption"/>
      </w:pPr>
      <w:bookmarkStart w:id="153" w:name="fig_3_1"/>
      <w:r>
        <w:rPr>
          <w:rFonts w:ascii="Times New Roman" w:hAnsi="Times New Roman"/>
          <w:b/>
          <w:color w:val="B1202D"/>
          <w:sz w:val="18"/>
        </w:rPr>
        <w:t>Figure 3.1</w:t>
      </w:r>
      <w:r>
        <w:rPr>
          <w:rFonts w:ascii="Times New Roman" w:hAnsi="Times New Roman"/>
          <w:color w:val="5F6368"/>
          <w:sz w:val="18"/>
        </w:rPr>
        <w:t xml:space="preserve"> : Vue globale des acteurs et domaines fonctionnels</w:t>
      </w:r>
      <w:bookmarkEnd w:id="153"/>
    </w:p>
    <w:p>
      <w:pPr>
        <w:keepLines/>
        <w:spacing w:after="180"/>
        <w:jc w:val="both"/>
      </w:pPr>
      <w:r>
        <w:rPr>
          <w:rFonts w:ascii="Times New Roman" w:hAnsi="Times New Roman"/>
          <w:b w:val="0"/>
          <w:i w:val="0"/>
          <w:color w:val="202124"/>
          <w:sz w:val="24"/>
        </w:rPr>
        <w:t>Cette séparation évite de confondre exploitation d’un workspace et administration de la plateforme. Le personnel DataWatch administre le SaaS. Il ne traite pas les incidents à la place du client.</w:t>
      </w:r>
    </w:p>
    <w:p>
      <w:pPr>
        <w:keepNext/>
        <w:spacing w:after="80"/>
        <w:jc w:val="both"/>
      </w:pPr>
      <w:r>
        <w:rPr>
          <w:rFonts w:ascii="Times New Roman" w:hAnsi="Times New Roman"/>
          <w:b w:val="0"/>
          <w:i w:val="0"/>
          <w:color w:val="202124"/>
          <w:sz w:val="24"/>
        </w:rPr>
        <w:t>La figure 3.2 détaille les actions réalisées dans un workspace client, depuis la configuration initiale jusqu’à l’investigation d’un incident.</w:t>
      </w:r>
    </w:p>
    <w:p>
      <w:pPr>
        <w:keepNext/>
        <w:spacing w:before="160" w:after="0"/>
        <w:jc w:val="center"/>
      </w:pPr>
      <w:r>
        <w:drawing>
          <wp:inline xmlns:a="http://schemas.openxmlformats.org/drawingml/2006/main" xmlns:pic="http://schemas.openxmlformats.org/drawingml/2006/picture">
            <wp:extent cx="3941370" cy="5472000"/>
            <wp:docPr id="6" name="Picture 6"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9"/>
                    <a:stretch>
                      <a:fillRect/>
                    </a:stretch>
                  </pic:blipFill>
                  <pic:spPr>
                    <a:xfrm>
                      <a:off x="0" y="0"/>
                      <a:ext cx="3941370" cy="5472000"/>
                    </a:xfrm>
                    <a:prstGeom prst="rect"/>
                  </pic:spPr>
                </pic:pic>
              </a:graphicData>
            </a:graphic>
          </wp:inline>
        </w:drawing>
      </w:r>
    </w:p>
    <w:p>
      <w:pPr>
        <w:pStyle w:val="Caption"/>
      </w:pPr>
      <w:bookmarkStart w:id="154" w:name="fig_3_2"/>
      <w:r>
        <w:rPr>
          <w:rFonts w:ascii="Times New Roman" w:hAnsi="Times New Roman"/>
          <w:b/>
          <w:color w:val="B1202D"/>
          <w:sz w:val="18"/>
        </w:rPr>
        <w:t>Figure 3.2</w:t>
      </w:r>
      <w:r>
        <w:rPr>
          <w:rFonts w:ascii="Times New Roman" w:hAnsi="Times New Roman"/>
          <w:color w:val="5F6368"/>
          <w:sz w:val="18"/>
        </w:rPr>
        <w:t xml:space="preserve"> : Cas d’utilisation du workspace client</w:t>
      </w:r>
      <w:bookmarkEnd w:id="154"/>
    </w:p>
    <w:p>
      <w:pPr>
        <w:keepLines/>
        <w:spacing w:after="180"/>
        <w:jc w:val="both"/>
      </w:pPr>
      <w:r>
        <w:rPr>
          <w:rFonts w:ascii="Times New Roman" w:hAnsi="Times New Roman"/>
          <w:b w:val="0"/>
          <w:i w:val="0"/>
          <w:color w:val="202124"/>
          <w:sz w:val="24"/>
        </w:rPr>
        <w:t>Deux responsabilités ressortent. Le propriétaire configure sources, membres et notifications. L’opérateur consulte les profils, crée des moniteurs et pilote le cycle de vie des incidents. Les cas communs restent soumis à l’isolation du tenant.</w:t>
      </w:r>
    </w:p>
    <w:p>
      <w:pPr>
        <w:keepNext/>
        <w:spacing w:after="80"/>
        <w:jc w:val="both"/>
      </w:pPr>
      <w:r>
        <w:rPr>
          <w:rFonts w:ascii="Times New Roman" w:hAnsi="Times New Roman"/>
          <w:b w:val="0"/>
          <w:i w:val="0"/>
          <w:color w:val="202124"/>
          <w:sz w:val="24"/>
        </w:rPr>
        <w:t>La figure 3.3 isole les cas d’utilisation réservés à l’administration interne de DataWatch.</w:t>
      </w:r>
    </w:p>
    <w:p>
      <w:pPr>
        <w:keepNext/>
        <w:spacing w:before="160" w:after="0"/>
        <w:jc w:val="center"/>
      </w:pPr>
      <w:r>
        <w:drawing>
          <wp:inline xmlns:a="http://schemas.openxmlformats.org/drawingml/2006/main" xmlns:pic="http://schemas.openxmlformats.org/drawingml/2006/picture">
            <wp:extent cx="5688000" cy="2978764"/>
            <wp:docPr id="7" name="Picture 7"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20"/>
                    <a:stretch>
                      <a:fillRect/>
                    </a:stretch>
                  </pic:blipFill>
                  <pic:spPr>
                    <a:xfrm>
                      <a:off x="0" y="0"/>
                      <a:ext cx="5688000" cy="2978764"/>
                    </a:xfrm>
                    <a:prstGeom prst="rect"/>
                  </pic:spPr>
                </pic:pic>
              </a:graphicData>
            </a:graphic>
          </wp:inline>
        </w:drawing>
      </w:r>
    </w:p>
    <w:p>
      <w:pPr>
        <w:pStyle w:val="Caption"/>
      </w:pPr>
      <w:bookmarkStart w:id="155" w:name="fig_3_3"/>
      <w:r>
        <w:rPr>
          <w:rFonts w:ascii="Times New Roman" w:hAnsi="Times New Roman"/>
          <w:b/>
          <w:color w:val="B1202D"/>
          <w:sz w:val="18"/>
        </w:rPr>
        <w:t>Figure 3.3</w:t>
      </w:r>
      <w:r>
        <w:rPr>
          <w:rFonts w:ascii="Times New Roman" w:hAnsi="Times New Roman"/>
          <w:color w:val="5F6368"/>
          <w:sz w:val="18"/>
        </w:rPr>
        <w:t xml:space="preserve"> : Cas d’utilisation du portail staff</w:t>
      </w:r>
      <w:bookmarkEnd w:id="155"/>
    </w:p>
    <w:p>
      <w:pPr>
        <w:keepLines/>
        <w:spacing w:after="180"/>
        <w:jc w:val="both"/>
      </w:pPr>
      <w:r>
        <w:rPr>
          <w:rFonts w:ascii="Times New Roman" w:hAnsi="Times New Roman"/>
          <w:b w:val="0"/>
          <w:i w:val="0"/>
          <w:color w:val="202124"/>
          <w:sz w:val="24"/>
        </w:rPr>
        <w:t>Le compte staff consulte les indicateurs globaux, ouvre une organisation, gère son offre et administre les comptes internes. Ce périmètre possède son propre mécanisme d’authentification et ne réutilise pas une session client.</w:t>
      </w:r>
    </w:p>
    <w:p>
      <w:pPr>
        <w:spacing w:after="140"/>
        <w:jc w:val="both"/>
      </w:pPr>
      <w:r>
        <w:rPr>
          <w:rFonts w:ascii="Times New Roman" w:hAnsi="Times New Roman"/>
          <w:b w:val="0"/>
          <w:i w:val="0"/>
          <w:color w:val="202124"/>
          <w:sz w:val="24"/>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6" w:name="body_191"/>
      <w:r>
        <w:rPr>
          <w:rFonts w:ascii="Times New Roman" w:hAnsi="Times New Roman"/>
          <w:b/>
          <w:color w:val="202124"/>
          <w:sz w:val="25"/>
        </w:rPr>
        <w:t>3.3.2 Diagramme de séquence</w:t>
      </w:r>
      <w:bookmarkEnd w:id="156"/>
    </w:p>
    <w:p>
      <w:pPr>
        <w:spacing w:after="140"/>
        <w:jc w:val="both"/>
      </w:pPr>
      <w:r>
        <w:rPr>
          <w:rFonts w:ascii="Times New Roman" w:hAnsi="Times New Roman"/>
          <w:b w:val="0"/>
          <w:i w:val="0"/>
          <w:color w:val="202124"/>
          <w:sz w:val="24"/>
        </w:rPr>
        <w:t>Le scénario nominal débute par le déclenchement d’APScheduler. L’API place l’identifiant de la table dans la file Redis.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140"/>
        <w:jc w:val="both"/>
      </w:pPr>
      <w:r>
        <w:rPr>
          <w:rFonts w:ascii="Times New Roman" w:hAnsi="Times New Roman"/>
          <w:b w:val="0"/>
          <w:i w:val="0"/>
          <w:color w:val="202124"/>
          <w:sz w:val="24"/>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after="80"/>
        <w:jc w:val="both"/>
      </w:pPr>
      <w:r>
        <w:rPr>
          <w:rFonts w:ascii="Times New Roman" w:hAnsi="Times New Roman"/>
          <w:b w:val="0"/>
          <w:i w:val="0"/>
          <w:color w:val="202124"/>
          <w:sz w:val="24"/>
        </w:rPr>
        <w:t>La figure 3.4 suit l’inscription d’une source, de la saisie du formulaire jusqu’à l’activation de la surveillance d’une table découverte.</w:t>
      </w:r>
    </w:p>
    <w:p>
      <w:pPr>
        <w:keepNext/>
        <w:spacing w:before="160" w:after="0"/>
        <w:jc w:val="center"/>
      </w:pPr>
      <w:r>
        <w:drawing>
          <wp:inline xmlns:a="http://schemas.openxmlformats.org/drawingml/2006/main" xmlns:pic="http://schemas.openxmlformats.org/drawingml/2006/picture">
            <wp:extent cx="5688000" cy="3156080"/>
            <wp:docPr id="8" name="Picture 8"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1"/>
                    <a:stretch>
                      <a:fillRect/>
                    </a:stretch>
                  </pic:blipFill>
                  <pic:spPr>
                    <a:xfrm>
                      <a:off x="0" y="0"/>
                      <a:ext cx="5688000" cy="3156080"/>
                    </a:xfrm>
                    <a:prstGeom prst="rect"/>
                  </pic:spPr>
                </pic:pic>
              </a:graphicData>
            </a:graphic>
          </wp:inline>
        </w:drawing>
      </w:r>
    </w:p>
    <w:p>
      <w:pPr>
        <w:pStyle w:val="Caption"/>
      </w:pPr>
      <w:bookmarkStart w:id="157" w:name="fig_3_4"/>
      <w:r>
        <w:rPr>
          <w:rFonts w:ascii="Times New Roman" w:hAnsi="Times New Roman"/>
          <w:b/>
          <w:color w:val="B1202D"/>
          <w:sz w:val="18"/>
        </w:rPr>
        <w:t>Figure 3.4</w:t>
      </w:r>
      <w:r>
        <w:rPr>
          <w:rFonts w:ascii="Times New Roman" w:hAnsi="Times New Roman"/>
          <w:color w:val="5F6368"/>
          <w:sz w:val="18"/>
        </w:rPr>
        <w:t xml:space="preserve"> : Séquence de connexion et d’inscription d’une source</w:t>
      </w:r>
      <w:bookmarkEnd w:id="157"/>
    </w:p>
    <w:p>
      <w:pPr>
        <w:keepLines/>
        <w:spacing w:after="180"/>
        <w:jc w:val="both"/>
      </w:pPr>
      <w:r>
        <w:rPr>
          <w:rFonts w:ascii="Times New Roman" w:hAnsi="Times New Roman"/>
          <w:b w:val="0"/>
          <w:i w:val="0"/>
          <w:color w:val="202124"/>
          <w:sz w:val="24"/>
        </w:rPr>
        <w:t>Le secret est chiffré avec une clé dérivée de l’organisation avant persistance. La connexion est ensuite testée par l’adaptateur concerné. Seules ses capacités déclarées et les tables accessibles sont renvoyées à l’interface.</w:t>
      </w:r>
    </w:p>
    <w:p>
      <w:pPr>
        <w:keepNext/>
        <w:spacing w:after="80"/>
        <w:jc w:val="both"/>
      </w:pPr>
      <w:r>
        <w:rPr>
          <w:rFonts w:ascii="Times New Roman" w:hAnsi="Times New Roman"/>
          <w:b w:val="0"/>
          <w:i w:val="0"/>
          <w:color w:val="202124"/>
          <w:sz w:val="24"/>
        </w:rPr>
        <w:t>La figure 3.5 expose la chaîne asynchrone qui transforme une planification en profil, résultats de contrôle et incident éventuel.</w:t>
      </w:r>
    </w:p>
    <w:p>
      <w:pPr>
        <w:keepNext/>
        <w:spacing w:before="160" w:after="0"/>
        <w:jc w:val="center"/>
      </w:pPr>
      <w:r>
        <w:drawing>
          <wp:inline xmlns:a="http://schemas.openxmlformats.org/drawingml/2006/main" xmlns:pic="http://schemas.openxmlformats.org/drawingml/2006/picture">
            <wp:extent cx="5688000" cy="2461548"/>
            <wp:docPr id="9" name="Picture 9"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2"/>
                    <a:stretch>
                      <a:fillRect/>
                    </a:stretch>
                  </pic:blipFill>
                  <pic:spPr>
                    <a:xfrm>
                      <a:off x="0" y="0"/>
                      <a:ext cx="5688000" cy="2461548"/>
                    </a:xfrm>
                    <a:prstGeom prst="rect"/>
                  </pic:spPr>
                </pic:pic>
              </a:graphicData>
            </a:graphic>
          </wp:inline>
        </w:drawing>
      </w:r>
    </w:p>
    <w:p>
      <w:pPr>
        <w:pStyle w:val="Caption"/>
      </w:pPr>
      <w:bookmarkStart w:id="158" w:name="fig_3_5"/>
      <w:r>
        <w:rPr>
          <w:rFonts w:ascii="Times New Roman" w:hAnsi="Times New Roman"/>
          <w:b/>
          <w:color w:val="B1202D"/>
          <w:sz w:val="18"/>
        </w:rPr>
        <w:t>Figure 3.5</w:t>
      </w:r>
      <w:r>
        <w:rPr>
          <w:rFonts w:ascii="Times New Roman" w:hAnsi="Times New Roman"/>
          <w:color w:val="5F6368"/>
          <w:sz w:val="18"/>
        </w:rPr>
        <w:t xml:space="preserve"> : Séquence de profilage et de détection</w:t>
      </w:r>
      <w:bookmarkEnd w:id="158"/>
    </w:p>
    <w:p>
      <w:pPr>
        <w:keepLines/>
        <w:spacing w:after="180"/>
        <w:jc w:val="both"/>
      </w:pPr>
      <w:r>
        <w:rPr>
          <w:rFonts w:ascii="Times New Roman" w:hAnsi="Times New Roman"/>
          <w:b w:val="0"/>
          <w:i w:val="0"/>
          <w:color w:val="202124"/>
          <w:sz w:val="24"/>
        </w:rPr>
        <w:t>APScheduler déclenche le worker Celery. Une requête agrégée produit le profil, puis les règles, le z-score, Isolation Forest et STL sont évalués selon l’historique disponible. L’incident n’est créé ou enrichi qu’après persistance des résultats.</w:t>
      </w:r>
    </w:p>
    <w:p>
      <w:pPr>
        <w:keepNext/>
        <w:spacing w:after="80"/>
        <w:jc w:val="both"/>
      </w:pPr>
      <w:r>
        <w:rPr>
          <w:rFonts w:ascii="Times New Roman" w:hAnsi="Times New Roman"/>
          <w:b w:val="0"/>
          <w:i w:val="0"/>
          <w:color w:val="202124"/>
          <w:sz w:val="24"/>
        </w:rPr>
        <w:t>La figure 3.6 décrit l’enquête menée depuis l’ouverture d’un incident critique dans l’interface.</w:t>
      </w:r>
    </w:p>
    <w:p>
      <w:pPr>
        <w:keepNext/>
        <w:spacing w:before="160" w:after="0"/>
        <w:jc w:val="center"/>
      </w:pPr>
      <w:r>
        <w:drawing>
          <wp:inline xmlns:a="http://schemas.openxmlformats.org/drawingml/2006/main" xmlns:pic="http://schemas.openxmlformats.org/drawingml/2006/picture">
            <wp:extent cx="5688000" cy="2703619"/>
            <wp:docPr id="10" name="Picture 10"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3"/>
                    <a:stretch>
                      <a:fillRect/>
                    </a:stretch>
                  </pic:blipFill>
                  <pic:spPr>
                    <a:xfrm>
                      <a:off x="0" y="0"/>
                      <a:ext cx="5688000" cy="2703619"/>
                    </a:xfrm>
                    <a:prstGeom prst="rect"/>
                  </pic:spPr>
                </pic:pic>
              </a:graphicData>
            </a:graphic>
          </wp:inline>
        </w:drawing>
      </w:r>
    </w:p>
    <w:p>
      <w:pPr>
        <w:pStyle w:val="Caption"/>
      </w:pPr>
      <w:bookmarkStart w:id="159" w:name="fig_3_6"/>
      <w:r>
        <w:rPr>
          <w:rFonts w:ascii="Times New Roman" w:hAnsi="Times New Roman"/>
          <w:b/>
          <w:color w:val="B1202D"/>
          <w:sz w:val="18"/>
        </w:rPr>
        <w:t>Figure 3.6</w:t>
      </w:r>
      <w:r>
        <w:rPr>
          <w:rFonts w:ascii="Times New Roman" w:hAnsi="Times New Roman"/>
          <w:color w:val="5F6368"/>
          <w:sz w:val="18"/>
        </w:rPr>
        <w:t xml:space="preserve"> : Séquence d’investigation d’un incident</w:t>
      </w:r>
      <w:bookmarkEnd w:id="159"/>
    </w:p>
    <w:p>
      <w:pPr>
        <w:keepLines/>
        <w:spacing w:after="180"/>
        <w:jc w:val="both"/>
      </w:pPr>
      <w:r>
        <w:rPr>
          <w:rFonts w:ascii="Times New Roman" w:hAnsi="Times New Roman"/>
          <w:b w:val="0"/>
          <w:i w:val="0"/>
          <w:color w:val="202124"/>
          <w:sz w:val="24"/>
        </w:rPr>
        <w:t>L’API réunit mesures, signaux, chronologie et narration structurée. L’opérateur peut ensuite affecter l’incident, l’acquitter ou le résoudre. Chaque transition est horodatée, tandis que l’alerte externe reste un canal de diffusion et non la source de vérité.</w:t>
      </w:r>
    </w:p>
    <w:p>
      <w:pPr>
        <w:keepNext/>
        <w:spacing w:after="80"/>
        <w:jc w:val="both"/>
      </w:pPr>
      <w:r>
        <w:rPr>
          <w:rFonts w:ascii="Times New Roman" w:hAnsi="Times New Roman"/>
          <w:b w:val="0"/>
          <w:i w:val="0"/>
          <w:color w:val="202124"/>
          <w:sz w:val="24"/>
        </w:rPr>
        <w:t>La figure 3.7 montre comment une version déclarée et un manifeste actif sont rapprochés des preuves disponibles avant l’évaluation des contrôles de gouvernance IA.</w:t>
      </w:r>
    </w:p>
    <w:p>
      <w:pPr>
        <w:keepNext/>
        <w:spacing w:before="160" w:after="0"/>
        <w:jc w:val="center"/>
      </w:pPr>
      <w:r>
        <w:drawing>
          <wp:inline xmlns:a="http://schemas.openxmlformats.org/drawingml/2006/main" xmlns:pic="http://schemas.openxmlformats.org/drawingml/2006/picture">
            <wp:extent cx="5688000" cy="2365570"/>
            <wp:docPr id="11" name="Picture 11"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4"/>
                    <a:stretch>
                      <a:fillRect/>
                    </a:stretch>
                  </pic:blipFill>
                  <pic:spPr>
                    <a:xfrm>
                      <a:off x="0" y="0"/>
                      <a:ext cx="5688000" cy="2365570"/>
                    </a:xfrm>
                    <a:prstGeom prst="rect"/>
                  </pic:spPr>
                </pic:pic>
              </a:graphicData>
            </a:graphic>
          </wp:inline>
        </w:drawing>
      </w:r>
    </w:p>
    <w:p>
      <w:pPr>
        <w:pStyle w:val="Caption"/>
      </w:pPr>
      <w:bookmarkStart w:id="160" w:name="fig_3_7"/>
      <w:r>
        <w:rPr>
          <w:rFonts w:ascii="Times New Roman" w:hAnsi="Times New Roman"/>
          <w:b/>
          <w:color w:val="B1202D"/>
          <w:sz w:val="18"/>
        </w:rPr>
        <w:t>Figure 3.7</w:t>
      </w:r>
      <w:r>
        <w:rPr>
          <w:rFonts w:ascii="Times New Roman" w:hAnsi="Times New Roman"/>
          <w:color w:val="5F6368"/>
          <w:sz w:val="18"/>
        </w:rPr>
        <w:t xml:space="preserve"> : Séquence d’évaluation de la gouvernance IA</w:t>
      </w:r>
      <w:bookmarkEnd w:id="160"/>
    </w:p>
    <w:p>
      <w:pPr>
        <w:keepLines/>
        <w:spacing w:after="180"/>
        <w:jc w:val="both"/>
      </w:pPr>
      <w:r>
        <w:rPr>
          <w:rFonts w:ascii="Times New Roman" w:hAnsi="Times New Roman"/>
          <w:b w:val="0"/>
          <w:i w:val="0"/>
          <w:color w:val="202124"/>
          <w:sz w:val="24"/>
        </w:rPr>
        <w:t>Le registre écrit des résultats immuables et peut ouvrir un incident de gouvernance. La dernière branche est volontairement non bloquante : le prototype émet un signal observe-only, sans autoriser ni interdire une mise en production.</w:t>
      </w:r>
    </w:p>
    <w:p>
      <w:pPr>
        <w:keepNext/>
        <w:spacing w:after="80"/>
        <w:jc w:val="both"/>
      </w:pPr>
      <w:r>
        <w:rPr>
          <w:rFonts w:ascii="Times New Roman" w:hAnsi="Times New Roman"/>
          <w:b w:val="0"/>
          <w:i w:val="0"/>
          <w:color w:val="202124"/>
          <w:sz w:val="24"/>
        </w:rPr>
        <w:t>La figure 3.8 représente les états successifs d’un incident et les décisions accessibles à l’opérateur.</w:t>
      </w:r>
    </w:p>
    <w:p>
      <w:pPr>
        <w:keepNext/>
        <w:spacing w:before="160" w:after="0"/>
        <w:jc w:val="center"/>
      </w:pPr>
      <w:r>
        <w:drawing>
          <wp:inline xmlns:a="http://schemas.openxmlformats.org/drawingml/2006/main" xmlns:pic="http://schemas.openxmlformats.org/drawingml/2006/picture">
            <wp:extent cx="3329499" cy="5472000"/>
            <wp:docPr id="12" name="Picture 12"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5"/>
                    <a:stretch>
                      <a:fillRect/>
                    </a:stretch>
                  </pic:blipFill>
                  <pic:spPr>
                    <a:xfrm>
                      <a:off x="0" y="0"/>
                      <a:ext cx="3329499" cy="5472000"/>
                    </a:xfrm>
                    <a:prstGeom prst="rect"/>
                  </pic:spPr>
                </pic:pic>
              </a:graphicData>
            </a:graphic>
          </wp:inline>
        </w:drawing>
      </w:r>
    </w:p>
    <w:p>
      <w:pPr>
        <w:pStyle w:val="Caption"/>
      </w:pPr>
      <w:bookmarkStart w:id="161" w:name="fig_3_8"/>
      <w:r>
        <w:rPr>
          <w:rFonts w:ascii="Times New Roman" w:hAnsi="Times New Roman"/>
          <w:b/>
          <w:color w:val="B1202D"/>
          <w:sz w:val="18"/>
        </w:rPr>
        <w:t>Figure 3.8</w:t>
      </w:r>
      <w:r>
        <w:rPr>
          <w:rFonts w:ascii="Times New Roman" w:hAnsi="Times New Roman"/>
          <w:color w:val="5F6368"/>
          <w:sz w:val="18"/>
        </w:rPr>
        <w:t xml:space="preserve"> : Cycle de vie d’un incident DataWatch</w:t>
      </w:r>
      <w:bookmarkEnd w:id="161"/>
    </w:p>
    <w:p>
      <w:pPr>
        <w:keepLines/>
        <w:spacing w:after="180"/>
        <w:jc w:val="both"/>
      </w:pPr>
      <w:r>
        <w:rPr>
          <w:rFonts w:ascii="Times New Roman" w:hAnsi="Times New Roman"/>
          <w:b w:val="0"/>
          <w:i w:val="0"/>
          <w:color w:val="202124"/>
          <w:sz w:val="24"/>
        </w:rPr>
        <w:t>Un signal peut être regroupé avec un incident déjà ouvert. Après acquittement, l’investigation mène soit à une résolution, soit à la déclaration d’un faux positif. Une nouvelle anomalie peut rouvrir le travail au lieu d’effacer l’historique.</w:t>
      </w:r>
    </w:p>
    <w:p>
      <w:pPr>
        <w:spacing w:after="140"/>
        <w:jc w:val="both"/>
      </w:pPr>
      <w:r>
        <w:rPr>
          <w:rFonts w:ascii="Times New Roman" w:hAnsi="Times New Roman"/>
          <w:b w:val="0"/>
          <w:i w:val="0"/>
          <w:color w:val="202124"/>
          <w:sz w:val="24"/>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2" w:name="body_194"/>
      <w:r>
        <w:rPr>
          <w:rFonts w:ascii="Times New Roman" w:hAnsi="Times New Roman"/>
          <w:b/>
          <w:color w:val="202124"/>
          <w:sz w:val="25"/>
        </w:rPr>
        <w:t>3.3.3 Diagramme de classes</w:t>
      </w:r>
      <w:bookmarkEnd w:id="162"/>
    </w:p>
    <w:p>
      <w:pPr>
        <w:spacing w:after="140"/>
        <w:jc w:val="both"/>
      </w:pPr>
      <w:r>
        <w:rPr>
          <w:rFonts w:ascii="Times New Roman" w:hAnsi="Times New Roman"/>
          <w:b w:val="0"/>
          <w:i w:val="0"/>
          <w:color w:val="202124"/>
          <w:sz w:val="24"/>
        </w:rPr>
        <w:t>Le modèle de domaine s’organise autour de l’agrégat Organization. DataSource et MonitoredTable décrivent les actifs. TableProfile et CheckResult constituent la preuve de mesure. Incident regroupe les occurrences liées. AlertConfig exprime le routage. Le sous-domaine des moniteurs sépare Monitor, identité stable, de MonitorRevision, définition append-only, et de MonitorRun, trace d’exécution. Cette séparation évite qu’une modification réécrive l’historique.</w:t>
      </w:r>
    </w:p>
    <w:p>
      <w:pPr>
        <w:spacing w:after="140"/>
        <w:jc w:val="both"/>
      </w:pPr>
      <w:r>
        <w:rPr>
          <w:rFonts w:ascii="Times New Roman" w:hAnsi="Times New Roman"/>
          <w:b w:val="0"/>
          <w:i w:val="0"/>
          <w:color w:val="202124"/>
          <w:sz w:val="24"/>
        </w:rPr>
        <w:t>Quatre vues remplacent un diagramme monolithique devenu illisible sur A4. Elles conservent les cardinalités et les frontières de domaine : surveillance, collaboration, moniteurs versionnés, puis gouvernance IA.</w:t>
      </w:r>
    </w:p>
    <w:p>
      <w:pPr>
        <w:keepNext/>
        <w:spacing w:after="80"/>
        <w:jc w:val="both"/>
      </w:pPr>
      <w:r>
        <w:rPr>
          <w:rFonts w:ascii="Times New Roman" w:hAnsi="Times New Roman"/>
          <w:b w:val="0"/>
          <w:i w:val="0"/>
          <w:color w:val="202124"/>
          <w:sz w:val="24"/>
        </w:rPr>
        <w:t>La figure 3.9 extrait les classes qui portent la surveillance, du connecteur enregistré jusqu’au résultat de contrôle.</w:t>
      </w:r>
    </w:p>
    <w:p>
      <w:pPr>
        <w:keepNext/>
        <w:spacing w:before="160" w:after="0"/>
        <w:jc w:val="center"/>
      </w:pPr>
      <w:r>
        <w:drawing>
          <wp:inline xmlns:a="http://schemas.openxmlformats.org/drawingml/2006/main" xmlns:pic="http://schemas.openxmlformats.org/drawingml/2006/picture">
            <wp:extent cx="5688000" cy="2421959"/>
            <wp:docPr id="13" name="Picture 13"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6"/>
                    <a:stretch>
                      <a:fillRect/>
                    </a:stretch>
                  </pic:blipFill>
                  <pic:spPr>
                    <a:xfrm>
                      <a:off x="0" y="0"/>
                      <a:ext cx="5688000" cy="2421959"/>
                    </a:xfrm>
                    <a:prstGeom prst="rect"/>
                  </pic:spPr>
                </pic:pic>
              </a:graphicData>
            </a:graphic>
          </wp:inline>
        </w:drawing>
      </w:r>
    </w:p>
    <w:p>
      <w:pPr>
        <w:pStyle w:val="Caption"/>
      </w:pPr>
      <w:bookmarkStart w:id="163" w:name="fig_3_9"/>
      <w:r>
        <w:rPr>
          <w:rFonts w:ascii="Times New Roman" w:hAnsi="Times New Roman"/>
          <w:b/>
          <w:color w:val="B1202D"/>
          <w:sz w:val="18"/>
        </w:rPr>
        <w:t>Figure 3.9</w:t>
      </w:r>
      <w:r>
        <w:rPr>
          <w:rFonts w:ascii="Times New Roman" w:hAnsi="Times New Roman"/>
          <w:color w:val="5F6368"/>
          <w:sz w:val="18"/>
        </w:rPr>
        <w:t xml:space="preserve"> : Classes du noyau de surveillance</w:t>
      </w:r>
      <w:bookmarkEnd w:id="163"/>
    </w:p>
    <w:p>
      <w:pPr>
        <w:keepLines/>
        <w:spacing w:after="180"/>
        <w:jc w:val="both"/>
      </w:pPr>
      <w:r>
        <w:rPr>
          <w:rFonts w:ascii="Times New Roman" w:hAnsi="Times New Roman"/>
          <w:b w:val="0"/>
          <w:i w:val="0"/>
          <w:color w:val="202124"/>
          <w:sz w:val="24"/>
        </w:rPr>
        <w:t>DataSource possède les actifs surveillés. Chaque MonitoredTable accumule des TableProfile et peut porter un Incident ainsi qu’une configuration d’alerte. CheckResult conserve le fait mesuré séparément de la décision d’incident.</w:t>
      </w:r>
    </w:p>
    <w:p>
      <w:pPr>
        <w:keepNext/>
        <w:spacing w:after="80"/>
        <w:jc w:val="both"/>
      </w:pPr>
      <w:r>
        <w:rPr>
          <w:rFonts w:ascii="Times New Roman" w:hAnsi="Times New Roman"/>
          <w:b w:val="0"/>
          <w:i w:val="0"/>
          <w:color w:val="202124"/>
          <w:sz w:val="24"/>
        </w:rPr>
        <w:t>La figure 3.10 regroupe identité, invitations, équipes, préférences de notification, astreintes et clés d’API autour de l’organisation.</w:t>
      </w:r>
    </w:p>
    <w:p>
      <w:pPr>
        <w:keepNext/>
        <w:spacing w:before="160" w:after="0"/>
        <w:jc w:val="center"/>
      </w:pPr>
      <w:r>
        <w:drawing>
          <wp:inline xmlns:a="http://schemas.openxmlformats.org/drawingml/2006/main" xmlns:pic="http://schemas.openxmlformats.org/drawingml/2006/picture">
            <wp:extent cx="5688000" cy="1672498"/>
            <wp:docPr id="14" name="Picture 14"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7"/>
                    <a:stretch>
                      <a:fillRect/>
                    </a:stretch>
                  </pic:blipFill>
                  <pic:spPr>
                    <a:xfrm>
                      <a:off x="0" y="0"/>
                      <a:ext cx="5688000" cy="1672498"/>
                    </a:xfrm>
                    <a:prstGeom prst="rect"/>
                  </pic:spPr>
                </pic:pic>
              </a:graphicData>
            </a:graphic>
          </wp:inline>
        </w:drawing>
      </w:r>
    </w:p>
    <w:p>
      <w:pPr>
        <w:pStyle w:val="Caption"/>
      </w:pPr>
      <w:bookmarkStart w:id="164" w:name="fig_3_10"/>
      <w:r>
        <w:rPr>
          <w:rFonts w:ascii="Times New Roman" w:hAnsi="Times New Roman"/>
          <w:b/>
          <w:color w:val="B1202D"/>
          <w:sz w:val="18"/>
        </w:rPr>
        <w:t>Figure 3.10</w:t>
      </w:r>
      <w:r>
        <w:rPr>
          <w:rFonts w:ascii="Times New Roman" w:hAnsi="Times New Roman"/>
          <w:color w:val="5F6368"/>
          <w:sz w:val="18"/>
        </w:rPr>
        <w:t xml:space="preserve"> : Classes d’identité et de collaboration</w:t>
      </w:r>
      <w:bookmarkEnd w:id="164"/>
    </w:p>
    <w:p>
      <w:pPr>
        <w:keepLines/>
        <w:spacing w:after="180"/>
        <w:jc w:val="both"/>
      </w:pPr>
      <w:r>
        <w:rPr>
          <w:rFonts w:ascii="Times New Roman" w:hAnsi="Times New Roman"/>
          <w:b w:val="0"/>
          <w:i w:val="0"/>
          <w:color w:val="202124"/>
          <w:sz w:val="24"/>
        </w:rPr>
        <w:t>Organization constitue la frontière de tenant. Les associations TeamMember et OncallSchedule rendent l’affectation explicite, alors que StaffUser reste hors de ce graphe afin de préserver la séparation entre comptes clients et comptes internes.</w:t>
      </w:r>
    </w:p>
    <w:p>
      <w:pPr>
        <w:keepNext/>
        <w:spacing w:after="80"/>
        <w:jc w:val="both"/>
      </w:pPr>
      <w:r>
        <w:rPr>
          <w:rFonts w:ascii="Times New Roman" w:hAnsi="Times New Roman"/>
          <w:b w:val="0"/>
          <w:i w:val="0"/>
          <w:color w:val="202124"/>
          <w:sz w:val="24"/>
        </w:rPr>
        <w:t>La figure 3.11 détaille le modèle des moniteurs typés et la conservation de leurs révisions.</w:t>
      </w:r>
    </w:p>
    <w:p>
      <w:pPr>
        <w:keepNext/>
        <w:spacing w:before="160" w:after="0"/>
        <w:jc w:val="center"/>
      </w:pPr>
      <w:r>
        <w:drawing>
          <wp:inline xmlns:a="http://schemas.openxmlformats.org/drawingml/2006/main" xmlns:pic="http://schemas.openxmlformats.org/drawingml/2006/picture">
            <wp:extent cx="5688000" cy="1972382"/>
            <wp:docPr id="15" name="Picture 15"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8"/>
                    <a:stretch>
                      <a:fillRect/>
                    </a:stretch>
                  </pic:blipFill>
                  <pic:spPr>
                    <a:xfrm>
                      <a:off x="0" y="0"/>
                      <a:ext cx="5688000" cy="1972382"/>
                    </a:xfrm>
                    <a:prstGeom prst="rect"/>
                  </pic:spPr>
                </pic:pic>
              </a:graphicData>
            </a:graphic>
          </wp:inline>
        </w:drawing>
      </w:r>
    </w:p>
    <w:p>
      <w:pPr>
        <w:pStyle w:val="Caption"/>
      </w:pPr>
      <w:bookmarkStart w:id="165" w:name="fig_3_11"/>
      <w:r>
        <w:rPr>
          <w:rFonts w:ascii="Times New Roman" w:hAnsi="Times New Roman"/>
          <w:b/>
          <w:color w:val="B1202D"/>
          <w:sz w:val="18"/>
        </w:rPr>
        <w:t>Figure 3.11</w:t>
      </w:r>
      <w:r>
        <w:rPr>
          <w:rFonts w:ascii="Times New Roman" w:hAnsi="Times New Roman"/>
          <w:color w:val="5F6368"/>
          <w:sz w:val="18"/>
        </w:rPr>
        <w:t xml:space="preserve"> : Classes des moniteurs typés et révisions</w:t>
      </w:r>
      <w:bookmarkEnd w:id="165"/>
    </w:p>
    <w:p>
      <w:pPr>
        <w:keepLines/>
        <w:spacing w:after="180"/>
        <w:jc w:val="both"/>
      </w:pPr>
      <w:r>
        <w:rPr>
          <w:rFonts w:ascii="Times New Roman" w:hAnsi="Times New Roman"/>
          <w:b w:val="0"/>
          <w:i w:val="0"/>
          <w:color w:val="202124"/>
          <w:sz w:val="24"/>
        </w:rPr>
        <w:t>Monitor porte l’identité stable et pointe vers une révision courante. MonitorRevision, MonitorRun et les états d’évaluation séparent définition, exécution et temporisation des alertes. Une modification ne réécrit donc pas la règle qui a produit un résultat passé.</w:t>
      </w:r>
    </w:p>
    <w:p>
      <w:pPr>
        <w:keepNext/>
        <w:spacing w:after="80"/>
        <w:jc w:val="both"/>
      </w:pPr>
      <w:r>
        <w:rPr>
          <w:rFonts w:ascii="Times New Roman" w:hAnsi="Times New Roman"/>
          <w:b w:val="0"/>
          <w:i w:val="0"/>
          <w:color w:val="202124"/>
          <w:sz w:val="24"/>
        </w:rPr>
        <w:t>La figure 3.12 présente les classes du registre expérimental de gouvernance IA.</w:t>
      </w:r>
    </w:p>
    <w:p>
      <w:pPr>
        <w:keepNext/>
        <w:spacing w:before="160" w:after="0"/>
        <w:jc w:val="center"/>
      </w:pPr>
      <w:r>
        <w:drawing>
          <wp:inline xmlns:a="http://schemas.openxmlformats.org/drawingml/2006/main" xmlns:pic="http://schemas.openxmlformats.org/drawingml/2006/picture">
            <wp:extent cx="5688000" cy="2465159"/>
            <wp:docPr id="16" name="Picture 16"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9"/>
                    <a:stretch>
                      <a:fillRect/>
                    </a:stretch>
                  </pic:blipFill>
                  <pic:spPr>
                    <a:xfrm>
                      <a:off x="0" y="0"/>
                      <a:ext cx="5688000" cy="2465159"/>
                    </a:xfrm>
                    <a:prstGeom prst="rect"/>
                  </pic:spPr>
                </pic:pic>
              </a:graphicData>
            </a:graphic>
          </wp:inline>
        </w:drawing>
      </w:r>
    </w:p>
    <w:p>
      <w:pPr>
        <w:pStyle w:val="Caption"/>
      </w:pPr>
      <w:bookmarkStart w:id="166" w:name="fig_3_12"/>
      <w:r>
        <w:rPr>
          <w:rFonts w:ascii="Times New Roman" w:hAnsi="Times New Roman"/>
          <w:b/>
          <w:color w:val="B1202D"/>
          <w:sz w:val="18"/>
        </w:rPr>
        <w:t>Figure 3.12</w:t>
      </w:r>
      <w:r>
        <w:rPr>
          <w:rFonts w:ascii="Times New Roman" w:hAnsi="Times New Roman"/>
          <w:color w:val="5F6368"/>
          <w:sz w:val="18"/>
        </w:rPr>
        <w:t xml:space="preserve"> : Classes du registre de gouvernance IA</w:t>
      </w:r>
      <w:bookmarkEnd w:id="166"/>
    </w:p>
    <w:p>
      <w:pPr>
        <w:keepLines/>
        <w:spacing w:after="180"/>
        <w:jc w:val="both"/>
      </w:pPr>
      <w:r>
        <w:rPr>
          <w:rFonts w:ascii="Times New Roman" w:hAnsi="Times New Roman"/>
          <w:b w:val="0"/>
          <w:i w:val="0"/>
          <w:color w:val="202124"/>
          <w:sz w:val="24"/>
        </w:rPr>
        <w:t>AISystem sert de racine à des versions, usages déclarés, manifestes, déploiements, approbations et preuves. Les évaluations et incidents conservent leur provenance, mais ce modèle de traçabilité reste observe-only et ne représente pas une certification automatisée.</w:t>
      </w:r>
    </w:p>
    <w:p>
      <w:pPr>
        <w:spacing w:after="140"/>
        <w:jc w:val="both"/>
      </w:pPr>
      <w:r>
        <w:rPr>
          <w:rFonts w:ascii="Times New Roman" w:hAnsi="Times New Roman"/>
          <w:b w:val="0"/>
          <w:i w:val="0"/>
          <w:color w:val="202124"/>
          <w:sz w:val="24"/>
        </w:rPr>
        <w:t>Le modèle de la figure 3.3 se concentre sur le noyau métier. L’organisation possède ses utilisateurs et ses sources. Chaque source expose des tables surveillées, dont les profils alimentent les contrôles, incidents, moniteurs et alertes. Les révisions de moniteur sont immuables afin de conserver l’historique des définitions.</w:t>
      </w:r>
    </w:p>
    <w:p>
      <w:pPr>
        <w:pStyle w:val="Heading2"/>
      </w:pPr>
      <w:bookmarkStart w:id="167" w:name="body_197"/>
      <w:r>
        <w:rPr>
          <w:rFonts w:ascii="Times New Roman" w:hAnsi="Times New Roman"/>
          <w:b/>
          <w:color w:val="202124"/>
          <w:sz w:val="29"/>
        </w:rPr>
        <w:t>3.4 Architecture proposée</w:t>
      </w:r>
      <w:bookmarkEnd w:id="167"/>
    </w:p>
    <w:p>
      <w:pPr>
        <w:pStyle w:val="Heading3"/>
      </w:pPr>
      <w:bookmarkStart w:id="168" w:name="extra_3_4_1_Vue_logique_en_couches"/>
      <w:r>
        <w:rPr>
          <w:rFonts w:ascii="Times New Roman" w:hAnsi="Times New Roman"/>
          <w:b/>
          <w:color w:val="202124"/>
          <w:sz w:val="25"/>
        </w:rPr>
        <w:t>3.4.1 Vue logique en couches</w:t>
      </w:r>
      <w:bookmarkEnd w:id="168"/>
    </w:p>
    <w:p>
      <w:pPr>
        <w:spacing w:after="140"/>
        <w:jc w:val="both"/>
      </w:pPr>
      <w:r>
        <w:rPr>
          <w:rFonts w:ascii="Times New Roman" w:hAnsi="Times New Roman"/>
          <w:b w:val="0"/>
          <w:i w:val="0"/>
          <w:color w:val="202124"/>
          <w:sz w:val="24"/>
        </w:rPr>
        <w:t>La couche présentation regroupe l’application React et ses composants d’état. Elle ne contient pas les règles d’isolation.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9" w:name="extra_3_4_2_Ex_cution_asynchrone"/>
      <w:r>
        <w:rPr>
          <w:rFonts w:ascii="Times New Roman" w:hAnsi="Times New Roman"/>
          <w:b/>
          <w:color w:val="202124"/>
          <w:sz w:val="25"/>
        </w:rPr>
        <w:t>3.4.2 Exécution asynchrone</w:t>
      </w:r>
      <w:bookmarkEnd w:id="169"/>
    </w:p>
    <w:p>
      <w:pPr>
        <w:spacing w:after="140"/>
        <w:jc w:val="both"/>
      </w:pPr>
      <w:r>
        <w:rPr>
          <w:rFonts w:ascii="Times New Roman" w:hAnsi="Times New Roman"/>
          <w:b w:val="0"/>
          <w:i w:val="0"/>
          <w:color w:val="202124"/>
          <w:sz w:val="24"/>
        </w:rPr>
        <w:t>Le profilage peut dépasser la durée acceptable d’une requête interactive. Il est donc exécuté par Celery. Redis porte la file et certains caches, tandis qu’APScheduler maintient un job par table active. Cette chaîne forme le plan d’exécution distribué du produit : l’API accepte la demande, la file découple le rythme des sources de celui des workers, puis chaque tâche persiste un résultat rejouable.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70" w:name="extra_3_4_3_Architecture_des_connecteu"/>
      <w:r>
        <w:rPr>
          <w:rFonts w:ascii="Times New Roman" w:hAnsi="Times New Roman"/>
          <w:b/>
          <w:color w:val="202124"/>
          <w:sz w:val="25"/>
        </w:rPr>
        <w:t>3.4.3 Architecture des connecteurs</w:t>
      </w:r>
      <w:bookmarkEnd w:id="170"/>
    </w:p>
    <w:p>
      <w:pPr>
        <w:spacing w:after="140"/>
        <w:jc w:val="both"/>
      </w:pPr>
      <w:r>
        <w:rPr>
          <w:rFonts w:ascii="Times New Roman" w:hAnsi="Times New Roman"/>
          <w:b w:val="0"/>
          <w:i w:val="0"/>
          <w:color w:val="202124"/>
          <w:sz w:val="24"/>
        </w:rPr>
        <w:t>Un contrat BaseConnector uniformise le test de connexion, la découverte, l’introspection et l’exécution de la requête de profil. Les capacités sont déclarées par connecteur plutôt que supposées. PostgreSQL constitue la verticale stable. DuckDB et SQLite sont positionnés en bêta. Les autres adaptateurs demandent des validations réelles supplémentaires. Ce modèle permet d’étendre le catalogue sans présenter tous les connecteurs comme équivalents.</w:t>
      </w:r>
    </w:p>
    <w:p>
      <w:pPr>
        <w:keepNext/>
        <w:spacing w:after="80"/>
        <w:jc w:val="both"/>
      </w:pPr>
      <w:r>
        <w:rPr>
          <w:rFonts w:ascii="Times New Roman" w:hAnsi="Times New Roman"/>
          <w:b w:val="0"/>
          <w:i w:val="0"/>
          <w:color w:val="202124"/>
          <w:sz w:val="24"/>
        </w:rPr>
        <w:t>La figure 3.13 situe les composants de DataWatch entre interface, API, traitements différés, persistance et services externes.</w:t>
      </w:r>
    </w:p>
    <w:p>
      <w:pPr>
        <w:keepNext/>
        <w:spacing w:before="160" w:after="0"/>
        <w:jc w:val="center"/>
      </w:pPr>
      <w:r>
        <w:drawing>
          <wp:inline xmlns:a="http://schemas.openxmlformats.org/drawingml/2006/main" xmlns:pic="http://schemas.openxmlformats.org/drawingml/2006/picture">
            <wp:extent cx="5098789" cy="5472000"/>
            <wp:docPr id="17" name="Picture 17"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30"/>
                    <a:stretch>
                      <a:fillRect/>
                    </a:stretch>
                  </pic:blipFill>
                  <pic:spPr>
                    <a:xfrm>
                      <a:off x="0" y="0"/>
                      <a:ext cx="5098789" cy="5472000"/>
                    </a:xfrm>
                    <a:prstGeom prst="rect"/>
                  </pic:spPr>
                </pic:pic>
              </a:graphicData>
            </a:graphic>
          </wp:inline>
        </w:drawing>
      </w:r>
    </w:p>
    <w:p>
      <w:pPr>
        <w:pStyle w:val="Caption"/>
      </w:pPr>
      <w:bookmarkStart w:id="171" w:name="fig_3_13"/>
      <w:r>
        <w:rPr>
          <w:rFonts w:ascii="Times New Roman" w:hAnsi="Times New Roman"/>
          <w:b/>
          <w:color w:val="B1202D"/>
          <w:sz w:val="18"/>
        </w:rPr>
        <w:t>Figure 3.13</w:t>
      </w:r>
      <w:r>
        <w:rPr>
          <w:rFonts w:ascii="Times New Roman" w:hAnsi="Times New Roman"/>
          <w:color w:val="5F6368"/>
          <w:sz w:val="18"/>
        </w:rPr>
        <w:t xml:space="preserve"> : Architecture logique en couches</w:t>
      </w:r>
      <w:bookmarkEnd w:id="171"/>
    </w:p>
    <w:p>
      <w:pPr>
        <w:keepLines/>
        <w:spacing w:after="180"/>
        <w:jc w:val="both"/>
      </w:pPr>
      <w:r>
        <w:rPr>
          <w:rFonts w:ascii="Times New Roman" w:hAnsi="Times New Roman"/>
          <w:b w:val="0"/>
          <w:i w:val="0"/>
          <w:color w:val="202124"/>
          <w:sz w:val="24"/>
        </w:rPr>
        <w:t>L’API FastAPI centralise contrats et autorisations. Celery absorbe les opérations longues. PostgreSQL conserve l’historique et Redis transporte ou met en cache les travaux temporaires. Les connecteurs demeurent derrière une couche d’adaptation commune.</w:t>
      </w:r>
    </w:p>
    <w:p>
      <w:pPr>
        <w:keepNext/>
        <w:spacing w:after="80"/>
        <w:jc w:val="both"/>
      </w:pPr>
      <w:r>
        <w:rPr>
          <w:rFonts w:ascii="Times New Roman" w:hAnsi="Times New Roman"/>
          <w:b w:val="0"/>
          <w:i w:val="0"/>
          <w:color w:val="202124"/>
          <w:sz w:val="24"/>
        </w:rPr>
        <w:t>La figure 3.14 traduit cette architecture dans la machine Docker Compose utilisée pour la démonstration.</w:t>
      </w:r>
    </w:p>
    <w:p>
      <w:pPr>
        <w:keepNext/>
        <w:spacing w:before="160" w:after="0"/>
        <w:jc w:val="center"/>
      </w:pPr>
      <w:r>
        <w:drawing>
          <wp:inline xmlns:a="http://schemas.openxmlformats.org/drawingml/2006/main" xmlns:pic="http://schemas.openxmlformats.org/drawingml/2006/picture">
            <wp:extent cx="5688000" cy="3294840"/>
            <wp:docPr id="18" name="Picture 18"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1"/>
                    <a:stretch>
                      <a:fillRect/>
                    </a:stretch>
                  </pic:blipFill>
                  <pic:spPr>
                    <a:xfrm>
                      <a:off x="0" y="0"/>
                      <a:ext cx="5688000" cy="3294840"/>
                    </a:xfrm>
                    <a:prstGeom prst="rect"/>
                  </pic:spPr>
                </pic:pic>
              </a:graphicData>
            </a:graphic>
          </wp:inline>
        </w:drawing>
      </w:r>
    </w:p>
    <w:p>
      <w:pPr>
        <w:pStyle w:val="Caption"/>
      </w:pPr>
      <w:bookmarkStart w:id="172" w:name="fig_3_14"/>
      <w:r>
        <w:rPr>
          <w:rFonts w:ascii="Times New Roman" w:hAnsi="Times New Roman"/>
          <w:b/>
          <w:color w:val="B1202D"/>
          <w:sz w:val="18"/>
        </w:rPr>
        <w:t>Figure 3.14</w:t>
      </w:r>
      <w:r>
        <w:rPr>
          <w:rFonts w:ascii="Times New Roman" w:hAnsi="Times New Roman"/>
          <w:color w:val="5F6368"/>
          <w:sz w:val="18"/>
        </w:rPr>
        <w:t xml:space="preserve"> : Déploiement de la pile de démonstration</w:t>
      </w:r>
      <w:bookmarkEnd w:id="172"/>
    </w:p>
    <w:p>
      <w:pPr>
        <w:keepLines/>
        <w:spacing w:after="180"/>
        <w:jc w:val="both"/>
      </w:pPr>
      <w:r>
        <w:rPr>
          <w:rFonts w:ascii="Times New Roman" w:hAnsi="Times New Roman"/>
          <w:b w:val="0"/>
          <w:i w:val="0"/>
          <w:color w:val="202124"/>
          <w:sz w:val="24"/>
        </w:rPr>
        <w:t>Le navigateur atteint le frontend Nginx puis l’API. Le worker partage PostgreSQL et Redis avec l’API, interroge la base métier Acme et remet les courriels à MailHog. Cette topologie prouve le parcours local, pas une haute disponibilité de production.</w:t>
      </w:r>
    </w:p>
    <w:p>
      <w:pPr>
        <w:spacing w:after="140"/>
        <w:jc w:val="both"/>
      </w:pPr>
      <w:r>
        <w:rPr>
          <w:rFonts w:ascii="Times New Roman" w:hAnsi="Times New Roman"/>
          <w:b w:val="0"/>
          <w:i w:val="0"/>
          <w:color w:val="202124"/>
          <w:sz w:val="24"/>
        </w:rPr>
        <w:t>Le cycle de profilage démarre dans APScheduler, qui place une tâche dans Redis. Celery déchiffre la configuration de la source dans le contexte de l’organisation, construit une requête agrégée, puis réduit la table à un profil compact : volume, fraîcheur, schéma, nullité, cardinalité et distributions. Une fois ce snapshot persisté, les règles, le z-score, Isolation Forest, STL et les moniteurs personnalisés peuvent l’évaluer selon l’historique disponible. La narration et l’alerte viennent après l’incident. Une dépendance externe défaillante ne supprime donc jamais le fait technique observé.</w:t>
      </w:r>
    </w:p>
    <w:p>
      <w:pPr>
        <w:spacing w:after="140"/>
        <w:jc w:val="both"/>
      </w:pPr>
      <w:r>
        <w:rPr>
          <w:rFonts w:ascii="Times New Roman" w:hAnsi="Times New Roman"/>
          <w:b w:val="0"/>
          <w:i w:val="0"/>
          <w:color w:val="202124"/>
          <w:sz w:val="24"/>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3" w:name="body_205"/>
      <w:r>
        <w:rPr>
          <w:rFonts w:ascii="Times New Roman" w:hAnsi="Times New Roman"/>
          <w:b/>
          <w:color w:val="202124"/>
          <w:sz w:val="29"/>
        </w:rPr>
        <w:t>3.5 Modèle de données et sécurité</w:t>
      </w:r>
      <w:bookmarkEnd w:id="173"/>
    </w:p>
    <w:p>
      <w:pPr>
        <w:pStyle w:val="Heading3"/>
      </w:pPr>
      <w:bookmarkStart w:id="174" w:name="extra_3_5_1_Isolation_multi_tenant"/>
      <w:r>
        <w:rPr>
          <w:rFonts w:ascii="Times New Roman" w:hAnsi="Times New Roman"/>
          <w:b/>
          <w:color w:val="202124"/>
          <w:sz w:val="25"/>
        </w:rPr>
        <w:t>3.5.1 Isolation multi-tenant</w:t>
      </w:r>
      <w:bookmarkEnd w:id="174"/>
    </w:p>
    <w:p>
      <w:pPr>
        <w:spacing w:after="140"/>
        <w:jc w:val="both"/>
      </w:pPr>
      <w:r>
        <w:rPr>
          <w:rFonts w:ascii="Times New Roman" w:hAnsi="Times New Roman"/>
          <w:b w:val="0"/>
          <w:i w:val="0"/>
          <w:color w:val="202124"/>
          <w:sz w:val="24"/>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5" w:name="extra_3_5_2_Protection_des_secrets"/>
      <w:r>
        <w:rPr>
          <w:rFonts w:ascii="Times New Roman" w:hAnsi="Times New Roman"/>
          <w:b/>
          <w:color w:val="202124"/>
          <w:sz w:val="25"/>
        </w:rPr>
        <w:t>3.5.2 Protection des secrets</w:t>
      </w:r>
      <w:bookmarkEnd w:id="175"/>
    </w:p>
    <w:p>
      <w:pPr>
        <w:spacing w:after="140"/>
        <w:jc w:val="both"/>
      </w:pPr>
      <w:r>
        <w:rPr>
          <w:rFonts w:ascii="Times New Roman" w:hAnsi="Times New Roman"/>
          <w:b w:val="0"/>
          <w:i w:val="0"/>
          <w:color w:val="202124"/>
          <w:sz w:val="24"/>
        </w:rPr>
        <w:t>Les mots de passe sont hachés et les clés API ne sont montrées qu’à leur création. Les configurations de connexion sont chiffrées avec Fernet.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6" w:name="extra_3_5_3_Int_grit_et_conservation"/>
      <w:r>
        <w:rPr>
          <w:rFonts w:ascii="Times New Roman" w:hAnsi="Times New Roman"/>
          <w:b/>
          <w:color w:val="202124"/>
          <w:sz w:val="25"/>
        </w:rPr>
        <w:t>3.5.3 Intégrité et conservation</w:t>
      </w:r>
      <w:bookmarkEnd w:id="176"/>
    </w:p>
    <w:p>
      <w:pPr>
        <w:spacing w:after="140"/>
        <w:jc w:val="both"/>
      </w:pPr>
      <w:r>
        <w:rPr>
          <w:rFonts w:ascii="Times New Roman" w:hAnsi="Times New Roman"/>
          <w:b w:val="0"/>
          <w:i w:val="0"/>
          <w:color w:val="202124"/>
          <w:sz w:val="24"/>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7" w:name="extra_3_5_4_Structure_relationnelle_co"/>
      <w:r>
        <w:rPr>
          <w:rFonts w:ascii="Times New Roman" w:hAnsi="Times New Roman"/>
          <w:b/>
          <w:color w:val="202124"/>
          <w:sz w:val="25"/>
        </w:rPr>
        <w:t>3.5.4 Structure relationnelle complète</w:t>
      </w:r>
      <w:bookmarkEnd w:id="177"/>
    </w:p>
    <w:p>
      <w:pPr>
        <w:spacing w:after="140"/>
        <w:jc w:val="both"/>
      </w:pPr>
      <w:r>
        <w:rPr>
          <w:rFonts w:ascii="Times New Roman" w:hAnsi="Times New Roman"/>
          <w:b w:val="0"/>
          <w:i w:val="0"/>
          <w:color w:val="202124"/>
          <w:sz w:val="24"/>
        </w:rPr>
        <w:t>Le schéma physique compte 29 tables applicatives. La vue d’ensemble révèle quatre masses nettes : identité et collaboration, surveillance, moniteurs typés, gouvernance IA. Trois vues relationnelles détaillées suivent. Le dictionnaire exhaustif, colonnes, types, nullabilité, clés et effectifs seedés, est reporté en annexe afin de garder ce chapitre respirable.</w:t>
      </w:r>
    </w:p>
    <w:p>
      <w:pPr>
        <w:keepNext/>
        <w:spacing w:after="80"/>
        <w:jc w:val="both"/>
      </w:pPr>
      <w:r>
        <w:rPr>
          <w:rFonts w:ascii="Times New Roman" w:hAnsi="Times New Roman"/>
          <w:b w:val="0"/>
          <w:i w:val="0"/>
          <w:color w:val="202124"/>
          <w:sz w:val="24"/>
        </w:rPr>
        <w:t>La figure 3.15 offre une carte compacte des 29 tables applicatives avant leur décomposition en vues lisibles.</w:t>
      </w:r>
    </w:p>
    <w:p>
      <w:pPr>
        <w:keepNext/>
        <w:spacing w:before="160" w:after="0"/>
        <w:jc w:val="center"/>
      </w:pPr>
      <w:r>
        <w:drawing>
          <wp:inline xmlns:a="http://schemas.openxmlformats.org/drawingml/2006/main" xmlns:pic="http://schemas.openxmlformats.org/drawingml/2006/picture">
            <wp:extent cx="5688000" cy="2390732"/>
            <wp:docPr id="19" name="Picture 19"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2"/>
                    <a:stretch>
                      <a:fillRect/>
                    </a:stretch>
                  </pic:blipFill>
                  <pic:spPr>
                    <a:xfrm>
                      <a:off x="0" y="0"/>
                      <a:ext cx="5688000" cy="2390732"/>
                    </a:xfrm>
                    <a:prstGeom prst="rect"/>
                  </pic:spPr>
                </pic:pic>
              </a:graphicData>
            </a:graphic>
          </wp:inline>
        </w:drawing>
      </w:r>
    </w:p>
    <w:p>
      <w:pPr>
        <w:pStyle w:val="Caption"/>
      </w:pPr>
      <w:bookmarkStart w:id="178" w:name="fig_3_15"/>
      <w:r>
        <w:rPr>
          <w:rFonts w:ascii="Times New Roman" w:hAnsi="Times New Roman"/>
          <w:b/>
          <w:color w:val="B1202D"/>
          <w:sz w:val="18"/>
        </w:rPr>
        <w:t>Figure 3.15</w:t>
      </w:r>
      <w:r>
        <w:rPr>
          <w:rFonts w:ascii="Times New Roman" w:hAnsi="Times New Roman"/>
          <w:color w:val="5F6368"/>
          <w:sz w:val="18"/>
        </w:rPr>
        <w:t xml:space="preserve"> : Cartographie des 29 tables applicatives</w:t>
      </w:r>
      <w:bookmarkEnd w:id="178"/>
    </w:p>
    <w:p>
      <w:pPr>
        <w:keepLines/>
        <w:spacing w:after="180"/>
        <w:jc w:val="both"/>
      </w:pPr>
      <w:r>
        <w:rPr>
          <w:rFonts w:ascii="Times New Roman" w:hAnsi="Times New Roman"/>
          <w:b w:val="0"/>
          <w:i w:val="0"/>
          <w:color w:val="202124"/>
          <w:sz w:val="24"/>
        </w:rPr>
        <w:t>Quatre zones apparaissent : identité et collaboration, surveillance, moniteurs versionnés et gouvernance IA. Les relations convergent vers organizations, clé de l’isolation multi-tenant, tandis que staff_users demeure volontairement séparée.</w:t>
      </w:r>
    </w:p>
    <w:p>
      <w:pPr>
        <w:keepNext/>
        <w:spacing w:after="80"/>
        <w:jc w:val="both"/>
      </w:pPr>
      <w:r>
        <w:rPr>
          <w:rFonts w:ascii="Times New Roman" w:hAnsi="Times New Roman"/>
          <w:b w:val="0"/>
          <w:i w:val="0"/>
          <w:color w:val="202124"/>
          <w:sz w:val="24"/>
        </w:rPr>
        <w:t>La figure 3.16 agrandit le modèle relationnel utilisé par le parcours principal de qualité des données.</w:t>
      </w:r>
    </w:p>
    <w:p>
      <w:pPr>
        <w:keepNext/>
        <w:spacing w:before="160" w:after="0"/>
        <w:jc w:val="center"/>
      </w:pPr>
      <w:r>
        <w:drawing>
          <wp:inline xmlns:a="http://schemas.openxmlformats.org/drawingml/2006/main" xmlns:pic="http://schemas.openxmlformats.org/drawingml/2006/picture">
            <wp:extent cx="5411344" cy="5472000"/>
            <wp:docPr id="20" name="Picture 20"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3"/>
                    <a:stretch>
                      <a:fillRect/>
                    </a:stretch>
                  </pic:blipFill>
                  <pic:spPr>
                    <a:xfrm>
                      <a:off x="0" y="0"/>
                      <a:ext cx="5411344" cy="5472000"/>
                    </a:xfrm>
                    <a:prstGeom prst="rect"/>
                  </pic:spPr>
                </pic:pic>
              </a:graphicData>
            </a:graphic>
          </wp:inline>
        </w:drawing>
      </w:r>
    </w:p>
    <w:p>
      <w:pPr>
        <w:pStyle w:val="Caption"/>
      </w:pPr>
      <w:bookmarkStart w:id="179" w:name="fig_3_16"/>
      <w:r>
        <w:rPr>
          <w:rFonts w:ascii="Times New Roman" w:hAnsi="Times New Roman"/>
          <w:b/>
          <w:color w:val="B1202D"/>
          <w:sz w:val="18"/>
        </w:rPr>
        <w:t>Figure 3.16</w:t>
      </w:r>
      <w:r>
        <w:rPr>
          <w:rFonts w:ascii="Times New Roman" w:hAnsi="Times New Roman"/>
          <w:color w:val="5F6368"/>
          <w:sz w:val="18"/>
        </w:rPr>
        <w:t xml:space="preserve"> : Modèle relationnel du cœur de surveillance</w:t>
      </w:r>
      <w:bookmarkEnd w:id="179"/>
    </w:p>
    <w:p>
      <w:pPr>
        <w:keepLines/>
        <w:spacing w:after="180"/>
        <w:jc w:val="both"/>
      </w:pPr>
      <w:r>
        <w:rPr>
          <w:rFonts w:ascii="Times New Roman" w:hAnsi="Times New Roman"/>
          <w:b w:val="0"/>
          <w:i w:val="0"/>
          <w:color w:val="202124"/>
          <w:sz w:val="24"/>
        </w:rPr>
        <w:t>Les clés étrangères relient source, table, profils, résultats et incidents sans dupliquer le fait observé. Les configurations d’alerte et moniteurs restent rattachés au même tenant, ce qui permet de vérifier l’appartenance lors de chaque opération.</w:t>
      </w:r>
    </w:p>
    <w:p>
      <w:pPr>
        <w:keepNext/>
        <w:spacing w:after="80"/>
        <w:jc w:val="both"/>
      </w:pPr>
      <w:r>
        <w:rPr>
          <w:rFonts w:ascii="Times New Roman" w:hAnsi="Times New Roman"/>
          <w:b w:val="0"/>
          <w:i w:val="0"/>
          <w:color w:val="202124"/>
          <w:sz w:val="24"/>
        </w:rPr>
        <w:t>La figure 3.17 isole les tables d’identité, d’invitation, d’équipe et d’astreinte.</w:t>
      </w:r>
    </w:p>
    <w:p>
      <w:pPr>
        <w:keepNext/>
        <w:spacing w:before="160" w:after="0"/>
        <w:jc w:val="center"/>
      </w:pPr>
      <w:r>
        <w:drawing>
          <wp:inline xmlns:a="http://schemas.openxmlformats.org/drawingml/2006/main" xmlns:pic="http://schemas.openxmlformats.org/drawingml/2006/picture">
            <wp:extent cx="5688000" cy="4002778"/>
            <wp:docPr id="21" name="Picture 21"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4"/>
                    <a:stretch>
                      <a:fillRect/>
                    </a:stretch>
                  </pic:blipFill>
                  <pic:spPr>
                    <a:xfrm>
                      <a:off x="0" y="0"/>
                      <a:ext cx="5688000" cy="4002778"/>
                    </a:xfrm>
                    <a:prstGeom prst="rect"/>
                  </pic:spPr>
                </pic:pic>
              </a:graphicData>
            </a:graphic>
          </wp:inline>
        </w:drawing>
      </w:r>
    </w:p>
    <w:p>
      <w:pPr>
        <w:pStyle w:val="Caption"/>
      </w:pPr>
      <w:bookmarkStart w:id="180" w:name="fig_3_17"/>
      <w:r>
        <w:rPr>
          <w:rFonts w:ascii="Times New Roman" w:hAnsi="Times New Roman"/>
          <w:b/>
          <w:color w:val="B1202D"/>
          <w:sz w:val="18"/>
        </w:rPr>
        <w:t>Figure 3.17</w:t>
      </w:r>
      <w:r>
        <w:rPr>
          <w:rFonts w:ascii="Times New Roman" w:hAnsi="Times New Roman"/>
          <w:color w:val="5F6368"/>
          <w:sz w:val="18"/>
        </w:rPr>
        <w:t xml:space="preserve"> : Modèle relationnel identité, équipes et astreintes</w:t>
      </w:r>
      <w:bookmarkEnd w:id="180"/>
    </w:p>
    <w:p>
      <w:pPr>
        <w:keepLines/>
        <w:spacing w:after="180"/>
        <w:jc w:val="both"/>
      </w:pPr>
      <w:r>
        <w:rPr>
          <w:rFonts w:ascii="Times New Roman" w:hAnsi="Times New Roman"/>
          <w:b w:val="0"/>
          <w:i w:val="0"/>
          <w:color w:val="202124"/>
          <w:sz w:val="24"/>
        </w:rPr>
        <w:t>Les rôles d’organisation et d’équipe sont distincts. Cette granularité autorise, par exemple, un membre ordinaire du workspace à devenir responsable opérationnel d’une équipe sans lui donner les droits d’administration du tenant.</w:t>
      </w:r>
    </w:p>
    <w:p>
      <w:pPr>
        <w:keepNext/>
        <w:spacing w:after="80"/>
        <w:jc w:val="both"/>
      </w:pPr>
      <w:r>
        <w:rPr>
          <w:rFonts w:ascii="Times New Roman" w:hAnsi="Times New Roman"/>
          <w:b w:val="0"/>
          <w:i w:val="0"/>
          <w:color w:val="202124"/>
          <w:sz w:val="24"/>
        </w:rPr>
        <w:t>La figure 3.18 développe la partie relationnelle consacrée au prototype de gouvernance IA.</w:t>
      </w:r>
    </w:p>
    <w:p>
      <w:pPr>
        <w:keepNext/>
        <w:spacing w:before="160" w:after="0"/>
        <w:jc w:val="center"/>
      </w:pPr>
      <w:r>
        <w:drawing>
          <wp:inline xmlns:a="http://schemas.openxmlformats.org/drawingml/2006/main" xmlns:pic="http://schemas.openxmlformats.org/drawingml/2006/picture">
            <wp:extent cx="3873828" cy="5472000"/>
            <wp:docPr id="22" name="Picture 22"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5"/>
                    <a:stretch>
                      <a:fillRect/>
                    </a:stretch>
                  </pic:blipFill>
                  <pic:spPr>
                    <a:xfrm>
                      <a:off x="0" y="0"/>
                      <a:ext cx="3873828" cy="5472000"/>
                    </a:xfrm>
                    <a:prstGeom prst="rect"/>
                  </pic:spPr>
                </pic:pic>
              </a:graphicData>
            </a:graphic>
          </wp:inline>
        </w:drawing>
      </w:r>
    </w:p>
    <w:p>
      <w:pPr>
        <w:pStyle w:val="Caption"/>
      </w:pPr>
      <w:bookmarkStart w:id="181" w:name="fig_3_18"/>
      <w:r>
        <w:rPr>
          <w:rFonts w:ascii="Times New Roman" w:hAnsi="Times New Roman"/>
          <w:b/>
          <w:color w:val="B1202D"/>
          <w:sz w:val="18"/>
        </w:rPr>
        <w:t>Figure 3.18</w:t>
      </w:r>
      <w:r>
        <w:rPr>
          <w:rFonts w:ascii="Times New Roman" w:hAnsi="Times New Roman"/>
          <w:color w:val="5F6368"/>
          <w:sz w:val="18"/>
        </w:rPr>
        <w:t xml:space="preserve"> : Modèle relationnel du registre de gouvernance IA</w:t>
      </w:r>
      <w:bookmarkEnd w:id="181"/>
    </w:p>
    <w:p>
      <w:pPr>
        <w:keepLines/>
        <w:spacing w:after="180"/>
        <w:jc w:val="both"/>
      </w:pPr>
      <w:r>
        <w:rPr>
          <w:rFonts w:ascii="Times New Roman" w:hAnsi="Times New Roman"/>
          <w:b w:val="0"/>
          <w:i w:val="0"/>
          <w:color w:val="202124"/>
          <w:sz w:val="24"/>
        </w:rPr>
        <w:t>Les révisions et manifestes sont conservés comme instantanés, puis reliés aux déploiements, preuves et évaluations. Cette structure prépare la traçabilité et le rejeu. Elle ne démontre ni l’équité du modèle ni son usage juridique conforme.</w:t>
      </w:r>
    </w:p>
    <w:p>
      <w:pPr>
        <w:spacing w:after="140"/>
        <w:jc w:val="both"/>
      </w:pPr>
      <w:r>
        <w:rPr>
          <w:rFonts w:ascii="Times New Roman" w:hAnsi="Times New Roman"/>
          <w:b w:val="0"/>
          <w:i w:val="0"/>
          <w:color w:val="202124"/>
          <w:sz w:val="24"/>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40"/>
        <w:jc w:val="both"/>
      </w:pPr>
      <w:r>
        <w:rPr>
          <w:rFonts w:ascii="Times New Roman" w:hAnsi="Times New Roman"/>
          <w:b w:val="0"/>
          <w:i w:val="0"/>
          <w:color w:val="202124"/>
          <w:sz w:val="24"/>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2" w:name="body_207"/>
      <w:r>
        <w:rPr>
          <w:rFonts w:ascii="Times New Roman" w:hAnsi="Times New Roman"/>
          <w:b/>
          <w:color w:val="202124"/>
          <w:sz w:val="29"/>
        </w:rPr>
        <w:t>3.6 Gouvernance de la couche IA</w:t>
      </w:r>
      <w:bookmarkEnd w:id="182"/>
    </w:p>
    <w:p>
      <w:pPr>
        <w:spacing w:after="140"/>
        <w:jc w:val="both"/>
      </w:pPr>
      <w:r>
        <w:rPr>
          <w:rFonts w:ascii="Times New Roman" w:hAnsi="Times New Roman"/>
          <w:b w:val="0"/>
          <w:i w:val="0"/>
          <w:color w:val="202124"/>
          <w:sz w:val="24"/>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140"/>
        <w:jc w:val="both"/>
      </w:pPr>
      <w:r>
        <w:rPr>
          <w:rFonts w:ascii="Times New Roman" w:hAnsi="Times New Roman"/>
          <w:b w:val="0"/>
          <w:i w:val="0"/>
          <w:color w:val="202124"/>
          <w:sz w:val="24"/>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140"/>
        <w:jc w:val="both"/>
      </w:pPr>
      <w:r>
        <w:rPr>
          <w:rFonts w:ascii="Times New Roman" w:hAnsi="Times New Roman"/>
          <w:b w:val="0"/>
          <w:i w:val="0"/>
          <w:color w:val="202124"/>
          <w:sz w:val="24"/>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3" w:name="body_209"/>
      <w:r>
        <w:rPr>
          <w:rFonts w:ascii="Times New Roman" w:hAnsi="Times New Roman"/>
          <w:b/>
          <w:color w:val="202124"/>
          <w:sz w:val="29"/>
        </w:rPr>
        <w:t>3.7 Conclusion</w:t>
      </w:r>
      <w:bookmarkEnd w:id="183"/>
    </w:p>
    <w:p>
      <w:pPr>
        <w:spacing w:after="140"/>
        <w:jc w:val="both"/>
      </w:pPr>
      <w:r>
        <w:rPr>
          <w:rFonts w:ascii="Times New Roman" w:hAnsi="Times New Roman"/>
          <w:b w:val="0"/>
          <w:i w:val="0"/>
          <w:color w:val="202124"/>
          <w:sz w:val="24"/>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4" w:name="body_211"/>
      <w:r>
        <w:rPr>
          <w:rFonts w:ascii="Times New Roman" w:hAnsi="Times New Roman"/>
          <w:b/>
          <w:color w:val="202124"/>
          <w:sz w:val="38"/>
        </w:rPr>
        <w:t>CHAPITRE 4 : IMPLÉMENTATION TECHNIQUE ET TESTS</w:t>
      </w:r>
      <w:bookmarkEnd w:id="184"/>
    </w:p>
    <w:p>
      <w:pPr>
        <w:pStyle w:val="Heading2"/>
      </w:pPr>
      <w:bookmarkStart w:id="185" w:name="body_212"/>
      <w:r>
        <w:rPr>
          <w:rFonts w:ascii="Times New Roman" w:hAnsi="Times New Roman"/>
          <w:b/>
          <w:color w:val="202124"/>
          <w:sz w:val="29"/>
        </w:rPr>
        <w:t>4.1 Introduction</w:t>
      </w:r>
      <w:bookmarkEnd w:id="185"/>
    </w:p>
    <w:p>
      <w:pPr>
        <w:spacing w:after="140"/>
        <w:jc w:val="both"/>
      </w:pPr>
      <w:r>
        <w:rPr>
          <w:rFonts w:ascii="Times New Roman" w:hAnsi="Times New Roman"/>
          <w:b w:val="0"/>
          <w:i w:val="0"/>
          <w:color w:val="202124"/>
          <w:sz w:val="24"/>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6" w:name="body_214"/>
      <w:r>
        <w:rPr>
          <w:rFonts w:ascii="Times New Roman" w:hAnsi="Times New Roman"/>
          <w:b/>
          <w:color w:val="202124"/>
          <w:sz w:val="29"/>
        </w:rPr>
        <w:t>4.2 Workflow proposé</w:t>
      </w:r>
      <w:bookmarkEnd w:id="186"/>
    </w:p>
    <w:p>
      <w:pPr>
        <w:pStyle w:val="Heading3"/>
      </w:pPr>
      <w:bookmarkStart w:id="187" w:name="extra_4_2_1_Enregistrement_et_planific"/>
      <w:r>
        <w:rPr>
          <w:rFonts w:ascii="Times New Roman" w:hAnsi="Times New Roman"/>
          <w:b/>
          <w:color w:val="202124"/>
          <w:sz w:val="25"/>
        </w:rPr>
        <w:t>4.2.1 Enregistrement et planification</w:t>
      </w:r>
      <w:bookmarkEnd w:id="187"/>
    </w:p>
    <w:p>
      <w:pPr>
        <w:spacing w:after="140"/>
        <w:jc w:val="both"/>
      </w:pPr>
      <w:r>
        <w:rPr>
          <w:rFonts w:ascii="Times New Roman" w:hAnsi="Times New Roman"/>
          <w:b w:val="0"/>
          <w:i w:val="0"/>
          <w:color w:val="202124"/>
          <w:sz w:val="24"/>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Les recommandations considérées risquées ou reposant sur du SQL personnalisé sont laissées en attente de revue.</w:t>
      </w:r>
    </w:p>
    <w:p>
      <w:pPr>
        <w:pStyle w:val="Heading3"/>
      </w:pPr>
      <w:bookmarkStart w:id="188" w:name="extra_4_2_2_Profilage_et_d_tection"/>
      <w:r>
        <w:rPr>
          <w:rFonts w:ascii="Times New Roman" w:hAnsi="Times New Roman"/>
          <w:b/>
          <w:color w:val="202124"/>
          <w:sz w:val="25"/>
        </w:rPr>
        <w:t>4.2.2 Profilage et détection</w:t>
      </w:r>
      <w:bookmarkEnd w:id="188"/>
    </w:p>
    <w:p>
      <w:pPr>
        <w:spacing w:after="140"/>
        <w:jc w:val="both"/>
      </w:pPr>
      <w:r>
        <w:rPr>
          <w:rFonts w:ascii="Times New Roman" w:hAnsi="Times New Roman"/>
          <w:b w:val="0"/>
          <w:i w:val="0"/>
          <w:color w:val="202124"/>
          <w:sz w:val="24"/>
        </w:rPr>
        <w:t>Le profileur construit une requête unique regroupant comptage, fraîcheur, cardinalité et statistiques de colonnes. Le résultat devient un snapshot TableProfile. Les règles déterministes s’appliquent immédiatement. Les méthodes historiques s’activent seulement lorsque le nombre de profils est suffisant. Le score et la plage attendue sont persistés afin que l’interface puisse expliquer pourquoi un contrôle a échoué.</w:t>
      </w:r>
    </w:p>
    <w:p>
      <w:pPr>
        <w:pStyle w:val="Heading3"/>
      </w:pPr>
      <w:bookmarkStart w:id="189" w:name="extra_4_2_3_Incident_narration_et_aler"/>
      <w:r>
        <w:rPr>
          <w:rFonts w:ascii="Times New Roman" w:hAnsi="Times New Roman"/>
          <w:b/>
          <w:color w:val="202124"/>
          <w:sz w:val="25"/>
        </w:rPr>
        <w:t>4.2.3 Incident, narration et alerte</w:t>
      </w:r>
      <w:bookmarkEnd w:id="189"/>
    </w:p>
    <w:p>
      <w:pPr>
        <w:spacing w:after="140"/>
        <w:jc w:val="both"/>
      </w:pPr>
      <w:r>
        <w:rPr>
          <w:rFonts w:ascii="Times New Roman" w:hAnsi="Times New Roman"/>
          <w:b w:val="0"/>
          <w:i w:val="0"/>
          <w:color w:val="202124"/>
          <w:sz w:val="24"/>
        </w:rPr>
        <w:t>Les échecs sont regroupés par table. Un incident déjà ouvert reçoit la nouvelle occurrence au lieu d’être dupliqué. La sévérité P1 est réservée aux ruptures les plus critiques, notamment table vide ou fraîcheur dépassée. Les dérives de schéma et cumuls d’échecs produisent généralement P2. Les écarts isolés restent P3. La narration utilise ensuite un contexte compact, validé par un schéma, et les alertes filtrent les routes selon leur seuil minimal.</w:t>
      </w:r>
    </w:p>
    <w:p>
      <w:pPr>
        <w:spacing w:after="140"/>
        <w:jc w:val="both"/>
      </w:pPr>
      <w:r>
        <w:rPr>
          <w:rFonts w:ascii="Times New Roman" w:hAnsi="Times New Roman"/>
          <w:b w:val="0"/>
          <w:i w:val="0"/>
          <w:color w:val="202124"/>
          <w:sz w:val="24"/>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90" w:name="body_216"/>
      <w:r>
        <w:rPr>
          <w:rFonts w:ascii="Times New Roman" w:hAnsi="Times New Roman"/>
          <w:b/>
          <w:color w:val="202124"/>
          <w:sz w:val="29"/>
        </w:rPr>
        <w:t>4.3 Technologies utilisées</w:t>
      </w:r>
      <w:bookmarkEnd w:id="190"/>
    </w:p>
    <w:p>
      <w:pPr>
        <w:pStyle w:val="Caption"/>
        <w:keepNext/>
        <w:spacing w:before="160" w:after="100"/>
        <w:jc w:val="left"/>
      </w:pPr>
      <w:bookmarkStart w:id="191"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91"/>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Aucune technologie n’est ici décorative. PostgreSQL conserve l’historique et les contraintes. Redis et Celery encaissent la cadence variable des profils. Les connecteurs absorbent la diversité des dialectes. Scikit-learn et statsmodels portent les détecteurs non supervisés et temporels. L’API compatible OpenAI transforme enfin les faits déjà calculés en explication structurée. L’architecture Big Data et IA vient de cet enchaînement, pas de l’ajout nominal d’un outil isolé.</w:t>
      </w:r>
    </w:p>
    <w:p>
      <w:pPr>
        <w:spacing w:after="140"/>
        <w:jc w:val="both"/>
      </w:pPr>
      <w:r>
        <w:rPr>
          <w:rFonts w:ascii="Times New Roman" w:hAnsi="Times New Roman"/>
          <w:b w:val="0"/>
          <w:i w:val="0"/>
          <w:color w:val="202124"/>
          <w:sz w:val="24"/>
        </w:rPr>
        <w:t>Le choix des technologies suit les points de pression réels du produit : FastAPI expose des contrats asynchrones. PostgreSQL verrouille transactions, historique et isolation. Redis et Celery découplent la cadence de collecte du temps de réponse utilisateur. Les bibliothèques statistiques exécutent les détecteurs. React rend l’enquête lisible. Docker Compose fige la démonstration. L’ensemble peut évoluer composant par composant sans casser la chaîne de preuve de bout en bout.</w:t>
      </w:r>
    </w:p>
    <w:p>
      <w:pPr>
        <w:spacing w:after="140"/>
        <w:jc w:val="both"/>
      </w:pPr>
      <w:r>
        <w:rPr>
          <w:rFonts w:ascii="Times New Roman" w:hAnsi="Times New Roman"/>
          <w:b w:val="0"/>
          <w:i w:val="0"/>
          <w:color w:val="202124"/>
          <w:sz w:val="24"/>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40"/>
        <w:jc w:val="both"/>
      </w:pPr>
      <w:r>
        <w:rPr>
          <w:rFonts w:ascii="Times New Roman" w:hAnsi="Times New Roman"/>
          <w:b w:val="0"/>
          <w:i w:val="0"/>
          <w:color w:val="202124"/>
          <w:sz w:val="24"/>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2" w:name="body_219"/>
      <w:r>
        <w:rPr>
          <w:rFonts w:ascii="Times New Roman" w:hAnsi="Times New Roman"/>
          <w:b/>
          <w:color w:val="202124"/>
          <w:sz w:val="29"/>
        </w:rPr>
        <w:t>4.4 Présentation des interfaces</w:t>
      </w:r>
      <w:bookmarkEnd w:id="192"/>
    </w:p>
    <w:p>
      <w:pPr>
        <w:spacing w:after="140"/>
        <w:jc w:val="both"/>
      </w:pPr>
      <w:r>
        <w:rPr>
          <w:rFonts w:ascii="Times New Roman" w:hAnsi="Times New Roman"/>
          <w:b w:val="0"/>
          <w:i w:val="0"/>
          <w:color w:val="202124"/>
          <w:sz w:val="24"/>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140"/>
        <w:jc w:val="both"/>
      </w:pPr>
      <w:r>
        <w:rPr>
          <w:rFonts w:ascii="Times New Roman" w:hAnsi="Times New Roman"/>
          <w:b w:val="0"/>
          <w:i w:val="0"/>
          <w:color w:val="202124"/>
          <w:sz w:val="24"/>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3" w:name="body_221"/>
      <w:r>
        <w:rPr>
          <w:rFonts w:ascii="Times New Roman" w:hAnsi="Times New Roman"/>
          <w:b/>
          <w:color w:val="202124"/>
          <w:sz w:val="25"/>
        </w:rPr>
        <w:t>4.4.1 Vue Opérations</w:t>
      </w:r>
      <w:bookmarkEnd w:id="193"/>
    </w:p>
    <w:p>
      <w:pPr>
        <w:spacing w:after="140"/>
        <w:jc w:val="both"/>
      </w:pPr>
      <w:r>
        <w:rPr>
          <w:rFonts w:ascii="Times New Roman" w:hAnsi="Times New Roman"/>
          <w:b w:val="0"/>
          <w:i w:val="0"/>
          <w:color w:val="202124"/>
          <w:sz w:val="24"/>
        </w:rPr>
        <w:t>Le parcours commence avant le tableau de bord. Le sous-domaine dans l’URL fixe le workspace. La page de connexion reste volontairement sobre. Une fois authentifié, l’opérateur reçoit la file priorisée et le catalogue des actifs, pas un mur de graphiques décoratifs.</w:t>
      </w:r>
    </w:p>
    <w:p>
      <w:pPr>
        <w:keepNext/>
        <w:spacing w:after="80"/>
        <w:jc w:val="both"/>
      </w:pPr>
      <w:r>
        <w:rPr>
          <w:rFonts w:ascii="Times New Roman" w:hAnsi="Times New Roman"/>
          <w:b w:val="0"/>
          <w:i w:val="0"/>
          <w:color w:val="202124"/>
          <w:sz w:val="24"/>
        </w:rPr>
        <w:t>La figure 4.1 ouvre le parcours réel par l’écran de connexion du workspace Acme Corp.</w:t>
      </w:r>
    </w:p>
    <w:p>
      <w:pPr>
        <w:keepNext/>
        <w:spacing w:before="160" w:after="0"/>
        <w:jc w:val="center"/>
      </w:pPr>
      <w:r>
        <w:drawing>
          <wp:inline xmlns:a="http://schemas.openxmlformats.org/drawingml/2006/main" xmlns:pic="http://schemas.openxmlformats.org/drawingml/2006/picture">
            <wp:extent cx="5688000" cy="3555000"/>
            <wp:docPr id="23" name="Picture 23"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6"/>
                    <a:stretch>
                      <a:fillRect/>
                    </a:stretch>
                  </pic:blipFill>
                  <pic:spPr>
                    <a:xfrm>
                      <a:off x="0" y="0"/>
                      <a:ext cx="5688000" cy="3555000"/>
                    </a:xfrm>
                    <a:prstGeom prst="rect"/>
                  </pic:spPr>
                </pic:pic>
              </a:graphicData>
            </a:graphic>
          </wp:inline>
        </w:drawing>
      </w:r>
    </w:p>
    <w:p>
      <w:pPr>
        <w:pStyle w:val="Caption"/>
      </w:pPr>
      <w:bookmarkStart w:id="194" w:name="fig_4_1"/>
      <w:r>
        <w:rPr>
          <w:rFonts w:ascii="Times New Roman" w:hAnsi="Times New Roman"/>
          <w:b/>
          <w:color w:val="B1202D"/>
          <w:sz w:val="18"/>
        </w:rPr>
        <w:t>Figure 4.1</w:t>
      </w:r>
      <w:r>
        <w:rPr>
          <w:rFonts w:ascii="Times New Roman" w:hAnsi="Times New Roman"/>
          <w:color w:val="5F6368"/>
          <w:sz w:val="18"/>
        </w:rPr>
        <w:t xml:space="preserve"> : Connexion au workspace Acme Corp</w:t>
      </w:r>
      <w:bookmarkEnd w:id="194"/>
    </w:p>
    <w:p>
      <w:pPr>
        <w:keepLines/>
        <w:spacing w:after="180"/>
        <w:jc w:val="both"/>
      </w:pPr>
      <w:r>
        <w:rPr>
          <w:rFonts w:ascii="Times New Roman" w:hAnsi="Times New Roman"/>
          <w:b w:val="0"/>
          <w:i w:val="0"/>
          <w:color w:val="202124"/>
          <w:sz w:val="24"/>
        </w:rPr>
        <w:t>Le champ Workspace matérialise l’isolation multi-tenant avant même l’authentification. L’utilisateur choisit ensuite connexion ou inscription. Aucune vue opérationnelle n’est accessible sans contexte d’organisation explicite.</w:t>
      </w:r>
    </w:p>
    <w:p>
      <w:pPr>
        <w:keepNext/>
        <w:spacing w:after="80"/>
        <w:jc w:val="both"/>
      </w:pPr>
      <w:r>
        <w:rPr>
          <w:rFonts w:ascii="Times New Roman" w:hAnsi="Times New Roman"/>
          <w:b w:val="0"/>
          <w:i w:val="0"/>
          <w:color w:val="202124"/>
          <w:sz w:val="24"/>
        </w:rPr>
        <w:t>La figure 4.2 présente la première vue obtenue après authentification sur le jeu de démonstration Acme.</w:t>
      </w:r>
    </w:p>
    <w:p>
      <w:pPr>
        <w:keepNext/>
        <w:spacing w:before="160" w:after="0"/>
        <w:jc w:val="center"/>
      </w:pPr>
      <w:r>
        <w:drawing>
          <wp:inline xmlns:a="http://schemas.openxmlformats.org/drawingml/2006/main" xmlns:pic="http://schemas.openxmlformats.org/drawingml/2006/picture">
            <wp:extent cx="5688000" cy="3555000"/>
            <wp:docPr id="24" name="Picture 24"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7"/>
                    <a:stretch>
                      <a:fillRect/>
                    </a:stretch>
                  </pic:blipFill>
                  <pic:spPr>
                    <a:xfrm>
                      <a:off x="0" y="0"/>
                      <a:ext cx="5688000" cy="3555000"/>
                    </a:xfrm>
                    <a:prstGeom prst="rect"/>
                  </pic:spPr>
                </pic:pic>
              </a:graphicData>
            </a:graphic>
          </wp:inline>
        </w:drawing>
      </w:r>
    </w:p>
    <w:p>
      <w:pPr>
        <w:pStyle w:val="Caption"/>
      </w:pPr>
      <w:bookmarkStart w:id="195" w:name="fig_4_2"/>
      <w:r>
        <w:rPr>
          <w:rFonts w:ascii="Times New Roman" w:hAnsi="Times New Roman"/>
          <w:b/>
          <w:color w:val="B1202D"/>
          <w:sz w:val="18"/>
        </w:rPr>
        <w:t>Figure 4.2</w:t>
      </w:r>
      <w:r>
        <w:rPr>
          <w:rFonts w:ascii="Times New Roman" w:hAnsi="Times New Roman"/>
          <w:color w:val="5F6368"/>
          <w:sz w:val="18"/>
        </w:rPr>
        <w:t xml:space="preserve"> : Vue Opérations et incidents prioritaires</w:t>
      </w:r>
      <w:bookmarkEnd w:id="195"/>
    </w:p>
    <w:p>
      <w:pPr>
        <w:keepLines/>
        <w:spacing w:after="180"/>
        <w:jc w:val="both"/>
      </w:pPr>
      <w:r>
        <w:rPr>
          <w:rFonts w:ascii="Times New Roman" w:hAnsi="Times New Roman"/>
          <w:b w:val="0"/>
          <w:i w:val="0"/>
          <w:color w:val="202124"/>
          <w:sz w:val="24"/>
        </w:rPr>
        <w:t>La bannière signale quatre incidents critiques. La file les classe par priorité, tandis que le panneau latéral résume quatre tables actives, une source connectée et un score de santé de 48 sur 100 : l’écran conduit immédiatement vers l’actif qui exige une action.</w:t>
      </w:r>
    </w:p>
    <w:p>
      <w:pPr>
        <w:keepNext/>
        <w:spacing w:after="80"/>
        <w:jc w:val="both"/>
      </w:pPr>
      <w:r>
        <w:rPr>
          <w:rFonts w:ascii="Times New Roman" w:hAnsi="Times New Roman"/>
          <w:b w:val="0"/>
          <w:i w:val="0"/>
          <w:color w:val="202124"/>
          <w:sz w:val="24"/>
        </w:rPr>
        <w:t>La figure 4.3 inventorie les quatre tables surveillées de la source Acme Shop DB.</w:t>
      </w:r>
    </w:p>
    <w:p>
      <w:pPr>
        <w:keepNext/>
        <w:spacing w:before="160" w:after="0"/>
        <w:jc w:val="center"/>
      </w:pPr>
      <w:r>
        <w:drawing>
          <wp:inline xmlns:a="http://schemas.openxmlformats.org/drawingml/2006/main" xmlns:pic="http://schemas.openxmlformats.org/drawingml/2006/picture">
            <wp:extent cx="5688000" cy="3555000"/>
            <wp:docPr id="25" name="Picture 25"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8"/>
                    <a:stretch>
                      <a:fillRect/>
                    </a:stretch>
                  </pic:blipFill>
                  <pic:spPr>
                    <a:xfrm>
                      <a:off x="0" y="0"/>
                      <a:ext cx="5688000" cy="3555000"/>
                    </a:xfrm>
                    <a:prstGeom prst="rect"/>
                  </pic:spPr>
                </pic:pic>
              </a:graphicData>
            </a:graphic>
          </wp:inline>
        </w:drawing>
      </w:r>
    </w:p>
    <w:p>
      <w:pPr>
        <w:pStyle w:val="Caption"/>
      </w:pPr>
      <w:bookmarkStart w:id="196" w:name="fig_4_3"/>
      <w:r>
        <w:rPr>
          <w:rFonts w:ascii="Times New Roman" w:hAnsi="Times New Roman"/>
          <w:b/>
          <w:color w:val="B1202D"/>
          <w:sz w:val="18"/>
        </w:rPr>
        <w:t>Figure 4.3</w:t>
      </w:r>
      <w:r>
        <w:rPr>
          <w:rFonts w:ascii="Times New Roman" w:hAnsi="Times New Roman"/>
          <w:color w:val="5F6368"/>
          <w:sz w:val="18"/>
        </w:rPr>
        <w:t xml:space="preserve"> : Catalogue des tables surveillées</w:t>
      </w:r>
      <w:bookmarkEnd w:id="196"/>
    </w:p>
    <w:p>
      <w:pPr>
        <w:keepLines/>
        <w:spacing w:after="180"/>
        <w:jc w:val="both"/>
      </w:pPr>
      <w:r>
        <w:rPr>
          <w:rFonts w:ascii="Times New Roman" w:hAnsi="Times New Roman"/>
          <w:b w:val="0"/>
          <w:i w:val="0"/>
          <w:color w:val="202124"/>
          <w:sz w:val="24"/>
        </w:rPr>
        <w:t>Chaque ligne expose volumétrie, dernière exécution, état et action manuelle. Les quatre badges Incident correspondent à l’état volontairement dégradé du seed. Ils donnent une matière stable à la démonstration et ne décrivent pas une exploitation réelle.</w:t>
      </w:r>
    </w:p>
    <w:p>
      <w:pPr>
        <w:spacing w:after="140"/>
        <w:jc w:val="both"/>
      </w:pPr>
      <w:r>
        <w:rPr>
          <w:rFonts w:ascii="Times New Roman" w:hAnsi="Times New Roman"/>
          <w:b w:val="0"/>
          <w:i w:val="0"/>
          <w:color w:val="202124"/>
          <w:sz w:val="24"/>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7" w:name="body_225"/>
      <w:r>
        <w:rPr>
          <w:rFonts w:ascii="Times New Roman" w:hAnsi="Times New Roman"/>
          <w:b/>
          <w:color w:val="202124"/>
          <w:sz w:val="25"/>
        </w:rPr>
        <w:t>4.4.2 Détail de l’incident P1</w:t>
      </w:r>
      <w:bookmarkEnd w:id="197"/>
    </w:p>
    <w:p>
      <w:pPr>
        <w:spacing w:after="140"/>
        <w:jc w:val="both"/>
      </w:pPr>
      <w:r>
        <w:rPr>
          <w:rFonts w:ascii="Times New Roman" w:hAnsi="Times New Roman"/>
          <w:b w:val="0"/>
          <w:i w:val="0"/>
          <w:color w:val="202124"/>
          <w:sz w:val="24"/>
        </w:rPr>
        <w:t>L’enquête tient sur trois plans : la liste situe l’urgence, le détail rassemble les faits horodatés, puis la narration IA propose des pistes clairement séparées des mesures. L’opérateur garde la décision, affecter, acquitter, résoudre ou documenter un faux positif.</w:t>
      </w:r>
    </w:p>
    <w:p>
      <w:pPr>
        <w:keepNext/>
        <w:spacing w:after="80"/>
        <w:jc w:val="both"/>
      </w:pPr>
      <w:r>
        <w:rPr>
          <w:rFonts w:ascii="Times New Roman" w:hAnsi="Times New Roman"/>
          <w:b w:val="0"/>
          <w:i w:val="0"/>
          <w:color w:val="202124"/>
          <w:sz w:val="24"/>
        </w:rPr>
        <w:t>La figure 4.4 recentre l’investigation sur la liste filtrable des incidents.</w:t>
      </w:r>
    </w:p>
    <w:p>
      <w:pPr>
        <w:keepNext/>
        <w:spacing w:before="160" w:after="0"/>
        <w:jc w:val="center"/>
      </w:pPr>
      <w:r>
        <w:drawing>
          <wp:inline xmlns:a="http://schemas.openxmlformats.org/drawingml/2006/main" xmlns:pic="http://schemas.openxmlformats.org/drawingml/2006/picture">
            <wp:extent cx="5688000" cy="3555000"/>
            <wp:docPr id="26" name="Picture 26"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9"/>
                    <a:stretch>
                      <a:fillRect/>
                    </a:stretch>
                  </pic:blipFill>
                  <pic:spPr>
                    <a:xfrm>
                      <a:off x="0" y="0"/>
                      <a:ext cx="5688000" cy="3555000"/>
                    </a:xfrm>
                    <a:prstGeom prst="rect"/>
                  </pic:spPr>
                </pic:pic>
              </a:graphicData>
            </a:graphic>
          </wp:inline>
        </w:drawing>
      </w:r>
    </w:p>
    <w:p>
      <w:pPr>
        <w:pStyle w:val="Caption"/>
      </w:pPr>
      <w:bookmarkStart w:id="198" w:name="fig_4_4"/>
      <w:r>
        <w:rPr>
          <w:rFonts w:ascii="Times New Roman" w:hAnsi="Times New Roman"/>
          <w:b/>
          <w:color w:val="B1202D"/>
          <w:sz w:val="18"/>
        </w:rPr>
        <w:t>Figure 4.4</w:t>
      </w:r>
      <w:r>
        <w:rPr>
          <w:rFonts w:ascii="Times New Roman" w:hAnsi="Times New Roman"/>
          <w:color w:val="5F6368"/>
          <w:sz w:val="18"/>
        </w:rPr>
        <w:t xml:space="preserve"> : Liste filtrable des incidents</w:t>
      </w:r>
      <w:bookmarkEnd w:id="198"/>
    </w:p>
    <w:p>
      <w:pPr>
        <w:keepLines/>
        <w:spacing w:after="180"/>
        <w:jc w:val="both"/>
      </w:pPr>
      <w:r>
        <w:rPr>
          <w:rFonts w:ascii="Times New Roman" w:hAnsi="Times New Roman"/>
          <w:b w:val="0"/>
          <w:i w:val="0"/>
          <w:color w:val="202124"/>
          <w:sz w:val="24"/>
        </w:rPr>
        <w:t>Les onglets séparent ouverts, en cours d’analyse, résolus et ignorés. La recherche et les filtres de sévérité réduisent la file. Les quatre lignes P1 visibles proviennent du même instantané de démonstration que la vue Opérations.</w:t>
      </w:r>
    </w:p>
    <w:p>
      <w:pPr>
        <w:keepNext/>
        <w:spacing w:after="80"/>
        <w:jc w:val="both"/>
      </w:pPr>
      <w:r>
        <w:rPr>
          <w:rFonts w:ascii="Times New Roman" w:hAnsi="Times New Roman"/>
          <w:b w:val="0"/>
          <w:i w:val="0"/>
          <w:color w:val="202124"/>
          <w:sz w:val="24"/>
        </w:rPr>
        <w:t>La figure 4.5 ouvre l’incident P1 de public.orders, déclenché par une hausse du taux de valeurs nulles de payment_status et une rupture de fraîcheur.</w:t>
      </w:r>
    </w:p>
    <w:p>
      <w:pPr>
        <w:keepNext/>
        <w:spacing w:before="160" w:after="0"/>
        <w:jc w:val="center"/>
      </w:pPr>
      <w:r>
        <w:drawing>
          <wp:inline xmlns:a="http://schemas.openxmlformats.org/drawingml/2006/main" xmlns:pic="http://schemas.openxmlformats.org/drawingml/2006/picture">
            <wp:extent cx="5688000" cy="3555000"/>
            <wp:docPr id="27" name="Picture 27"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40"/>
                    <a:stretch>
                      <a:fillRect/>
                    </a:stretch>
                  </pic:blipFill>
                  <pic:spPr>
                    <a:xfrm>
                      <a:off x="0" y="0"/>
                      <a:ext cx="5688000" cy="3555000"/>
                    </a:xfrm>
                    <a:prstGeom prst="rect"/>
                  </pic:spPr>
                </pic:pic>
              </a:graphicData>
            </a:graphic>
          </wp:inline>
        </w:drawing>
      </w:r>
    </w:p>
    <w:p>
      <w:pPr>
        <w:pStyle w:val="Caption"/>
      </w:pPr>
      <w:bookmarkStart w:id="199" w:name="fig_4_5"/>
      <w:r>
        <w:rPr>
          <w:rFonts w:ascii="Times New Roman" w:hAnsi="Times New Roman"/>
          <w:b/>
          <w:color w:val="B1202D"/>
          <w:sz w:val="18"/>
        </w:rPr>
        <w:t>Figure 4.5</w:t>
      </w:r>
      <w:r>
        <w:rPr>
          <w:rFonts w:ascii="Times New Roman" w:hAnsi="Times New Roman"/>
          <w:color w:val="5F6368"/>
          <w:sz w:val="18"/>
        </w:rPr>
        <w:t xml:space="preserve"> : Détail de l’incident critique orders</w:t>
      </w:r>
      <w:bookmarkEnd w:id="199"/>
    </w:p>
    <w:p>
      <w:pPr>
        <w:keepLines/>
        <w:spacing w:after="180"/>
        <w:jc w:val="both"/>
      </w:pPr>
      <w:r>
        <w:rPr>
          <w:rFonts w:ascii="Times New Roman" w:hAnsi="Times New Roman"/>
          <w:b w:val="0"/>
          <w:i w:val="0"/>
          <w:color w:val="202124"/>
          <w:sz w:val="24"/>
        </w:rPr>
        <w:t>La chronologie, les faits, la table affectée et l’affectation sont réunis sans masquer l’origine du signal. Les boutons Acquitter et Résoudre modifient l’état de travail. Ils ne corrigent pas automatiquement la donnée source.</w:t>
      </w:r>
    </w:p>
    <w:p>
      <w:pPr>
        <w:keepNext/>
        <w:spacing w:after="80"/>
        <w:jc w:val="both"/>
      </w:pPr>
      <w:r>
        <w:rPr>
          <w:rFonts w:ascii="Times New Roman" w:hAnsi="Times New Roman"/>
          <w:b w:val="0"/>
          <w:i w:val="0"/>
          <w:color w:val="202124"/>
          <w:sz w:val="24"/>
        </w:rPr>
        <w:t>La figure 4.6 agrandit la narration IA associée au même incident.</w:t>
      </w:r>
    </w:p>
    <w:p>
      <w:pPr>
        <w:keepNext/>
        <w:spacing w:before="160" w:after="0"/>
        <w:jc w:val="center"/>
      </w:pPr>
      <w:r>
        <w:drawing>
          <wp:inline xmlns:a="http://schemas.openxmlformats.org/drawingml/2006/main" xmlns:pic="http://schemas.openxmlformats.org/drawingml/2006/picture">
            <wp:extent cx="5688000" cy="3555000"/>
            <wp:docPr id="28" name="Picture 28"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1"/>
                    <a:stretch>
                      <a:fillRect/>
                    </a:stretch>
                  </pic:blipFill>
                  <pic:spPr>
                    <a:xfrm>
                      <a:off x="0" y="0"/>
                      <a:ext cx="5688000" cy="3555000"/>
                    </a:xfrm>
                    <a:prstGeom prst="rect"/>
                  </pic:spPr>
                </pic:pic>
              </a:graphicData>
            </a:graphic>
          </wp:inline>
        </w:drawing>
      </w:r>
    </w:p>
    <w:p>
      <w:pPr>
        <w:pStyle w:val="Caption"/>
      </w:pPr>
      <w:bookmarkStart w:id="200" w:name="fig_4_6"/>
      <w:r>
        <w:rPr>
          <w:rFonts w:ascii="Times New Roman" w:hAnsi="Times New Roman"/>
          <w:b/>
          <w:color w:val="B1202D"/>
          <w:sz w:val="18"/>
        </w:rPr>
        <w:t>Figure 4.6</w:t>
      </w:r>
      <w:r>
        <w:rPr>
          <w:rFonts w:ascii="Times New Roman" w:hAnsi="Times New Roman"/>
          <w:color w:val="5F6368"/>
          <w:sz w:val="18"/>
        </w:rPr>
        <w:t xml:space="preserve"> : Analyse IA de l’incident et actions proposées</w:t>
      </w:r>
      <w:bookmarkEnd w:id="200"/>
    </w:p>
    <w:p>
      <w:pPr>
        <w:keepLines/>
        <w:spacing w:after="180"/>
        <w:jc w:val="both"/>
      </w:pPr>
      <w:r>
        <w:rPr>
          <w:rFonts w:ascii="Times New Roman" w:hAnsi="Times New Roman"/>
          <w:b w:val="0"/>
          <w:i w:val="0"/>
          <w:color w:val="202124"/>
          <w:sz w:val="24"/>
        </w:rPr>
        <w:t>Le texte distingue résumé, causes probables et impact, avec des niveaux de confiance visibles. Ces propositions accélèrent l’enquête, mais restent des hypothèses à confronter aux métriques et au système source avant toute décision.</w:t>
      </w:r>
    </w:p>
    <w:p>
      <w:pPr>
        <w:spacing w:after="140"/>
        <w:jc w:val="both"/>
      </w:pPr>
      <w:r>
        <w:rPr>
          <w:rFonts w:ascii="Times New Roman" w:hAnsi="Times New Roman"/>
          <w:b w:val="0"/>
          <w:i w:val="0"/>
          <w:color w:val="202124"/>
          <w:sz w:val="24"/>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201" w:name="body_229"/>
      <w:r>
        <w:rPr>
          <w:rFonts w:ascii="Times New Roman" w:hAnsi="Times New Roman"/>
          <w:b/>
          <w:color w:val="202124"/>
          <w:sz w:val="25"/>
        </w:rPr>
        <w:t>4.4.3 Détail de la table surveillée</w:t>
      </w:r>
      <w:bookmarkEnd w:id="201"/>
    </w:p>
    <w:p>
      <w:pPr>
        <w:spacing w:after="140"/>
        <w:jc w:val="both"/>
      </w:pPr>
      <w:r>
        <w:rPr>
          <w:rFonts w:ascii="Times New Roman" w:hAnsi="Times New Roman"/>
          <w:b w:val="0"/>
          <w:i w:val="0"/>
          <w:color w:val="202124"/>
          <w:sz w:val="24"/>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after="80"/>
        <w:jc w:val="both"/>
      </w:pPr>
      <w:r>
        <w:rPr>
          <w:rFonts w:ascii="Times New Roman" w:hAnsi="Times New Roman"/>
          <w:b w:val="0"/>
          <w:i w:val="0"/>
          <w:color w:val="202124"/>
          <w:sz w:val="24"/>
        </w:rPr>
        <w:t>La figure 4.7 montre le profil courant de public.orders et son historique récent.</w:t>
      </w:r>
    </w:p>
    <w:p>
      <w:pPr>
        <w:keepNext/>
        <w:spacing w:before="160" w:after="0"/>
        <w:jc w:val="center"/>
      </w:pPr>
      <w:r>
        <w:drawing>
          <wp:inline xmlns:a="http://schemas.openxmlformats.org/drawingml/2006/main" xmlns:pic="http://schemas.openxmlformats.org/drawingml/2006/picture">
            <wp:extent cx="5688000" cy="3555000"/>
            <wp:docPr id="29" name="Picture 29"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2"/>
                    <a:stretch>
                      <a:fillRect/>
                    </a:stretch>
                  </pic:blipFill>
                  <pic:spPr>
                    <a:xfrm>
                      <a:off x="0" y="0"/>
                      <a:ext cx="5688000" cy="3555000"/>
                    </a:xfrm>
                    <a:prstGeom prst="rect"/>
                  </pic:spPr>
                </pic:pic>
              </a:graphicData>
            </a:graphic>
          </wp:inline>
        </w:drawing>
      </w:r>
    </w:p>
    <w:p>
      <w:pPr>
        <w:pStyle w:val="Caption"/>
      </w:pPr>
      <w:bookmarkStart w:id="202" w:name="fig_4_7"/>
      <w:r>
        <w:rPr>
          <w:rFonts w:ascii="Times New Roman" w:hAnsi="Times New Roman"/>
          <w:b/>
          <w:color w:val="B1202D"/>
          <w:sz w:val="18"/>
        </w:rPr>
        <w:t>Figure 4.7</w:t>
      </w:r>
      <w:r>
        <w:rPr>
          <w:rFonts w:ascii="Times New Roman" w:hAnsi="Times New Roman"/>
          <w:color w:val="5F6368"/>
          <w:sz w:val="18"/>
        </w:rPr>
        <w:t xml:space="preserve"> : Profil de la table public.orders</w:t>
      </w:r>
      <w:bookmarkEnd w:id="202"/>
    </w:p>
    <w:p>
      <w:pPr>
        <w:keepLines/>
        <w:spacing w:after="180"/>
        <w:jc w:val="both"/>
      </w:pPr>
      <w:r>
        <w:rPr>
          <w:rFonts w:ascii="Times New Roman" w:hAnsi="Times New Roman"/>
          <w:b w:val="0"/>
          <w:i w:val="0"/>
          <w:color w:val="202124"/>
          <w:sz w:val="24"/>
        </w:rPr>
        <w:t>Le seed affiche 8 500 lignes, une fraîcheur datée, un taux de nullité agrégé et un incident actif. Les graphiques replacent ces valeurs dans le temps. Le tableau de colonnes permet ensuite de localiser la dérive plutôt que de s’arrêter au score global.</w:t>
      </w:r>
    </w:p>
    <w:p>
      <w:pPr>
        <w:keepNext/>
        <w:spacing w:after="80"/>
        <w:jc w:val="both"/>
      </w:pPr>
      <w:r>
        <w:rPr>
          <w:rFonts w:ascii="Times New Roman" w:hAnsi="Times New Roman"/>
          <w:b w:val="0"/>
          <w:i w:val="0"/>
          <w:color w:val="202124"/>
          <w:sz w:val="24"/>
        </w:rPr>
        <w:t>La figure 4.8 poursuit la même fiche avec les dérives de percentiles, exclusions de colonnes, routes d’alerte et recommandations de moniteurs.</w:t>
      </w:r>
    </w:p>
    <w:p>
      <w:pPr>
        <w:keepNext/>
        <w:spacing w:before="160" w:after="0"/>
        <w:jc w:val="center"/>
      </w:pPr>
      <w:r>
        <w:drawing>
          <wp:inline xmlns:a="http://schemas.openxmlformats.org/drawingml/2006/main" xmlns:pic="http://schemas.openxmlformats.org/drawingml/2006/picture">
            <wp:extent cx="5688000" cy="3555000"/>
            <wp:docPr id="30" name="Picture 30"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3"/>
                    <a:stretch>
                      <a:fillRect/>
                    </a:stretch>
                  </pic:blipFill>
                  <pic:spPr>
                    <a:xfrm>
                      <a:off x="0" y="0"/>
                      <a:ext cx="5688000" cy="3555000"/>
                    </a:xfrm>
                    <a:prstGeom prst="rect"/>
                  </pic:spPr>
                </pic:pic>
              </a:graphicData>
            </a:graphic>
          </wp:inline>
        </w:drawing>
      </w:r>
    </w:p>
    <w:p>
      <w:pPr>
        <w:pStyle w:val="Caption"/>
      </w:pPr>
      <w:bookmarkStart w:id="203" w:name="fig_4_8"/>
      <w:r>
        <w:rPr>
          <w:rFonts w:ascii="Times New Roman" w:hAnsi="Times New Roman"/>
          <w:b/>
          <w:color w:val="B1202D"/>
          <w:sz w:val="18"/>
        </w:rPr>
        <w:t>Figure 4.8</w:t>
      </w:r>
      <w:r>
        <w:rPr>
          <w:rFonts w:ascii="Times New Roman" w:hAnsi="Times New Roman"/>
          <w:color w:val="5F6368"/>
          <w:sz w:val="18"/>
        </w:rPr>
        <w:t xml:space="preserve"> : Recommandations de moniteurs pour public.orders</w:t>
      </w:r>
      <w:bookmarkEnd w:id="203"/>
    </w:p>
    <w:p>
      <w:pPr>
        <w:keepLines/>
        <w:spacing w:after="180"/>
        <w:jc w:val="both"/>
      </w:pPr>
      <w:r>
        <w:rPr>
          <w:rFonts w:ascii="Times New Roman" w:hAnsi="Times New Roman"/>
          <w:b w:val="0"/>
          <w:i w:val="0"/>
          <w:color w:val="202124"/>
          <w:sz w:val="24"/>
        </w:rPr>
        <w:t>Une recommandation ne devient pas silencieusement un contrôle actif. L’utilisateur la relit, choisit sa portée, puis ouvre le constructeur. Ce passage protège le catalogue contre des règles opaques générées sans validation humaine.</w:t>
      </w:r>
    </w:p>
    <w:p>
      <w:pPr>
        <w:keepNext/>
        <w:spacing w:after="80"/>
        <w:jc w:val="both"/>
      </w:pPr>
      <w:r>
        <w:rPr>
          <w:rFonts w:ascii="Times New Roman" w:hAnsi="Times New Roman"/>
          <w:b w:val="0"/>
          <w:i w:val="0"/>
          <w:color w:val="202124"/>
          <w:sz w:val="24"/>
        </w:rPr>
        <w:t>La figure 4.9 présente le catalogue des moniteurs typés avant la création d’une première règle dans ce seed.</w:t>
      </w:r>
    </w:p>
    <w:p>
      <w:pPr>
        <w:keepNext/>
        <w:spacing w:before="160" w:after="0"/>
        <w:jc w:val="center"/>
      </w:pPr>
      <w:r>
        <w:drawing>
          <wp:inline xmlns:a="http://schemas.openxmlformats.org/drawingml/2006/main" xmlns:pic="http://schemas.openxmlformats.org/drawingml/2006/picture">
            <wp:extent cx="5688000" cy="3555000"/>
            <wp:docPr id="31" name="Picture 31"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4"/>
                    <a:stretch>
                      <a:fillRect/>
                    </a:stretch>
                  </pic:blipFill>
                  <pic:spPr>
                    <a:xfrm>
                      <a:off x="0" y="0"/>
                      <a:ext cx="5688000" cy="3555000"/>
                    </a:xfrm>
                    <a:prstGeom prst="rect"/>
                  </pic:spPr>
                </pic:pic>
              </a:graphicData>
            </a:graphic>
          </wp:inline>
        </w:drawing>
      </w:r>
    </w:p>
    <w:p>
      <w:pPr>
        <w:pStyle w:val="Caption"/>
      </w:pPr>
      <w:bookmarkStart w:id="204" w:name="fig_4_9"/>
      <w:r>
        <w:rPr>
          <w:rFonts w:ascii="Times New Roman" w:hAnsi="Times New Roman"/>
          <w:b/>
          <w:color w:val="B1202D"/>
          <w:sz w:val="18"/>
        </w:rPr>
        <w:t>Figure 4.9</w:t>
      </w:r>
      <w:r>
        <w:rPr>
          <w:rFonts w:ascii="Times New Roman" w:hAnsi="Times New Roman"/>
          <w:color w:val="5F6368"/>
          <w:sz w:val="18"/>
        </w:rPr>
        <w:t xml:space="preserve"> : Catalogue des moniteurs typés</w:t>
      </w:r>
      <w:bookmarkEnd w:id="204"/>
    </w:p>
    <w:p>
      <w:pPr>
        <w:keepLines/>
        <w:spacing w:after="180"/>
        <w:jc w:val="both"/>
      </w:pPr>
      <w:r>
        <w:rPr>
          <w:rFonts w:ascii="Times New Roman" w:hAnsi="Times New Roman"/>
          <w:b w:val="0"/>
          <w:i w:val="0"/>
          <w:color w:val="202124"/>
          <w:sz w:val="24"/>
        </w:rPr>
        <w:t>Les compteurs à zéro sont intentionnels et rendent la limite visible. L’écran sépare moniteurs DSL et contrôles SQL historiques, rappelle le principe de révision liée au schéma et propose un point d’entrée unique pour la création.</w:t>
      </w:r>
    </w:p>
    <w:p>
      <w:pPr>
        <w:keepNext/>
        <w:spacing w:after="80"/>
        <w:jc w:val="both"/>
      </w:pPr>
      <w:r>
        <w:rPr>
          <w:rFonts w:ascii="Times New Roman" w:hAnsi="Times New Roman"/>
          <w:b w:val="0"/>
          <w:i w:val="0"/>
          <w:color w:val="202124"/>
          <w:sz w:val="24"/>
        </w:rPr>
        <w:t>La figure 4.10 ouvre le constructeur d’un moniteur de volume sur public.orders.</w:t>
      </w:r>
    </w:p>
    <w:p>
      <w:pPr>
        <w:keepNext/>
        <w:spacing w:before="160" w:after="0"/>
        <w:jc w:val="center"/>
      </w:pPr>
      <w:r>
        <w:drawing>
          <wp:inline xmlns:a="http://schemas.openxmlformats.org/drawingml/2006/main" xmlns:pic="http://schemas.openxmlformats.org/drawingml/2006/picture">
            <wp:extent cx="5688000" cy="3555000"/>
            <wp:docPr id="32" name="Picture 32"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5"/>
                    <a:stretch>
                      <a:fillRect/>
                    </a:stretch>
                  </pic:blipFill>
                  <pic:spPr>
                    <a:xfrm>
                      <a:off x="0" y="0"/>
                      <a:ext cx="5688000" cy="3555000"/>
                    </a:xfrm>
                    <a:prstGeom prst="rect"/>
                  </pic:spPr>
                </pic:pic>
              </a:graphicData>
            </a:graphic>
          </wp:inline>
        </w:drawing>
      </w:r>
    </w:p>
    <w:p>
      <w:pPr>
        <w:pStyle w:val="Caption"/>
      </w:pPr>
      <w:bookmarkStart w:id="205" w:name="fig_4_10"/>
      <w:r>
        <w:rPr>
          <w:rFonts w:ascii="Times New Roman" w:hAnsi="Times New Roman"/>
          <w:b/>
          <w:color w:val="B1202D"/>
          <w:sz w:val="18"/>
        </w:rPr>
        <w:t>Figure 4.10</w:t>
      </w:r>
      <w:r>
        <w:rPr>
          <w:rFonts w:ascii="Times New Roman" w:hAnsi="Times New Roman"/>
          <w:color w:val="5F6368"/>
          <w:sz w:val="18"/>
        </w:rPr>
        <w:t xml:space="preserve"> : Constructeur de moniteur DSL</w:t>
      </w:r>
      <w:bookmarkEnd w:id="205"/>
    </w:p>
    <w:p>
      <w:pPr>
        <w:keepLines/>
        <w:spacing w:after="180"/>
        <w:jc w:val="both"/>
      </w:pPr>
      <w:r>
        <w:rPr>
          <w:rFonts w:ascii="Times New Roman" w:hAnsi="Times New Roman"/>
          <w:b w:val="0"/>
          <w:i w:val="0"/>
          <w:color w:val="202124"/>
          <w:sz w:val="24"/>
        </w:rPr>
        <w:t>Le formulaire rend explicites le type de règle, le seuil, la sévérité, le mode d’exécution, le déclencheur et les conditions de récupération. Valider et prévisualiser précède l’activation afin que la définition soit contrôlée avant de devenir une révision immuable.</w:t>
      </w:r>
    </w:p>
    <w:p>
      <w:pPr>
        <w:spacing w:after="140"/>
        <w:jc w:val="both"/>
      </w:pPr>
      <w:r>
        <w:rPr>
          <w:rFonts w:ascii="Times New Roman" w:hAnsi="Times New Roman"/>
          <w:b w:val="0"/>
          <w:i w:val="0"/>
          <w:color w:val="202124"/>
          <w:sz w:val="24"/>
        </w:rPr>
        <w:t>Cette vue relie l’incident à l’actif concerné. Elle permet de présenter l’historique des profils et l’évolution des métriques de qualité avant et après l’anomalie.</w:t>
      </w:r>
    </w:p>
    <w:p>
      <w:pPr>
        <w:pStyle w:val="Heading3"/>
      </w:pPr>
      <w:bookmarkStart w:id="206" w:name="body_233"/>
      <w:r>
        <w:rPr>
          <w:rFonts w:ascii="Times New Roman" w:hAnsi="Times New Roman"/>
          <w:b/>
          <w:color w:val="202124"/>
          <w:sz w:val="25"/>
        </w:rPr>
        <w:t>4.4.4 Alertes et gouvernance IA</w:t>
      </w:r>
      <w:bookmarkEnd w:id="206"/>
    </w:p>
    <w:p>
      <w:pPr>
        <w:pStyle w:val="Heading3"/>
      </w:pPr>
      <w:bookmarkStart w:id="207" w:name="extra_4_4_4_1_Rapports_quipes_et_astre"/>
      <w:r>
        <w:rPr>
          <w:rFonts w:ascii="Times New Roman" w:hAnsi="Times New Roman"/>
          <w:b/>
          <w:color w:val="202124"/>
          <w:sz w:val="25"/>
        </w:rPr>
        <w:t>4.4.4.1 Rapports, équipes et astreintes</w:t>
      </w:r>
      <w:bookmarkEnd w:id="207"/>
    </w:p>
    <w:p>
      <w:pPr>
        <w:spacing w:after="140"/>
        <w:jc w:val="both"/>
      </w:pPr>
      <w:r>
        <w:rPr>
          <w:rFonts w:ascii="Times New Roman" w:hAnsi="Times New Roman"/>
          <w:b w:val="0"/>
          <w:i w:val="0"/>
          <w:color w:val="202124"/>
          <w:sz w:val="24"/>
        </w:rPr>
        <w:t>La réponse à l’incident dépasse l’écran technique. Les rapports condensent une semaine. Les équipes rendent l’affectation concrète. Les créneaux d’astreinte indiquent qui peut réellement recevoir une escalade.</w:t>
      </w:r>
    </w:p>
    <w:p>
      <w:pPr>
        <w:keepNext/>
        <w:spacing w:after="80"/>
        <w:jc w:val="both"/>
      </w:pPr>
      <w:r>
        <w:rPr>
          <w:rFonts w:ascii="Times New Roman" w:hAnsi="Times New Roman"/>
          <w:b w:val="0"/>
          <w:i w:val="0"/>
          <w:color w:val="202124"/>
          <w:sz w:val="24"/>
        </w:rPr>
        <w:t>La figure 4.11 synthétise la semaine seedée sous forme d’indicateurs de santé et de contrôles en échec.</w:t>
      </w:r>
    </w:p>
    <w:p>
      <w:pPr>
        <w:keepNext/>
        <w:spacing w:before="160" w:after="0"/>
        <w:jc w:val="center"/>
      </w:pPr>
      <w:r>
        <w:drawing>
          <wp:inline xmlns:a="http://schemas.openxmlformats.org/drawingml/2006/main" xmlns:pic="http://schemas.openxmlformats.org/drawingml/2006/picture">
            <wp:extent cx="5688000" cy="3555000"/>
            <wp:docPr id="33" name="Picture 33"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6"/>
                    <a:stretch>
                      <a:fillRect/>
                    </a:stretch>
                  </pic:blipFill>
                  <pic:spPr>
                    <a:xfrm>
                      <a:off x="0" y="0"/>
                      <a:ext cx="5688000" cy="3555000"/>
                    </a:xfrm>
                    <a:prstGeom prst="rect"/>
                  </pic:spPr>
                </pic:pic>
              </a:graphicData>
            </a:graphic>
          </wp:inline>
        </w:drawing>
      </w:r>
    </w:p>
    <w:p>
      <w:pPr>
        <w:pStyle w:val="Caption"/>
      </w:pPr>
      <w:bookmarkStart w:id="208" w:name="fig_4_11"/>
      <w:r>
        <w:rPr>
          <w:rFonts w:ascii="Times New Roman" w:hAnsi="Times New Roman"/>
          <w:b/>
          <w:color w:val="B1202D"/>
          <w:sz w:val="18"/>
        </w:rPr>
        <w:t>Figure 4.11</w:t>
      </w:r>
      <w:r>
        <w:rPr>
          <w:rFonts w:ascii="Times New Roman" w:hAnsi="Times New Roman"/>
          <w:color w:val="5F6368"/>
          <w:sz w:val="18"/>
        </w:rPr>
        <w:t xml:space="preserve"> : Rapports hebdomadaires de santé</w:t>
      </w:r>
      <w:bookmarkEnd w:id="208"/>
    </w:p>
    <w:p>
      <w:pPr>
        <w:keepLines/>
        <w:spacing w:after="180"/>
        <w:jc w:val="both"/>
      </w:pPr>
      <w:r>
        <w:rPr>
          <w:rFonts w:ascii="Times New Roman" w:hAnsi="Times New Roman"/>
          <w:b w:val="0"/>
          <w:i w:val="0"/>
          <w:color w:val="202124"/>
          <w:sz w:val="24"/>
        </w:rPr>
        <w:t>Le score de 54, les quatre incidents ouverts, les 152 contrôles réussis et les quatre tables surveillées partagent le même intervalle. La zone de résumé IA reste vide tant que l’utilisateur ne demande pas sa génération, ce qui évite de présenter un texte absent comme une preuve.</w:t>
      </w:r>
    </w:p>
    <w:p>
      <w:pPr>
        <w:keepNext/>
        <w:spacing w:after="80"/>
        <w:jc w:val="both"/>
      </w:pPr>
      <w:r>
        <w:rPr>
          <w:rFonts w:ascii="Times New Roman" w:hAnsi="Times New Roman"/>
          <w:b w:val="0"/>
          <w:i w:val="0"/>
          <w:color w:val="202124"/>
          <w:sz w:val="24"/>
        </w:rPr>
        <w:t>La figure 4.12 recense les équipes créées dans le workspace Acme.</w:t>
      </w:r>
    </w:p>
    <w:p>
      <w:pPr>
        <w:keepNext/>
        <w:spacing w:before="160" w:after="0"/>
        <w:jc w:val="center"/>
      </w:pPr>
      <w:r>
        <w:drawing>
          <wp:inline xmlns:a="http://schemas.openxmlformats.org/drawingml/2006/main" xmlns:pic="http://schemas.openxmlformats.org/drawingml/2006/picture">
            <wp:extent cx="5688000" cy="3555000"/>
            <wp:docPr id="34" name="Picture 34"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7"/>
                    <a:stretch>
                      <a:fillRect/>
                    </a:stretch>
                  </pic:blipFill>
                  <pic:spPr>
                    <a:xfrm>
                      <a:off x="0" y="0"/>
                      <a:ext cx="5688000" cy="3555000"/>
                    </a:xfrm>
                    <a:prstGeom prst="rect"/>
                  </pic:spPr>
                </pic:pic>
              </a:graphicData>
            </a:graphic>
          </wp:inline>
        </w:drawing>
      </w:r>
    </w:p>
    <w:p>
      <w:pPr>
        <w:pStyle w:val="Caption"/>
      </w:pPr>
      <w:bookmarkStart w:id="209" w:name="fig_4_12"/>
      <w:r>
        <w:rPr>
          <w:rFonts w:ascii="Times New Roman" w:hAnsi="Times New Roman"/>
          <w:b/>
          <w:color w:val="B1202D"/>
          <w:sz w:val="18"/>
        </w:rPr>
        <w:t>Figure 4.12</w:t>
      </w:r>
      <w:r>
        <w:rPr>
          <w:rFonts w:ascii="Times New Roman" w:hAnsi="Times New Roman"/>
          <w:color w:val="5F6368"/>
          <w:sz w:val="18"/>
        </w:rPr>
        <w:t xml:space="preserve"> : Répertoire des équipes</w:t>
      </w:r>
      <w:bookmarkEnd w:id="209"/>
    </w:p>
    <w:p>
      <w:pPr>
        <w:keepLines/>
        <w:spacing w:after="180"/>
        <w:jc w:val="both"/>
      </w:pPr>
      <w:r>
        <w:rPr>
          <w:rFonts w:ascii="Times New Roman" w:hAnsi="Times New Roman"/>
          <w:b w:val="0"/>
          <w:i w:val="0"/>
          <w:color w:val="202124"/>
          <w:sz w:val="24"/>
        </w:rPr>
        <w:t>Data Engineering, Analytics et Platform possèdent des membres et responsabilités distinctes. Cette vue transforme une simple liste d’utilisateurs en structure d’affectation exploitable pour les incidents et les astreintes.</w:t>
      </w:r>
    </w:p>
    <w:p>
      <w:pPr>
        <w:keepNext/>
        <w:spacing w:after="80"/>
        <w:jc w:val="both"/>
      </w:pPr>
      <w:r>
        <w:rPr>
          <w:rFonts w:ascii="Times New Roman" w:hAnsi="Times New Roman"/>
          <w:b w:val="0"/>
          <w:i w:val="0"/>
          <w:color w:val="202124"/>
          <w:sz w:val="24"/>
        </w:rPr>
        <w:t>La figure 4.13 ouvre le détail de l’équipe Data Engineering.</w:t>
      </w:r>
    </w:p>
    <w:p>
      <w:pPr>
        <w:keepNext/>
        <w:spacing w:before="160" w:after="0"/>
        <w:jc w:val="center"/>
      </w:pPr>
      <w:r>
        <w:drawing>
          <wp:inline xmlns:a="http://schemas.openxmlformats.org/drawingml/2006/main" xmlns:pic="http://schemas.openxmlformats.org/drawingml/2006/picture">
            <wp:extent cx="5688000" cy="3555000"/>
            <wp:docPr id="35" name="Picture 35"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8"/>
                    <a:stretch>
                      <a:fillRect/>
                    </a:stretch>
                  </pic:blipFill>
                  <pic:spPr>
                    <a:xfrm>
                      <a:off x="0" y="0"/>
                      <a:ext cx="5688000" cy="3555000"/>
                    </a:xfrm>
                    <a:prstGeom prst="rect"/>
                  </pic:spPr>
                </pic:pic>
              </a:graphicData>
            </a:graphic>
          </wp:inline>
        </w:drawing>
      </w:r>
    </w:p>
    <w:p>
      <w:pPr>
        <w:pStyle w:val="Caption"/>
      </w:pPr>
      <w:bookmarkStart w:id="210" w:name="fig_4_13"/>
      <w:r>
        <w:rPr>
          <w:rFonts w:ascii="Times New Roman" w:hAnsi="Times New Roman"/>
          <w:b/>
          <w:color w:val="B1202D"/>
          <w:sz w:val="18"/>
        </w:rPr>
        <w:t>Figure 4.13</w:t>
      </w:r>
      <w:r>
        <w:rPr>
          <w:rFonts w:ascii="Times New Roman" w:hAnsi="Times New Roman"/>
          <w:color w:val="5F6368"/>
          <w:sz w:val="18"/>
        </w:rPr>
        <w:t xml:space="preserve"> : Membres de l’équipe Data Engineering</w:t>
      </w:r>
      <w:bookmarkEnd w:id="210"/>
    </w:p>
    <w:p>
      <w:pPr>
        <w:keepLines/>
        <w:spacing w:after="180"/>
        <w:jc w:val="both"/>
      </w:pPr>
      <w:r>
        <w:rPr>
          <w:rFonts w:ascii="Times New Roman" w:hAnsi="Times New Roman"/>
          <w:b w:val="0"/>
          <w:i w:val="0"/>
          <w:color w:val="202124"/>
          <w:sz w:val="24"/>
        </w:rPr>
        <w:t>L’onglet Membres expose les rôles au sein de l’équipe et permet leur modification sans changer le rôle global dans l’organisation. Les autres onglets relient la même équipe aux astreintes, incidents et tables dont elle a la charge.</w:t>
      </w:r>
    </w:p>
    <w:p>
      <w:pPr>
        <w:pStyle w:val="Heading3"/>
      </w:pPr>
      <w:bookmarkStart w:id="211" w:name="extra_4_4_4_2_Sources_connecteurs_et_n"/>
      <w:r>
        <w:rPr>
          <w:rFonts w:ascii="Times New Roman" w:hAnsi="Times New Roman"/>
          <w:b/>
          <w:color w:val="202124"/>
          <w:sz w:val="25"/>
        </w:rPr>
        <w:t>4.4.4.2 Sources, connecteurs et notifications</w:t>
      </w:r>
      <w:bookmarkEnd w:id="211"/>
    </w:p>
    <w:p>
      <w:pPr>
        <w:spacing w:after="140"/>
        <w:jc w:val="both"/>
      </w:pPr>
      <w:r>
        <w:rPr>
          <w:rFonts w:ascii="Times New Roman" w:hAnsi="Times New Roman"/>
          <w:b w:val="0"/>
          <w:i w:val="0"/>
          <w:color w:val="202124"/>
          <w:sz w:val="24"/>
        </w:rPr>
        <w:t>Le catalogue distingue les capacités annoncées de chaque moteur. La source seedée sert de verticale vérifiée. Le routage et les préférences montrent ensuite comment la même alerte se distribue sans imposer un canal unique.</w:t>
      </w:r>
    </w:p>
    <w:p>
      <w:pPr>
        <w:keepNext/>
        <w:spacing w:after="80"/>
        <w:jc w:val="both"/>
      </w:pPr>
      <w:r>
        <w:rPr>
          <w:rFonts w:ascii="Times New Roman" w:hAnsi="Times New Roman"/>
          <w:b w:val="0"/>
          <w:i w:val="0"/>
          <w:color w:val="202124"/>
          <w:sz w:val="24"/>
        </w:rPr>
        <w:t>La figure 4.14 affiche les sources enregistrées dans les paramètres du workspace.</w:t>
      </w:r>
    </w:p>
    <w:p>
      <w:pPr>
        <w:keepNext/>
        <w:spacing w:before="160" w:after="0"/>
        <w:jc w:val="center"/>
      </w:pPr>
      <w:r>
        <w:drawing>
          <wp:inline xmlns:a="http://schemas.openxmlformats.org/drawingml/2006/main" xmlns:pic="http://schemas.openxmlformats.org/drawingml/2006/picture">
            <wp:extent cx="5688000" cy="3555000"/>
            <wp:docPr id="36" name="Picture 36"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9"/>
                    <a:stretch>
                      <a:fillRect/>
                    </a:stretch>
                  </pic:blipFill>
                  <pic:spPr>
                    <a:xfrm>
                      <a:off x="0" y="0"/>
                      <a:ext cx="5688000" cy="3555000"/>
                    </a:xfrm>
                    <a:prstGeom prst="rect"/>
                  </pic:spPr>
                </pic:pic>
              </a:graphicData>
            </a:graphic>
          </wp:inline>
        </w:drawing>
      </w:r>
    </w:p>
    <w:p>
      <w:pPr>
        <w:pStyle w:val="Caption"/>
      </w:pPr>
      <w:bookmarkStart w:id="212" w:name="fig_4_14"/>
      <w:r>
        <w:rPr>
          <w:rFonts w:ascii="Times New Roman" w:hAnsi="Times New Roman"/>
          <w:b/>
          <w:color w:val="B1202D"/>
          <w:sz w:val="18"/>
        </w:rPr>
        <w:t>Figure 4.14</w:t>
      </w:r>
      <w:r>
        <w:rPr>
          <w:rFonts w:ascii="Times New Roman" w:hAnsi="Times New Roman"/>
          <w:color w:val="5F6368"/>
          <w:sz w:val="18"/>
        </w:rPr>
        <w:t xml:space="preserve"> : Sources de données enregistrées</w:t>
      </w:r>
      <w:bookmarkEnd w:id="212"/>
    </w:p>
    <w:p>
      <w:pPr>
        <w:keepLines/>
        <w:spacing w:after="180"/>
        <w:jc w:val="both"/>
      </w:pPr>
      <w:r>
        <w:rPr>
          <w:rFonts w:ascii="Times New Roman" w:hAnsi="Times New Roman"/>
          <w:b w:val="0"/>
          <w:i w:val="0"/>
          <w:color w:val="202124"/>
          <w:sz w:val="24"/>
        </w:rPr>
        <w:t>Acme Shop DB est la seule source connectée du scénario et utilise PostgreSQL. Ce choix borne clairement la preuve d’intégration : le catalogue propose davantage de moteurs, mais cette capture n’atteste que la verticale réellement démarrée.</w:t>
      </w:r>
    </w:p>
    <w:p>
      <w:pPr>
        <w:keepNext/>
        <w:spacing w:after="80"/>
        <w:jc w:val="both"/>
      </w:pPr>
      <w:r>
        <w:rPr>
          <w:rFonts w:ascii="Times New Roman" w:hAnsi="Times New Roman"/>
          <w:b w:val="0"/>
          <w:i w:val="0"/>
          <w:color w:val="202124"/>
          <w:sz w:val="24"/>
        </w:rPr>
        <w:t>La figure 4.15 montre le formulaire d’ajout d’une source et la sélection du connecteur PostgreSQL.</w:t>
      </w:r>
    </w:p>
    <w:p>
      <w:pPr>
        <w:keepNext/>
        <w:spacing w:before="160" w:after="0"/>
        <w:jc w:val="center"/>
      </w:pPr>
      <w:r>
        <w:drawing>
          <wp:inline xmlns:a="http://schemas.openxmlformats.org/drawingml/2006/main" xmlns:pic="http://schemas.openxmlformats.org/drawingml/2006/picture">
            <wp:extent cx="5688000" cy="3555000"/>
            <wp:docPr id="37" name="Picture 37"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50"/>
                    <a:stretch>
                      <a:fillRect/>
                    </a:stretch>
                  </pic:blipFill>
                  <pic:spPr>
                    <a:xfrm>
                      <a:off x="0" y="0"/>
                      <a:ext cx="5688000" cy="3555000"/>
                    </a:xfrm>
                    <a:prstGeom prst="rect"/>
                  </pic:spPr>
                </pic:pic>
              </a:graphicData>
            </a:graphic>
          </wp:inline>
        </w:drawing>
      </w:r>
    </w:p>
    <w:p>
      <w:pPr>
        <w:pStyle w:val="Caption"/>
      </w:pPr>
      <w:bookmarkStart w:id="213" w:name="fig_4_15"/>
      <w:r>
        <w:rPr>
          <w:rFonts w:ascii="Times New Roman" w:hAnsi="Times New Roman"/>
          <w:b/>
          <w:color w:val="B1202D"/>
          <w:sz w:val="18"/>
        </w:rPr>
        <w:t>Figure 4.15</w:t>
      </w:r>
      <w:r>
        <w:rPr>
          <w:rFonts w:ascii="Times New Roman" w:hAnsi="Times New Roman"/>
          <w:color w:val="5F6368"/>
          <w:sz w:val="18"/>
        </w:rPr>
        <w:t xml:space="preserve"> : Catalogue des connecteurs disponibles</w:t>
      </w:r>
      <w:bookmarkEnd w:id="213"/>
    </w:p>
    <w:p>
      <w:pPr>
        <w:keepLines/>
        <w:spacing w:after="180"/>
        <w:jc w:val="both"/>
      </w:pPr>
      <w:r>
        <w:rPr>
          <w:rFonts w:ascii="Times New Roman" w:hAnsi="Times New Roman"/>
          <w:b w:val="0"/>
          <w:i w:val="0"/>
          <w:color w:val="202124"/>
          <w:sz w:val="24"/>
        </w:rPr>
        <w:t>Hôte, port, base, utilisateur et mot de passe sont saisis avant le test de connexion. Le mot de passe n’est jamais réaffiché après enregistrement. Le backend chiffre la configuration dans le contexte du tenant.</w:t>
      </w:r>
    </w:p>
    <w:p>
      <w:pPr>
        <w:keepNext/>
        <w:spacing w:after="80"/>
        <w:jc w:val="both"/>
      </w:pPr>
      <w:r>
        <w:rPr>
          <w:rFonts w:ascii="Times New Roman" w:hAnsi="Times New Roman"/>
          <w:b w:val="0"/>
          <w:i w:val="0"/>
          <w:color w:val="202124"/>
          <w:sz w:val="24"/>
        </w:rPr>
        <w:t>La figure 4.16 présente les canaux disponibles et la route e-mail utilisée pendant la démonstration.</w:t>
      </w:r>
    </w:p>
    <w:p>
      <w:pPr>
        <w:keepNext/>
        <w:spacing w:before="160" w:after="0"/>
        <w:jc w:val="center"/>
      </w:pPr>
      <w:r>
        <w:drawing>
          <wp:inline xmlns:a="http://schemas.openxmlformats.org/drawingml/2006/main" xmlns:pic="http://schemas.openxmlformats.org/drawingml/2006/picture">
            <wp:extent cx="5688000" cy="3555000"/>
            <wp:docPr id="38" name="Picture 38"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1"/>
                    <a:stretch>
                      <a:fillRect/>
                    </a:stretch>
                  </pic:blipFill>
                  <pic:spPr>
                    <a:xfrm>
                      <a:off x="0" y="0"/>
                      <a:ext cx="5688000" cy="3555000"/>
                    </a:xfrm>
                    <a:prstGeom prst="rect"/>
                  </pic:spPr>
                </pic:pic>
              </a:graphicData>
            </a:graphic>
          </wp:inline>
        </w:drawing>
      </w:r>
    </w:p>
    <w:p>
      <w:pPr>
        <w:pStyle w:val="Caption"/>
      </w:pPr>
      <w:bookmarkStart w:id="214" w:name="fig_4_16"/>
      <w:r>
        <w:rPr>
          <w:rFonts w:ascii="Times New Roman" w:hAnsi="Times New Roman"/>
          <w:b/>
          <w:color w:val="B1202D"/>
          <w:sz w:val="18"/>
        </w:rPr>
        <w:t>Figure 4.16</w:t>
      </w:r>
      <w:r>
        <w:rPr>
          <w:rFonts w:ascii="Times New Roman" w:hAnsi="Times New Roman"/>
          <w:color w:val="5F6368"/>
          <w:sz w:val="18"/>
        </w:rPr>
        <w:t xml:space="preserve"> : Routes d’alerte par canal et sévérité</w:t>
      </w:r>
      <w:bookmarkEnd w:id="214"/>
    </w:p>
    <w:p>
      <w:pPr>
        <w:keepLines/>
        <w:spacing w:after="180"/>
        <w:jc w:val="both"/>
      </w:pPr>
      <w:r>
        <w:rPr>
          <w:rFonts w:ascii="Times New Roman" w:hAnsi="Times New Roman"/>
          <w:b w:val="0"/>
          <w:i w:val="0"/>
          <w:color w:val="202124"/>
          <w:sz w:val="24"/>
        </w:rPr>
        <w:t>La route pfe-demo@acme.test couvre tous les incidents du workspace à partir de P2. Slack, PagerDuty et les webhooks restent visibles comme capacités de routage, sans laisser croire que chacun a été validé dans cette session locale.</w:t>
      </w:r>
    </w:p>
    <w:p>
      <w:pPr>
        <w:keepNext/>
        <w:spacing w:after="80"/>
        <w:jc w:val="both"/>
      </w:pPr>
      <w:r>
        <w:rPr>
          <w:rFonts w:ascii="Times New Roman" w:hAnsi="Times New Roman"/>
          <w:b w:val="0"/>
          <w:i w:val="0"/>
          <w:color w:val="202124"/>
          <w:sz w:val="24"/>
        </w:rPr>
        <w:t>La figure 4.17 descend au niveau des préférences de notification de l’utilisateur connecté.</w:t>
      </w:r>
    </w:p>
    <w:p>
      <w:pPr>
        <w:keepNext/>
        <w:spacing w:before="160" w:after="0"/>
        <w:jc w:val="center"/>
      </w:pPr>
      <w:r>
        <w:drawing>
          <wp:inline xmlns:a="http://schemas.openxmlformats.org/drawingml/2006/main" xmlns:pic="http://schemas.openxmlformats.org/drawingml/2006/picture">
            <wp:extent cx="5688000" cy="3555000"/>
            <wp:docPr id="39" name="Picture 39"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2"/>
                    <a:stretch>
                      <a:fillRect/>
                    </a:stretch>
                  </pic:blipFill>
                  <pic:spPr>
                    <a:xfrm>
                      <a:off x="0" y="0"/>
                      <a:ext cx="5688000" cy="3555000"/>
                    </a:xfrm>
                    <a:prstGeom prst="rect"/>
                  </pic:spPr>
                </pic:pic>
              </a:graphicData>
            </a:graphic>
          </wp:inline>
        </w:drawing>
      </w:r>
    </w:p>
    <w:p>
      <w:pPr>
        <w:pStyle w:val="Caption"/>
      </w:pPr>
      <w:bookmarkStart w:id="215" w:name="fig_4_17"/>
      <w:r>
        <w:rPr>
          <w:rFonts w:ascii="Times New Roman" w:hAnsi="Times New Roman"/>
          <w:b/>
          <w:color w:val="B1202D"/>
          <w:sz w:val="18"/>
        </w:rPr>
        <w:t>Figure 4.17</w:t>
      </w:r>
      <w:r>
        <w:rPr>
          <w:rFonts w:ascii="Times New Roman" w:hAnsi="Times New Roman"/>
          <w:color w:val="5F6368"/>
          <w:sz w:val="18"/>
        </w:rPr>
        <w:t xml:space="preserve"> : Préférences individuelles de notification</w:t>
      </w:r>
      <w:bookmarkEnd w:id="215"/>
    </w:p>
    <w:p>
      <w:pPr>
        <w:keepLines/>
        <w:spacing w:after="180"/>
        <w:jc w:val="both"/>
      </w:pPr>
      <w:r>
        <w:rPr>
          <w:rFonts w:ascii="Times New Roman" w:hAnsi="Times New Roman"/>
          <w:b w:val="0"/>
          <w:i w:val="0"/>
          <w:color w:val="202124"/>
          <w:sz w:val="24"/>
        </w:rPr>
        <w:t>Les bascules distinguent attribution, activité d’équipe et changement d’état. Le digest quotidien possède sa propre heure et son fuseau. Une route d’organisation définit donc la livraison possible, tandis que ces préférences règlent ce que chaque personne souhaite recevoir.</w:t>
      </w:r>
    </w:p>
    <w:p>
      <w:pPr>
        <w:pStyle w:val="Heading3"/>
      </w:pPr>
      <w:bookmarkStart w:id="216" w:name="extra_4_4_4_3_Registre_de_gouvernance_"/>
      <w:r>
        <w:rPr>
          <w:rFonts w:ascii="Times New Roman" w:hAnsi="Times New Roman"/>
          <w:b/>
          <w:color w:val="202124"/>
          <w:sz w:val="25"/>
        </w:rPr>
        <w:t>4.4.4.3 Registre de gouvernance IA</w:t>
      </w:r>
      <w:bookmarkEnd w:id="216"/>
    </w:p>
    <w:p>
      <w:pPr>
        <w:spacing w:after="140"/>
        <w:jc w:val="both"/>
      </w:pPr>
      <w:r>
        <w:rPr>
          <w:rFonts w:ascii="Times New Roman" w:hAnsi="Times New Roman"/>
          <w:b w:val="0"/>
          <w:i w:val="0"/>
          <w:color w:val="202124"/>
          <w:sz w:val="24"/>
        </w:rPr>
        <w:t>La gouvernance IA désigne ici l’ensemble des responsabilités, versions, déclarations de données et preuves nécessaires pour répondre à cinq questions simples : quel système fonctionne, dans quel but déclaré, avec quelles données, sous la responsabilité de qui, et avec quels contrôles disponibles ? DataWatch matérialise ces réponses dans un registre isolé par organisation. Les versions, manifestes et évaluations terminales sont immuables. Les états inconnus ou périmés restent visibles au lieu d’être maquillés en succès.</w:t>
      </w:r>
    </w:p>
    <w:p>
      <w:pPr>
        <w:spacing w:after="140"/>
        <w:jc w:val="both"/>
      </w:pPr>
      <w:r>
        <w:rPr>
          <w:rFonts w:ascii="Times New Roman" w:hAnsi="Times New Roman"/>
          <w:b w:val="0"/>
          <w:i w:val="0"/>
          <w:color w:val="202124"/>
          <w:sz w:val="24"/>
        </w:rPr>
        <w:t>Dans le scénario Acme, un assistant RAG de support est lié à une table surveillée et à une empreinte de schéma. À chaque profil réussi, DataWatch peut réévaluer l’âge des preuves, la fraîcheur du schéma, la présence de responsables, les rôles d’accès déclarés et quelques incohérences vectorielles. L’écran rassemble ensuite état global, confiance des preuves, risque résiduel, raisons de contrôle et chronologie. Il aide un opérateur à voir ce qui manque. Rien de plus.</w:t>
      </w:r>
    </w:p>
    <w:p>
      <w:pPr>
        <w:keepNext/>
        <w:spacing w:after="80"/>
        <w:jc w:val="both"/>
      </w:pPr>
      <w:r>
        <w:rPr>
          <w:rFonts w:ascii="Times New Roman" w:hAnsi="Times New Roman"/>
          <w:b w:val="0"/>
          <w:i w:val="0"/>
          <w:color w:val="202124"/>
          <w:sz w:val="24"/>
        </w:rPr>
        <w:t>La figure 4.18 ouvre la file de travail du prototype de gouvernance IA.</w:t>
      </w:r>
    </w:p>
    <w:p>
      <w:pPr>
        <w:keepNext/>
        <w:spacing w:before="160" w:after="0"/>
        <w:jc w:val="center"/>
      </w:pPr>
      <w:r>
        <w:drawing>
          <wp:inline xmlns:a="http://schemas.openxmlformats.org/drawingml/2006/main" xmlns:pic="http://schemas.openxmlformats.org/drawingml/2006/picture">
            <wp:extent cx="5688000" cy="3555000"/>
            <wp:docPr id="40" name="Picture 40"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7" w:name="fig_4_18"/>
      <w:r>
        <w:rPr>
          <w:rFonts w:ascii="Times New Roman" w:hAnsi="Times New Roman"/>
          <w:b/>
          <w:color w:val="B1202D"/>
          <w:sz w:val="18"/>
        </w:rPr>
        <w:t>Figure 4.18</w:t>
      </w:r>
      <w:r>
        <w:rPr>
          <w:rFonts w:ascii="Times New Roman" w:hAnsi="Times New Roman"/>
          <w:color w:val="5F6368"/>
          <w:sz w:val="18"/>
        </w:rPr>
        <w:t xml:space="preserve"> : File de travail de gouvernance IA</w:t>
      </w:r>
      <w:bookmarkEnd w:id="217"/>
    </w:p>
    <w:p>
      <w:pPr>
        <w:keepLines/>
        <w:spacing w:after="180"/>
        <w:jc w:val="both"/>
      </w:pPr>
      <w:r>
        <w:rPr>
          <w:rFonts w:ascii="Times New Roman" w:hAnsi="Times New Roman"/>
          <w:b w:val="0"/>
          <w:i w:val="0"/>
          <w:color w:val="202124"/>
          <w:sz w:val="24"/>
        </w:rPr>
        <w:t>Un seul système seedé apparaît : Support knowledge assistant, avec trois responsables sur trois et cinq contrôles ouverts. Cette faible volumétrie est volontaire. Elle démontre le registre et ses états, pas sa capacité à gouverner un portefeuille industriel.</w:t>
      </w:r>
    </w:p>
    <w:p>
      <w:pPr>
        <w:keepNext/>
        <w:spacing w:after="80"/>
        <w:jc w:val="both"/>
      </w:pPr>
      <w:r>
        <w:rPr>
          <w:rFonts w:ascii="Times New Roman" w:hAnsi="Times New Roman"/>
          <w:b w:val="0"/>
          <w:i w:val="0"/>
          <w:color w:val="202124"/>
          <w:sz w:val="24"/>
        </w:rPr>
        <w:t>La figure 4.19 détaille l’état calculé pour le système IA de support.</w:t>
      </w:r>
    </w:p>
    <w:p>
      <w:pPr>
        <w:keepNext/>
        <w:spacing w:before="160" w:after="0"/>
        <w:jc w:val="center"/>
      </w:pPr>
      <w:r>
        <w:drawing>
          <wp:inline xmlns:a="http://schemas.openxmlformats.org/drawingml/2006/main" xmlns:pic="http://schemas.openxmlformats.org/drawingml/2006/picture">
            <wp:extent cx="5688000" cy="3555000"/>
            <wp:docPr id="41" name="Picture 41"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18" w:name="fig_4_19"/>
      <w:r>
        <w:rPr>
          <w:rFonts w:ascii="Times New Roman" w:hAnsi="Times New Roman"/>
          <w:b/>
          <w:color w:val="B1202D"/>
          <w:sz w:val="18"/>
        </w:rPr>
        <w:t>Figure 4.19</w:t>
      </w:r>
      <w:r>
        <w:rPr>
          <w:rFonts w:ascii="Times New Roman" w:hAnsi="Times New Roman"/>
          <w:color w:val="5F6368"/>
          <w:sz w:val="18"/>
        </w:rPr>
        <w:t xml:space="preserve"> : Détail d’un système IA déclaré</w:t>
      </w:r>
      <w:bookmarkEnd w:id="218"/>
    </w:p>
    <w:p>
      <w:pPr>
        <w:keepLines/>
        <w:spacing w:after="180"/>
        <w:jc w:val="both"/>
      </w:pPr>
      <w:r>
        <w:rPr>
          <w:rFonts w:ascii="Times New Roman" w:hAnsi="Times New Roman"/>
          <w:b w:val="0"/>
          <w:i w:val="0"/>
          <w:color w:val="202124"/>
          <w:sz w:val="24"/>
        </w:rPr>
        <w:t>L’écran affiche une action requise, une confiance des preuves de 81,8 % et un risque résiduel de 27,4 sur 100. Les cartes de contrôle exposent leurs raisons et leurs échecs. Ces nombres appartiennent au scénario seedé et ne sont ni un score réglementaire ni une certification.</w:t>
      </w:r>
    </w:p>
    <w:p>
      <w:pPr>
        <w:keepNext/>
        <w:spacing w:after="80"/>
        <w:jc w:val="both"/>
      </w:pPr>
      <w:r>
        <w:rPr>
          <w:rFonts w:ascii="Times New Roman" w:hAnsi="Times New Roman"/>
          <w:b w:val="0"/>
          <w:i w:val="0"/>
          <w:color w:val="202124"/>
          <w:sz w:val="24"/>
        </w:rPr>
        <w:t>La figure 4.20 prolonge cette fiche par la chronologie des preuves attachées au système.</w:t>
      </w:r>
    </w:p>
    <w:p>
      <w:pPr>
        <w:keepNext/>
        <w:spacing w:before="160" w:after="0"/>
        <w:jc w:val="center"/>
      </w:pPr>
      <w:r>
        <w:drawing>
          <wp:inline xmlns:a="http://schemas.openxmlformats.org/drawingml/2006/main" xmlns:pic="http://schemas.openxmlformats.org/drawingml/2006/picture">
            <wp:extent cx="5688000" cy="3555000"/>
            <wp:docPr id="42" name="Picture 42"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19" w:name="fig_4_20"/>
      <w:r>
        <w:rPr>
          <w:rFonts w:ascii="Times New Roman" w:hAnsi="Times New Roman"/>
          <w:b/>
          <w:color w:val="B1202D"/>
          <w:sz w:val="18"/>
        </w:rPr>
        <w:t>Figure 4.20</w:t>
      </w:r>
      <w:r>
        <w:rPr>
          <w:rFonts w:ascii="Times New Roman" w:hAnsi="Times New Roman"/>
          <w:color w:val="5F6368"/>
          <w:sz w:val="18"/>
        </w:rPr>
        <w:t xml:space="preserve"> : Chronologie des preuves de gouvernance</w:t>
      </w:r>
      <w:bookmarkEnd w:id="219"/>
    </w:p>
    <w:p>
      <w:pPr>
        <w:keepLines/>
        <w:spacing w:after="180"/>
        <w:jc w:val="both"/>
      </w:pPr>
      <w:r>
        <w:rPr>
          <w:rFonts w:ascii="Times New Roman" w:hAnsi="Times New Roman"/>
          <w:b w:val="0"/>
          <w:i w:val="0"/>
          <w:color w:val="202124"/>
          <w:sz w:val="24"/>
        </w:rPr>
        <w:t>Chaque entrée conserve type, provenance, validité et empreinte afin de rendre une évaluation rejouable. Le registre ne stocke ni prompts ni réponses métier : la chronologie porte uniquement sur des métadonnées techniques bornées.</w:t>
      </w:r>
    </w:p>
    <w:p>
      <w:pPr>
        <w:pStyle w:val="Heading3"/>
      </w:pPr>
      <w:bookmarkStart w:id="220" w:name="extra_4_4_4_4_Limites_du_prototype_de_"/>
      <w:r>
        <w:rPr>
          <w:rFonts w:ascii="Times New Roman" w:hAnsi="Times New Roman"/>
          <w:b/>
          <w:color w:val="202124"/>
          <w:sz w:val="25"/>
        </w:rPr>
        <w:t>4.4.4.4 Limites du prototype de gouvernance IA</w:t>
      </w:r>
      <w:bookmarkEnd w:id="220"/>
    </w:p>
    <w:p>
      <w:pPr>
        <w:spacing w:after="140"/>
        <w:jc w:val="both"/>
      </w:pPr>
      <w:r>
        <w:rPr>
          <w:rFonts w:ascii="Times New Roman" w:hAnsi="Times New Roman"/>
          <w:b w:val="0"/>
          <w:i w:val="0"/>
          <w:color w:val="202124"/>
          <w:sz w:val="24"/>
        </w:rPr>
        <w:t>Cette brique est une preuve de concept, volontairement petite. La démonstration repose sur un seul système IA seedé, une verticale PostgreSQL/pgvector et des anomalies préparées pour être reproductibles. Plusieurs informations demeurent des déclarations client. Elles ne prouvent ni l’usage réel des données, ni la finalité juridique, ni le comportement effectif du modèle. Le prototype ne mesure pas la robustesse, les biais, l’équité, la sécurité adversariale ou la dérive des sorties. Il ne lit d’ailleurs ni prompts, ni réponses, ni lignes métier : le registre conserve uniquement des métadonnées bornées.</w:t>
      </w:r>
    </w:p>
    <w:p>
      <w:pPr>
        <w:spacing w:after="140"/>
        <w:jc w:val="both"/>
      </w:pPr>
      <w:r>
        <w:rPr>
          <w:rFonts w:ascii="Times New Roman" w:hAnsi="Times New Roman"/>
          <w:b w:val="0"/>
          <w:i w:val="0"/>
          <w:color w:val="202124"/>
          <w:sz w:val="24"/>
        </w:rPr>
        <w:t>Le mode observe-only est la frontière la plus importante. Un contrôle en échec ouvre un signal et peut déclencher une alerte, mais il n’empêche pas une release. L’interface actuelle permet surtout d’enregistrer un système puis de consulter le scénario préparé. La création complète des versions, usages, manifestes, approbations et politiques n’est pas encore un parcours SaaS abouti. Pour devenir une fonction produit crédible, il faudra un éditeur de bout en bout, des gates d’approbation configurables, un véritable circuit de revue humaine, des exports d’audit, une politique de rétention, des contrôles multi-fournisseurs et des validations répétées sur des cas non seedés.</w:t>
      </w:r>
    </w:p>
    <w:p>
      <w:pPr>
        <w:pStyle w:val="Heading3"/>
      </w:pPr>
      <w:bookmarkStart w:id="221" w:name="extra_4_4_4_5_Portail_staff"/>
      <w:r>
        <w:rPr>
          <w:rFonts w:ascii="Times New Roman" w:hAnsi="Times New Roman"/>
          <w:b/>
          <w:color w:val="202124"/>
          <w:sz w:val="25"/>
        </w:rPr>
        <w:t>4.4.4.5 Portail staff</w:t>
      </w:r>
      <w:bookmarkEnd w:id="221"/>
    </w:p>
    <w:p>
      <w:pPr>
        <w:spacing w:after="140"/>
        <w:jc w:val="both"/>
      </w:pPr>
      <w:r>
        <w:rPr>
          <w:rFonts w:ascii="Times New Roman" w:hAnsi="Times New Roman"/>
          <w:b w:val="0"/>
          <w:i w:val="0"/>
          <w:color w:val="202124"/>
          <w:sz w:val="24"/>
        </w:rPr>
        <w:t>L’administration de la plateforme utilise une authentification séparée. Le staff voit les organisations, les usages et l’état d’un tenant. Il n’emprunte pas l’identité d’un membre du workspace.</w:t>
      </w:r>
    </w:p>
    <w:p>
      <w:pPr>
        <w:keepNext/>
        <w:spacing w:after="80"/>
        <w:jc w:val="both"/>
      </w:pPr>
      <w:r>
        <w:rPr>
          <w:rFonts w:ascii="Times New Roman" w:hAnsi="Times New Roman"/>
          <w:b w:val="0"/>
          <w:i w:val="0"/>
          <w:color w:val="202124"/>
          <w:sz w:val="24"/>
        </w:rPr>
        <w:t>La figure 4.21 montre la porte d’entrée distincte du portail réservé au personnel DataWatch.</w:t>
      </w:r>
    </w:p>
    <w:p>
      <w:pPr>
        <w:keepNext/>
        <w:spacing w:before="160" w:after="0"/>
        <w:jc w:val="center"/>
      </w:pPr>
      <w:r>
        <w:drawing>
          <wp:inline xmlns:a="http://schemas.openxmlformats.org/drawingml/2006/main" xmlns:pic="http://schemas.openxmlformats.org/drawingml/2006/picture">
            <wp:extent cx="5688000" cy="3555000"/>
            <wp:docPr id="43" name="Picture 43"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5"/>
                    <a:stretch>
                      <a:fillRect/>
                    </a:stretch>
                  </pic:blipFill>
                  <pic:spPr>
                    <a:xfrm>
                      <a:off x="0" y="0"/>
                      <a:ext cx="5688000" cy="3555000"/>
                    </a:xfrm>
                    <a:prstGeom prst="rect"/>
                  </pic:spPr>
                </pic:pic>
              </a:graphicData>
            </a:graphic>
          </wp:inline>
        </w:drawing>
      </w:r>
    </w:p>
    <w:p>
      <w:pPr>
        <w:pStyle w:val="Caption"/>
      </w:pPr>
      <w:bookmarkStart w:id="222" w:name="fig_4_21"/>
      <w:r>
        <w:rPr>
          <w:rFonts w:ascii="Times New Roman" w:hAnsi="Times New Roman"/>
          <w:b/>
          <w:color w:val="B1202D"/>
          <w:sz w:val="18"/>
        </w:rPr>
        <w:t>Figure 4.21</w:t>
      </w:r>
      <w:r>
        <w:rPr>
          <w:rFonts w:ascii="Times New Roman" w:hAnsi="Times New Roman"/>
          <w:color w:val="5F6368"/>
          <w:sz w:val="18"/>
        </w:rPr>
        <w:t xml:space="preserve"> : Connexion isolée au portail staff</w:t>
      </w:r>
      <w:bookmarkEnd w:id="222"/>
    </w:p>
    <w:p>
      <w:pPr>
        <w:keepLines/>
        <w:spacing w:after="180"/>
        <w:jc w:val="both"/>
      </w:pPr>
      <w:r>
        <w:rPr>
          <w:rFonts w:ascii="Times New Roman" w:hAnsi="Times New Roman"/>
          <w:b w:val="0"/>
          <w:i w:val="0"/>
          <w:color w:val="202124"/>
          <w:sz w:val="24"/>
        </w:rPr>
        <w:t>L’absence de champ Workspace n’est pas un oubli : les comptes staff appartiennent à un domaine d’identité séparé. Une session client ne peut donc pas être recyclée pour ouvrir les fonctions d’administration globale.</w:t>
      </w:r>
    </w:p>
    <w:p>
      <w:pPr>
        <w:keepNext/>
        <w:spacing w:after="80"/>
        <w:jc w:val="both"/>
      </w:pPr>
      <w:r>
        <w:rPr>
          <w:rFonts w:ascii="Times New Roman" w:hAnsi="Times New Roman"/>
          <w:b w:val="0"/>
          <w:i w:val="0"/>
          <w:color w:val="202124"/>
          <w:sz w:val="24"/>
        </w:rPr>
        <w:t>La figure 4.22 présente l’inventaire des organisations depuis le portail staff.</w:t>
      </w:r>
    </w:p>
    <w:p>
      <w:pPr>
        <w:keepNext/>
        <w:spacing w:before="160" w:after="0"/>
        <w:jc w:val="center"/>
      </w:pPr>
      <w:r>
        <w:drawing>
          <wp:inline xmlns:a="http://schemas.openxmlformats.org/drawingml/2006/main" xmlns:pic="http://schemas.openxmlformats.org/drawingml/2006/picture">
            <wp:extent cx="5688000" cy="3555000"/>
            <wp:docPr id="44" name="Picture 44"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6"/>
                    <a:stretch>
                      <a:fillRect/>
                    </a:stretch>
                  </pic:blipFill>
                  <pic:spPr>
                    <a:xfrm>
                      <a:off x="0" y="0"/>
                      <a:ext cx="5688000" cy="3555000"/>
                    </a:xfrm>
                    <a:prstGeom prst="rect"/>
                  </pic:spPr>
                </pic:pic>
              </a:graphicData>
            </a:graphic>
          </wp:inline>
        </w:drawing>
      </w:r>
    </w:p>
    <w:p>
      <w:pPr>
        <w:pStyle w:val="Caption"/>
      </w:pPr>
      <w:bookmarkStart w:id="223" w:name="fig_4_22"/>
      <w:r>
        <w:rPr>
          <w:rFonts w:ascii="Times New Roman" w:hAnsi="Times New Roman"/>
          <w:b/>
          <w:color w:val="B1202D"/>
          <w:sz w:val="18"/>
        </w:rPr>
        <w:t>Figure 4.22</w:t>
      </w:r>
      <w:r>
        <w:rPr>
          <w:rFonts w:ascii="Times New Roman" w:hAnsi="Times New Roman"/>
          <w:color w:val="5F6368"/>
          <w:sz w:val="18"/>
        </w:rPr>
        <w:t xml:space="preserve"> : Administration des organisations clientes</w:t>
      </w:r>
      <w:bookmarkEnd w:id="223"/>
    </w:p>
    <w:p>
      <w:pPr>
        <w:keepLines/>
        <w:spacing w:after="180"/>
        <w:jc w:val="both"/>
      </w:pPr>
      <w:r>
        <w:rPr>
          <w:rFonts w:ascii="Times New Roman" w:hAnsi="Times New Roman"/>
          <w:b w:val="0"/>
          <w:i w:val="0"/>
          <w:color w:val="202124"/>
          <w:sz w:val="24"/>
        </w:rPr>
        <w:t>Le seed contient deux tenants actifs, cinq membres au total et un revenu mensuel estimé à 298 dollars. Recherche, filtres de plan et statut précèdent l’ouverture d’une organisation. Les valeurs restent des données de démonstration.</w:t>
      </w:r>
    </w:p>
    <w:p>
      <w:pPr>
        <w:keepNext/>
        <w:spacing w:after="80"/>
        <w:jc w:val="both"/>
      </w:pPr>
      <w:r>
        <w:rPr>
          <w:rFonts w:ascii="Times New Roman" w:hAnsi="Times New Roman"/>
          <w:b w:val="0"/>
          <w:i w:val="0"/>
          <w:color w:val="202124"/>
          <w:sz w:val="24"/>
        </w:rPr>
        <w:t>La figure 4.23 rassemble les indicateurs commerciaux et opérationnels visibles par le staff.</w:t>
      </w:r>
    </w:p>
    <w:p>
      <w:pPr>
        <w:keepNext/>
        <w:spacing w:before="160" w:after="0"/>
        <w:jc w:val="center"/>
      </w:pPr>
      <w:r>
        <w:drawing>
          <wp:inline xmlns:a="http://schemas.openxmlformats.org/drawingml/2006/main" xmlns:pic="http://schemas.openxmlformats.org/drawingml/2006/picture">
            <wp:extent cx="5688000" cy="3555000"/>
            <wp:docPr id="45" name="Picture 45"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7"/>
                    <a:stretch>
                      <a:fillRect/>
                    </a:stretch>
                  </pic:blipFill>
                  <pic:spPr>
                    <a:xfrm>
                      <a:off x="0" y="0"/>
                      <a:ext cx="5688000" cy="3555000"/>
                    </a:xfrm>
                    <a:prstGeom prst="rect"/>
                  </pic:spPr>
                </pic:pic>
              </a:graphicData>
            </a:graphic>
          </wp:inline>
        </w:drawing>
      </w:r>
    </w:p>
    <w:p>
      <w:pPr>
        <w:pStyle w:val="Caption"/>
      </w:pPr>
      <w:bookmarkStart w:id="224" w:name="fig_4_23"/>
      <w:r>
        <w:rPr>
          <w:rFonts w:ascii="Times New Roman" w:hAnsi="Times New Roman"/>
          <w:b/>
          <w:color w:val="B1202D"/>
          <w:sz w:val="18"/>
        </w:rPr>
        <w:t>Figure 4.23</w:t>
      </w:r>
      <w:r>
        <w:rPr>
          <w:rFonts w:ascii="Times New Roman" w:hAnsi="Times New Roman"/>
          <w:color w:val="5F6368"/>
          <w:sz w:val="18"/>
        </w:rPr>
        <w:t xml:space="preserve"> : Tableau de bord global du portail staff</w:t>
      </w:r>
      <w:bookmarkEnd w:id="224"/>
    </w:p>
    <w:p>
      <w:pPr>
        <w:keepLines/>
        <w:spacing w:after="180"/>
        <w:jc w:val="both"/>
      </w:pPr>
      <w:r>
        <w:rPr>
          <w:rFonts w:ascii="Times New Roman" w:hAnsi="Times New Roman"/>
          <w:b w:val="0"/>
          <w:i w:val="0"/>
          <w:color w:val="202124"/>
          <w:sz w:val="24"/>
        </w:rPr>
        <w:t>Le tableau de bord sépare revenu récurrent, abonnements, activité récente, organisations, utilisateurs, sources, tables et incidents. Le graphique hebdomadaire contextualise le stock par un flux de créations, sans prétendre constituer une comptabilité de production.</w:t>
      </w:r>
    </w:p>
    <w:p>
      <w:pPr>
        <w:keepNext/>
        <w:spacing w:after="80"/>
        <w:jc w:val="both"/>
      </w:pPr>
      <w:r>
        <w:rPr>
          <w:rFonts w:ascii="Times New Roman" w:hAnsi="Times New Roman"/>
          <w:b w:val="0"/>
          <w:i w:val="0"/>
          <w:color w:val="202124"/>
          <w:sz w:val="24"/>
        </w:rPr>
        <w:t>La figure 4.24 ouvre la fiche administrative d’Acme Corp.</w:t>
      </w:r>
    </w:p>
    <w:p>
      <w:pPr>
        <w:keepNext/>
        <w:spacing w:before="160" w:after="0"/>
        <w:jc w:val="center"/>
      </w:pPr>
      <w:r>
        <w:drawing>
          <wp:inline xmlns:a="http://schemas.openxmlformats.org/drawingml/2006/main" xmlns:pic="http://schemas.openxmlformats.org/drawingml/2006/picture">
            <wp:extent cx="5688000" cy="3555000"/>
            <wp:docPr id="46" name="Picture 46"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8"/>
                    <a:stretch>
                      <a:fillRect/>
                    </a:stretch>
                  </pic:blipFill>
                  <pic:spPr>
                    <a:xfrm>
                      <a:off x="0" y="0"/>
                      <a:ext cx="5688000" cy="3555000"/>
                    </a:xfrm>
                    <a:prstGeom prst="rect"/>
                  </pic:spPr>
                </pic:pic>
              </a:graphicData>
            </a:graphic>
          </wp:inline>
        </w:drawing>
      </w:r>
    </w:p>
    <w:p>
      <w:pPr>
        <w:pStyle w:val="Caption"/>
      </w:pPr>
      <w:bookmarkStart w:id="225" w:name="fig_4_24"/>
      <w:r>
        <w:rPr>
          <w:rFonts w:ascii="Times New Roman" w:hAnsi="Times New Roman"/>
          <w:b/>
          <w:color w:val="B1202D"/>
          <w:sz w:val="18"/>
        </w:rPr>
        <w:t>Figure 4.24</w:t>
      </w:r>
      <w:r>
        <w:rPr>
          <w:rFonts w:ascii="Times New Roman" w:hAnsi="Times New Roman"/>
          <w:color w:val="5F6368"/>
          <w:sz w:val="18"/>
        </w:rPr>
        <w:t xml:space="preserve"> : Détail opérationnel de l’organisation Acme Corp</w:t>
      </w:r>
      <w:bookmarkEnd w:id="225"/>
    </w:p>
    <w:p>
      <w:pPr>
        <w:keepLines/>
        <w:spacing w:after="180"/>
        <w:jc w:val="both"/>
      </w:pPr>
      <w:r>
        <w:rPr>
          <w:rFonts w:ascii="Times New Roman" w:hAnsi="Times New Roman"/>
          <w:b w:val="0"/>
          <w:i w:val="0"/>
          <w:color w:val="202124"/>
          <w:sz w:val="24"/>
        </w:rPr>
        <w:t>Le plan Growth actif est affiché à 149 dollars par mois, avec une source, quatre tables et trois membres. Les compteurs sur trente jours permettent de vérifier l’activité déclarée avant une modification d’abonnement. Ils restent isolés des écrans opérationnels du client.</w:t>
      </w:r>
    </w:p>
    <w:p>
      <w:pPr>
        <w:spacing w:after="140"/>
        <w:jc w:val="both"/>
      </w:pPr>
      <w:r>
        <w:rPr>
          <w:rFonts w:ascii="Times New Roman" w:hAnsi="Times New Roman"/>
          <w:b w:val="0"/>
          <w:i w:val="0"/>
          <w:color w:val="202124"/>
          <w:sz w:val="24"/>
        </w:rPr>
        <w:t>La démonstration se poursuit dans Paramètres → Alertes avec la route email P1/P2, puis dans MailHog pour la preuve de livraison. La page Gouvernance IA présente un prototype observe-only : inventaire, usages déclarés, provenance des preuves et raisons des contrôles. Le scénario est restreint à une verticale PostgreSQL/pgvector seedée. Il sert à éprouver le modèle de données et l’interface, pas à prouver une gouvernance industrielle.</w:t>
      </w:r>
    </w:p>
    <w:p>
      <w:pPr>
        <w:pStyle w:val="Heading3"/>
      </w:pPr>
      <w:bookmarkStart w:id="226" w:name="body_239"/>
      <w:r>
        <w:rPr>
          <w:rFonts w:ascii="Times New Roman" w:hAnsi="Times New Roman"/>
          <w:b/>
          <w:color w:val="202124"/>
          <w:sz w:val="25"/>
        </w:rPr>
        <w:t>4.4.5 Règles de présentation des captures</w:t>
      </w:r>
      <w:bookmarkEnd w:id="226"/>
    </w:p>
    <w:p>
      <w:pPr>
        <w:spacing w:after="140"/>
        <w:jc w:val="both"/>
      </w:pPr>
      <w:r>
        <w:rPr>
          <w:rFonts w:ascii="Times New Roman" w:hAnsi="Times New Roman"/>
          <w:b w:val="0"/>
          <w:i w:val="0"/>
          <w:color w:val="202124"/>
          <w:sz w:val="24"/>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7" w:name="body_247"/>
      <w:r>
        <w:rPr>
          <w:rFonts w:ascii="Times New Roman" w:hAnsi="Times New Roman"/>
          <w:b/>
          <w:color w:val="202124"/>
          <w:sz w:val="29"/>
        </w:rPr>
        <w:t>4.5 Tests et validation</w:t>
      </w:r>
      <w:bookmarkEnd w:id="227"/>
    </w:p>
    <w:p>
      <w:pPr>
        <w:pStyle w:val="Heading3"/>
      </w:pPr>
      <w:bookmarkStart w:id="228" w:name="extra_4_5_1_Strat_gie_de_test"/>
      <w:r>
        <w:rPr>
          <w:rFonts w:ascii="Times New Roman" w:hAnsi="Times New Roman"/>
          <w:b/>
          <w:color w:val="202124"/>
          <w:sz w:val="25"/>
        </w:rPr>
        <w:t>4.5.1 Stratégie de test</w:t>
      </w:r>
      <w:bookmarkEnd w:id="228"/>
    </w:p>
    <w:p>
      <w:pPr>
        <w:spacing w:after="140"/>
        <w:jc w:val="both"/>
      </w:pPr>
      <w:r>
        <w:rPr>
          <w:rFonts w:ascii="Times New Roman" w:hAnsi="Times New Roman"/>
          <w:b w:val="0"/>
          <w:i w:val="0"/>
          <w:color w:val="202124"/>
          <w:sz w:val="24"/>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9" w:name="extra_4_5_2_Sc_narios_fonctionnels"/>
      <w:r>
        <w:rPr>
          <w:rFonts w:ascii="Times New Roman" w:hAnsi="Times New Roman"/>
          <w:b/>
          <w:color w:val="202124"/>
          <w:sz w:val="25"/>
        </w:rPr>
        <w:t>4.5.2 Scénarios fonctionnels</w:t>
      </w:r>
      <w:bookmarkEnd w:id="229"/>
    </w:p>
    <w:p>
      <w:pPr>
        <w:pStyle w:val="Caption"/>
        <w:keepNext/>
        <w:spacing w:before="160" w:after="100"/>
        <w:jc w:val="left"/>
      </w:pPr>
      <w:bookmarkStart w:id="230"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30"/>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31" w:name="extra_4_5_3_R_sultats_et_interpr_tatio"/>
      <w:r>
        <w:rPr>
          <w:rFonts w:ascii="Times New Roman" w:hAnsi="Times New Roman"/>
          <w:b/>
          <w:color w:val="202124"/>
          <w:sz w:val="25"/>
        </w:rPr>
        <w:t>4.5.3 Résultats et interprétation</w:t>
      </w:r>
      <w:bookmarkEnd w:id="231"/>
    </w:p>
    <w:p>
      <w:pPr>
        <w:spacing w:after="140"/>
        <w:jc w:val="both"/>
      </w:pPr>
      <w:r>
        <w:rPr>
          <w:rFonts w:ascii="Times New Roman" w:hAnsi="Times New Roman"/>
          <w:b w:val="0"/>
          <w:i w:val="0"/>
          <w:color w:val="202124"/>
          <w:sz w:val="24"/>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140"/>
        <w:jc w:val="both"/>
      </w:pPr>
      <w:r>
        <w:rPr>
          <w:rFonts w:ascii="Times New Roman" w:hAnsi="Times New Roman"/>
          <w:b w:val="0"/>
          <w:i w:val="0"/>
          <w:color w:val="202124"/>
          <w:sz w:val="24"/>
        </w:rPr>
        <w:t>La distinction entre test syntaxique, test unitaire et preuve d’intégration est essentielle. Une configuration Docker valide ne prouve pas que les services démarrent. Une suite avec dépendances simulées ne prouve pas qu’une transaction réelle fonctionne. Une capture correcte ne prouve pas la résistance à la charge. Pour la couche IA, les tests vérifient les seuils d’activation, les scores produits, la persistance des observations et le comportement sur les anomalies seedées. Ils ne constituent pas encore une mesure de précision ou de rappel sur un corpus annoté. Le rapport conserve cette limite à proximité des résultats.</w:t>
      </w:r>
    </w:p>
    <w:p>
      <w:pPr>
        <w:spacing w:after="140"/>
        <w:jc w:val="both"/>
      </w:pPr>
      <w:r>
        <w:rPr>
          <w:rFonts w:ascii="Times New Roman" w:hAnsi="Times New Roman"/>
          <w:b w:val="0"/>
          <w:i w:val="0"/>
          <w:color w:val="202124"/>
          <w:sz w:val="24"/>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Times New Roman" w:hAnsi="Times New Roman"/>
          <w:b/>
          <w:i w:val="0"/>
          <w:color w:val="202124"/>
          <w:sz w:val="24"/>
        </w:rPr>
        <w:t>VALIDATION REJOUÉE SUR LA PILE LOCALE SEEDÉE</w:t>
      </w:r>
    </w:p>
    <w:p>
      <w:pPr>
        <w:spacing w:after="140"/>
        <w:jc w:val="both"/>
      </w:pPr>
      <w:r>
        <w:rPr>
          <w:rFonts w:ascii="Times New Roman" w:hAnsi="Times New Roman"/>
          <w:b w:val="0"/>
          <w:i w:val="0"/>
          <w:color w:val="202124"/>
          <w:sz w:val="24"/>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40"/>
        <w:jc w:val="both"/>
      </w:pPr>
      <w:r>
        <w:rPr>
          <w:rFonts w:ascii="Times New Roman" w:hAnsi="Times New Roman"/>
          <w:b w:val="0"/>
          <w:i w:val="0"/>
          <w:color w:val="202124"/>
          <w:sz w:val="24"/>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40"/>
        <w:jc w:val="both"/>
      </w:pPr>
      <w:r>
        <w:rPr>
          <w:rFonts w:ascii="Times New Roman" w:hAnsi="Times New Roman"/>
          <w:b w:val="0"/>
          <w:i w:val="0"/>
          <w:color w:val="202124"/>
          <w:sz w:val="24"/>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Elles ne deviennent pas, par glissement de vocabulaire, une validation totale.</w:t>
      </w:r>
    </w:p>
    <w:p>
      <w:pPr>
        <w:pStyle w:val="Heading2"/>
      </w:pPr>
      <w:bookmarkStart w:id="232" w:name="body_254"/>
      <w:r>
        <w:rPr>
          <w:rFonts w:ascii="Times New Roman" w:hAnsi="Times New Roman"/>
          <w:b/>
          <w:color w:val="202124"/>
          <w:sz w:val="29"/>
        </w:rPr>
        <w:t>4.6 Discussion des limites</w:t>
      </w:r>
      <w:bookmarkEnd w:id="232"/>
    </w:p>
    <w:p>
      <w:pPr>
        <w:spacing w:after="140"/>
        <w:jc w:val="both"/>
      </w:pPr>
      <w:r>
        <w:rPr>
          <w:rFonts w:ascii="Times New Roman" w:hAnsi="Times New Roman"/>
          <w:b w:val="0"/>
          <w:i w:val="0"/>
          <w:color w:val="202124"/>
          <w:sz w:val="24"/>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140"/>
        <w:jc w:val="both"/>
      </w:pPr>
      <w:r>
        <w:rPr>
          <w:rFonts w:ascii="Times New Roman" w:hAnsi="Times New Roman"/>
          <w:b w:val="0"/>
          <w:i w:val="0"/>
          <w:color w:val="202124"/>
          <w:sz w:val="24"/>
        </w:rPr>
        <w:t>Le deuxième risque concerne la détection. Les seuils et modèles utilisent un historique limité.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140"/>
        <w:jc w:val="both"/>
      </w:pPr>
      <w:r>
        <w:rPr>
          <w:rFonts w:ascii="Times New Roman" w:hAnsi="Times New Roman"/>
          <w:b w:val="0"/>
          <w:i w:val="0"/>
          <w:color w:val="202124"/>
          <w:sz w:val="24"/>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Elles définissent précisément le travail requis pour passer d’un PFE démontrable à un service commercial fiable.</w:t>
      </w:r>
    </w:p>
    <w:p>
      <w:pPr>
        <w:spacing w:after="140"/>
        <w:jc w:val="both"/>
      </w:pPr>
      <w:r>
        <w:rPr>
          <w:rFonts w:ascii="Times New Roman" w:hAnsi="Times New Roman"/>
          <w:b w:val="0"/>
          <w:i w:val="0"/>
          <w:color w:val="202124"/>
          <w:sz w:val="24"/>
        </w:rPr>
        <w:t>Les résultats sont des preuves locales et ne constituent pas une garantie de montée en charge, de disponibilité internet ou de délai de fournisseur LLM. PostgreSQL est le connecteur stable de référence.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reste une preuve de concept centrée sur un système seedé : elle observe l’état de quelques preuves, ne bloque pas l’exécution, ne vérifie ni biais ni robustesse et ne certifie aucune conformité.</w:t>
      </w:r>
    </w:p>
    <w:p>
      <w:pPr>
        <w:pStyle w:val="Heading2"/>
      </w:pPr>
      <w:bookmarkStart w:id="233" w:name="body_256"/>
      <w:r>
        <w:rPr>
          <w:rFonts w:ascii="Times New Roman" w:hAnsi="Times New Roman"/>
          <w:b/>
          <w:color w:val="202124"/>
          <w:sz w:val="29"/>
        </w:rPr>
        <w:t>4.7 Conclusion</w:t>
      </w:r>
      <w:bookmarkEnd w:id="233"/>
    </w:p>
    <w:p>
      <w:pPr>
        <w:spacing w:after="140"/>
        <w:jc w:val="both"/>
      </w:pPr>
      <w:r>
        <w:rPr>
          <w:rFonts w:ascii="Times New Roman" w:hAnsi="Times New Roman"/>
          <w:b w:val="0"/>
          <w:i w:val="0"/>
          <w:color w:val="202124"/>
          <w:sz w:val="24"/>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4" w:name="body_258"/>
      <w:r>
        <w:rPr>
          <w:rFonts w:ascii="Times New Roman" w:hAnsi="Times New Roman"/>
          <w:b/>
          <w:color w:val="202124"/>
          <w:sz w:val="38"/>
        </w:rPr>
        <w:t>CONCLUSION GÉNÉRALE ET PERSPECTIVES</w:t>
      </w:r>
      <w:bookmarkEnd w:id="234"/>
    </w:p>
    <w:p>
      <w:pPr>
        <w:pStyle w:val="Heading2"/>
      </w:pPr>
      <w:bookmarkStart w:id="235" w:name="body_259"/>
      <w:r>
        <w:rPr>
          <w:rFonts w:ascii="Times New Roman" w:hAnsi="Times New Roman"/>
          <w:b/>
          <w:color w:val="202124"/>
          <w:sz w:val="29"/>
        </w:rPr>
        <w:t>Cadre du travail</w:t>
      </w:r>
      <w:bookmarkEnd w:id="235"/>
    </w:p>
    <w:p>
      <w:pPr>
        <w:spacing w:after="140"/>
        <w:jc w:val="both"/>
      </w:pPr>
      <w:r>
        <w:rPr>
          <w:rFonts w:ascii="Times New Roman" w:hAnsi="Times New Roman"/>
          <w:b w:val="0"/>
          <w:i w:val="0"/>
          <w:color w:val="202124"/>
          <w:sz w:val="24"/>
        </w:rPr>
        <w:t>Ce projet a permis de concevoir et réaliser DataWatch, une plateforme de surveillance de la qualité des données destinée à un contexte SaaS multi-tenant. Sa chaîne technique relie variété des sources, profilage agrégé, exécution asynchrone, détection hybride, incidents, alertes et narration IA. Elle traite ainsi les contraintes de volume, vélocité et véracité sans déplacer les données métier ligne par ligne. La conception privilégie le cloisonnement des organisations, la traçabilité, l’explicabilité et la validation reproductible.</w:t>
      </w:r>
    </w:p>
    <w:p>
      <w:pPr>
        <w:pStyle w:val="Heading2"/>
      </w:pPr>
      <w:bookmarkStart w:id="236" w:name="body_261"/>
      <w:r>
        <w:rPr>
          <w:rFonts w:ascii="Times New Roman" w:hAnsi="Times New Roman"/>
          <w:b/>
          <w:color w:val="202124"/>
          <w:sz w:val="29"/>
        </w:rPr>
        <w:t>Synthèse des apports</w:t>
      </w:r>
      <w:bookmarkEnd w:id="236"/>
    </w:p>
    <w:p>
      <w:pPr>
        <w:spacing w:after="140"/>
        <w:jc w:val="both"/>
      </w:pPr>
      <w:r>
        <w:rPr>
          <w:rFonts w:ascii="Times New Roman" w:hAnsi="Times New Roman"/>
          <w:b w:val="0"/>
          <w:i w:val="0"/>
          <w:color w:val="202124"/>
          <w:sz w:val="24"/>
        </w:rPr>
        <w:t>Sur le plan technique, le projet relie quatre contraintes classiques d’un système data à une chaîne concrète. Le volume correspond aux agrégats. La variété est absorbée par les connecteurs. La vélocité passe par la file de tâches. La véracité s’appuie sur les profils, détecteurs, incidents et alertes. L’apport IA n’est donc pas un écran ajouté après coup. Il compare plusieurs méthodes de détection, puis produit une explication générative tenue à distance de la décision. Les capacités déclarées, états explicites, révisions immuables et résultats reproductibles forment une discipline de preuve. Des métriques éparses deviennent ainsi un parcours d’investigation lisible.</w:t>
      </w:r>
    </w:p>
    <w:p>
      <w:pPr>
        <w:spacing w:after="140"/>
        <w:jc w:val="both"/>
      </w:pPr>
      <w:r>
        <w:rPr>
          <w:rFonts w:ascii="Times New Roman" w:hAnsi="Times New Roman"/>
          <w:b w:val="0"/>
          <w:i w:val="0"/>
          <w:color w:val="202124"/>
          <w:sz w:val="24"/>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7" w:name="body_263"/>
      <w:r>
        <w:rPr>
          <w:rFonts w:ascii="Times New Roman" w:hAnsi="Times New Roman"/>
          <w:b/>
          <w:color w:val="202124"/>
          <w:sz w:val="29"/>
        </w:rPr>
        <w:t>Perspectives</w:t>
      </w:r>
      <w:bookmarkEnd w:id="237"/>
    </w:p>
    <w:p>
      <w:pPr>
        <w:numPr>
          <w:ilvl w:val="0"/>
          <w:numId w:val="10"/>
        </w:numPr>
        <w:spacing w:after="80" w:line="288" w:lineRule="auto"/>
        <w:jc w:val="left"/>
      </w:pPr>
      <w:r>
        <w:rPr>
          <w:rFonts w:ascii="Times New Roman" w:hAnsi="Times New Roman"/>
          <w:color w:val="202124"/>
          <w:sz w:val="23"/>
        </w:rPr>
        <w:t>Mener des benchmarks répétés par connecteur, volume, largeur de schéma et niveau de concurrence.</w:t>
      </w:r>
    </w:p>
    <w:p>
      <w:pPr>
        <w:numPr>
          <w:ilvl w:val="0"/>
          <w:numId w:val="10"/>
        </w:numPr>
        <w:spacing w:after="80" w:line="288" w:lineRule="auto"/>
        <w:jc w:val="left"/>
      </w:pPr>
      <w:r>
        <w:rPr>
          <w:rFonts w:ascii="Times New Roman" w:hAnsi="Times New Roman"/>
          <w:color w:val="202124"/>
          <w:sz w:val="23"/>
        </w:rPr>
        <w:t>Évaluer précision, rappel et faux positifs des détecteurs sur des jeux de données annotés.</w:t>
      </w:r>
    </w:p>
    <w:p>
      <w:pPr>
        <w:numPr>
          <w:ilvl w:val="0"/>
          <w:numId w:val="10"/>
        </w:numPr>
        <w:spacing w:after="80" w:line="288" w:lineRule="auto"/>
        <w:jc w:val="left"/>
      </w:pPr>
      <w:r>
        <w:rPr>
          <w:rFonts w:ascii="Times New Roman" w:hAnsi="Times New Roman"/>
          <w:color w:val="202124"/>
          <w:sz w:val="23"/>
        </w:rPr>
        <w:t>Faire évoluer la gouvernance IA du prototype observe-only vers un parcours configurable : versions, usages, manifestes, approbations, gates de release, exports d’audit et rétention maîtrisée.</w:t>
      </w:r>
    </w:p>
    <w:p>
      <w:pPr>
        <w:numPr>
          <w:ilvl w:val="0"/>
          <w:numId w:val="10"/>
        </w:numPr>
        <w:spacing w:after="80" w:line="288" w:lineRule="auto"/>
        <w:jc w:val="left"/>
      </w:pPr>
      <w:r>
        <w:rPr>
          <w:rFonts w:ascii="Times New Roman" w:hAnsi="Times New Roman"/>
          <w:color w:val="202124"/>
          <w:sz w:val="23"/>
        </w:rPr>
        <w:t>Étendre les validations verticales des connecteurs cloud avec des identifiants et coûts contrôlés.</w:t>
      </w:r>
    </w:p>
    <w:p>
      <w:pPr>
        <w:numPr>
          <w:ilvl w:val="0"/>
          <w:numId w:val="10"/>
        </w:numPr>
        <w:spacing w:after="80" w:line="288" w:lineRule="auto"/>
        <w:jc w:val="left"/>
      </w:pPr>
      <w:r>
        <w:rPr>
          <w:rFonts w:ascii="Times New Roman" w:hAnsi="Times New Roman"/>
          <w:color w:val="202124"/>
          <w:sz w:val="23"/>
        </w:rPr>
        <w:t>Mettre en place des mécanismes de feedback humain sur les narrations IA et leurs hypothèses.</w:t>
      </w:r>
    </w:p>
    <w:p>
      <w:pPr>
        <w:pStyle w:val="Heading1"/>
        <w:jc w:val="left"/>
        <w:pBdr>
          <w:bottom w:val="single" w:sz="14" w:space="6" w:color="B1202D"/>
        </w:pBdr>
      </w:pPr>
      <w:bookmarkStart w:id="238" w:name="body_269"/>
      <w:r>
        <w:rPr>
          <w:rFonts w:ascii="Times New Roman" w:hAnsi="Times New Roman"/>
          <w:b/>
          <w:color w:val="202124"/>
          <w:sz w:val="38"/>
        </w:rPr>
        <w:t>RÉFÉRENCES</w:t>
      </w:r>
      <w:bookmarkEnd w:id="238"/>
    </w:p>
    <w:p>
      <w:pPr>
        <w:spacing w:after="100"/>
        <w:ind w:left="397" w:hanging="397"/>
        <w:jc w:val="left"/>
      </w:pPr>
      <w:r>
        <w:rPr>
          <w:rFonts w:ascii="Times New Roman" w:hAnsi="Times New Roman"/>
          <w:b w:val="0"/>
          <w:i w:val="0"/>
          <w:color w:val="202124"/>
          <w:sz w:val="19"/>
        </w:rPr>
        <w:t>[1] DataWatch, Documentation d’architecture du projet, dépôt source, consultée en août 2026.</w:t>
      </w:r>
    </w:p>
    <w:p>
      <w:pPr>
        <w:spacing w:after="100"/>
        <w:ind w:left="397" w:hanging="397"/>
        <w:jc w:val="left"/>
      </w:pPr>
      <w:r>
        <w:rPr>
          <w:rFonts w:ascii="Times New Roman" w:hAnsi="Times New Roman"/>
          <w:b w:val="0"/>
          <w:i w:val="0"/>
          <w:color w:val="202124"/>
          <w:sz w:val="19"/>
        </w:rPr>
        <w:t>[2] DataWatch, Release verification baseline, 2026-08-21, dossier docs/evidence du projet.</w:t>
      </w:r>
    </w:p>
    <w:p>
      <w:pPr>
        <w:spacing w:after="100"/>
        <w:ind w:left="397" w:hanging="397"/>
        <w:jc w:val="left"/>
      </w:pPr>
      <w:r>
        <w:rPr>
          <w:rFonts w:ascii="Times New Roman" w:hAnsi="Times New Roman"/>
          <w:b w:val="0"/>
          <w:i w:val="0"/>
          <w:color w:val="202124"/>
          <w:sz w:val="19"/>
        </w:rPr>
        <w:t>[3] DataWatch, AI governance phase-two evidence, 2026-08-21, dossier docs/evidence du projet.</w:t>
      </w:r>
    </w:p>
    <w:p>
      <w:pPr>
        <w:spacing w:after="100"/>
        <w:ind w:left="397" w:hanging="397"/>
        <w:jc w:val="left"/>
      </w:pPr>
      <w:r>
        <w:rPr>
          <w:rFonts w:ascii="Times New Roman" w:hAnsi="Times New Roman"/>
          <w:b w:val="0"/>
          <w:i w:val="0"/>
          <w:color w:val="202124"/>
          <w:sz w:val="19"/>
        </w:rPr>
        <w:t>[4] FastAPI, Documentation officielle. https://fastapi.tiangolo.com/</w:t>
      </w:r>
    </w:p>
    <w:p>
      <w:pPr>
        <w:spacing w:after="10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100"/>
        <w:ind w:left="397" w:hanging="397"/>
        <w:jc w:val="left"/>
      </w:pPr>
      <w:r>
        <w:rPr>
          <w:rFonts w:ascii="Times New Roman" w:hAnsi="Times New Roman"/>
          <w:b w:val="0"/>
          <w:i w:val="0"/>
          <w:color w:val="202124"/>
          <w:sz w:val="19"/>
        </w:rPr>
        <w:t>[6] React, Documentation officielle. https://react.dev/</w:t>
      </w:r>
    </w:p>
    <w:p>
      <w:pPr>
        <w:spacing w:after="100"/>
        <w:ind w:left="397" w:hanging="397"/>
        <w:jc w:val="left"/>
      </w:pPr>
      <w:r>
        <w:rPr>
          <w:rFonts w:ascii="Times New Roman" w:hAnsi="Times New Roman"/>
          <w:b w:val="0"/>
          <w:i w:val="0"/>
          <w:color w:val="202124"/>
          <w:sz w:val="19"/>
        </w:rPr>
        <w:t>[7] Celery Project, Documentation officielle. https://docs.celeryq.dev/</w:t>
      </w:r>
    </w:p>
    <w:p>
      <w:pPr>
        <w:spacing w:after="100"/>
        <w:ind w:left="397" w:hanging="397"/>
        <w:jc w:val="left"/>
      </w:pPr>
      <w:r>
        <w:rPr>
          <w:rFonts w:ascii="Times New Roman" w:hAnsi="Times New Roman"/>
          <w:b w:val="0"/>
          <w:i w:val="0"/>
          <w:color w:val="202124"/>
          <w:sz w:val="19"/>
        </w:rPr>
        <w:t>[8] Docker, Documentation officielle. https://docs.docker.com/</w:t>
      </w:r>
    </w:p>
    <w:p>
      <w:pPr>
        <w:spacing w:after="100"/>
        <w:ind w:left="397" w:hanging="397"/>
        <w:jc w:val="left"/>
      </w:pPr>
      <w:r>
        <w:rPr>
          <w:rFonts w:ascii="Times New Roman" w:hAnsi="Times New Roman"/>
          <w:b w:val="0"/>
          <w:i w:val="0"/>
          <w:color w:val="202124"/>
          <w:sz w:val="19"/>
        </w:rPr>
        <w:t>[9] ISO/IEC 25012:2008, Software engineering, SQuaRE, Data quality model, version confirmée en 2025.</w:t>
      </w:r>
    </w:p>
    <w:p>
      <w:pPr>
        <w:spacing w:after="100"/>
        <w:ind w:left="397" w:hanging="397"/>
        <w:jc w:val="left"/>
      </w:pPr>
      <w:r>
        <w:rPr>
          <w:rFonts w:ascii="Times New Roman" w:hAnsi="Times New Roman"/>
          <w:b w:val="0"/>
          <w:i w:val="0"/>
          <w:color w:val="202124"/>
          <w:sz w:val="19"/>
        </w:rPr>
        <w:t>[10] ISGA, École d’ingénieur, campus Casablanca, présentation du cycle et de la spécialisation Intelligence Artificielle et Big Data, consultée en septembre 2026. https://info.isga.ma/ecole-ingenieur-casablanca</w:t>
      </w:r>
    </w:p>
    <w:p>
      <w:pPr>
        <w:spacing w:after="100"/>
        <w:ind w:left="397" w:hanging="397"/>
        <w:jc w:val="left"/>
      </w:pPr>
      <w:r>
        <w:rPr>
          <w:rFonts w:ascii="Times New Roman" w:hAnsi="Times New Roman"/>
          <w:b w:val="0"/>
          <w:i w:val="0"/>
          <w:color w:val="202124"/>
          <w:sz w:val="19"/>
        </w:rPr>
        <w:t>[11] Great Expectations, Run Validations, documentation officielle, consultée en septembre 2026. https://docs.greatexpectations.io/docs/core/run_validations/</w:t>
      </w:r>
    </w:p>
    <w:p>
      <w:pPr>
        <w:spacing w:after="100"/>
        <w:ind w:left="397" w:hanging="397"/>
        <w:jc w:val="left"/>
      </w:pPr>
      <w:r>
        <w:rPr>
          <w:rFonts w:ascii="Times New Roman" w:hAnsi="Times New Roman"/>
          <w:b w:val="0"/>
          <w:i w:val="0"/>
          <w:color w:val="202124"/>
          <w:sz w:val="19"/>
        </w:rPr>
        <w:t>[12] Soda, SodaCL metrics and checks, documentation officielle, consultée en septembre 2026. https://docs.soda.io/soda-cl/metrics-and-checks.html</w:t>
      </w:r>
    </w:p>
    <w:p>
      <w:pPr>
        <w:spacing w:after="100"/>
        <w:ind w:left="397" w:hanging="397"/>
        <w:jc w:val="left"/>
      </w:pPr>
      <w:r>
        <w:rPr>
          <w:rFonts w:ascii="Times New Roman" w:hAnsi="Times New Roman"/>
          <w:b w:val="0"/>
          <w:i w:val="0"/>
          <w:color w:val="202124"/>
          <w:sz w:val="19"/>
        </w:rPr>
        <w:t>[13] Oyster, Who we are, présentation officielle de l’entreprise et de son organisation distribuée, consultée en septembre 2026. https://www.oysterhr.com/who-we-are</w:t>
      </w:r>
    </w:p>
    <w:p>
      <w:pPr>
        <w:spacing w:after="100"/>
        <w:ind w:left="397" w:hanging="397"/>
        <w:jc w:val="left"/>
      </w:pPr>
      <w:r>
        <w:rPr>
          <w:rFonts w:ascii="Times New Roman" w:hAnsi="Times New Roman"/>
          <w:b w:val="0"/>
          <w:i w:val="0"/>
          <w:color w:val="202124"/>
          <w:sz w:val="19"/>
        </w:rPr>
        <w:t>[14] Oyster, plateforme mondiale d’emploi, services et couverture géographique, consultée en septembre 2026. https://www.oysterhr.com/</w:t>
      </w:r>
    </w:p>
    <w:p>
      <w:pPr>
        <w:pStyle w:val="Heading1"/>
        <w:jc w:val="left"/>
        <w:pBdr>
          <w:bottom w:val="single" w:sz="14" w:space="6" w:color="B1202D"/>
        </w:pBdr>
      </w:pPr>
      <w:bookmarkStart w:id="239" w:name="body_279"/>
      <w:r>
        <w:rPr>
          <w:rFonts w:ascii="Times New Roman" w:hAnsi="Times New Roman"/>
          <w:b/>
          <w:color w:val="202124"/>
          <w:sz w:val="38"/>
        </w:rPr>
        <w:t>ANNEXES</w:t>
      </w:r>
      <w:bookmarkEnd w:id="239"/>
    </w:p>
    <w:p>
      <w:pPr>
        <w:pStyle w:val="Heading2"/>
      </w:pPr>
      <w:bookmarkStart w:id="240" w:name="body_280"/>
      <w:r>
        <w:rPr>
          <w:rFonts w:ascii="Times New Roman" w:hAnsi="Times New Roman"/>
          <w:b/>
          <w:color w:val="202124"/>
          <w:sz w:val="29"/>
        </w:rPr>
        <w:t>Annexe A, Procédure de démonstration</w:t>
      </w:r>
      <w:bookmarkEnd w:id="240"/>
    </w:p>
    <w:p>
      <w:pPr>
        <w:spacing w:after="140"/>
        <w:jc w:val="both"/>
      </w:pPr>
      <w:r>
        <w:rPr>
          <w:rFonts w:ascii="Times New Roman" w:hAnsi="Times New Roman"/>
          <w:b w:val="0"/>
          <w:i w:val="0"/>
          <w:color w:val="202124"/>
          <w:sz w:val="24"/>
        </w:rPr>
        <w:t>Démarrer la pile Docker et exécuter le seed déterministe.</w:t>
      </w:r>
    </w:p>
    <w:p>
      <w:pPr>
        <w:numPr>
          <w:ilvl w:val="0"/>
          <w:numId w:val="11"/>
        </w:numPr>
        <w:spacing w:after="80" w:line="288" w:lineRule="auto"/>
        <w:jc w:val="left"/>
      </w:pPr>
      <w:r>
        <w:rPr>
          <w:rFonts w:ascii="Times New Roman" w:hAnsi="Times New Roman"/>
          <w:color w:val="202124"/>
          <w:sz w:val="23"/>
        </w:rPr>
        <w:t>Se connecter à l’espace Acme et ouvrir Opérations.</w:t>
      </w:r>
    </w:p>
    <w:p>
      <w:pPr>
        <w:numPr>
          <w:ilvl w:val="0"/>
          <w:numId w:val="11"/>
        </w:numPr>
        <w:spacing w:after="80" w:line="288" w:lineRule="auto"/>
        <w:jc w:val="left"/>
      </w:pPr>
      <w:r>
        <w:rPr>
          <w:rFonts w:ascii="Times New Roman" w:hAnsi="Times New Roman"/>
          <w:color w:val="202124"/>
          <w:sz w:val="23"/>
        </w:rPr>
        <w:t>Ouvrir l’incident P1 orders, puis présenter les signaux, la narration et les actions.</w:t>
      </w:r>
    </w:p>
    <w:p>
      <w:pPr>
        <w:numPr>
          <w:ilvl w:val="0"/>
          <w:numId w:val="11"/>
        </w:numPr>
        <w:spacing w:after="80" w:line="288" w:lineRule="auto"/>
        <w:jc w:val="left"/>
      </w:pPr>
      <w:r>
        <w:rPr>
          <w:rFonts w:ascii="Times New Roman" w:hAnsi="Times New Roman"/>
          <w:color w:val="202124"/>
          <w:sz w:val="23"/>
        </w:rPr>
        <w:t>Afficher le détail de la table et la route d’alerte, puis MailHog.</w:t>
      </w:r>
    </w:p>
    <w:p>
      <w:pPr>
        <w:numPr>
          <w:ilvl w:val="0"/>
          <w:numId w:val="11"/>
        </w:numPr>
        <w:spacing w:after="80" w:line="288" w:lineRule="auto"/>
        <w:jc w:val="left"/>
      </w:pPr>
      <w:r>
        <w:rPr>
          <w:rFonts w:ascii="Times New Roman" w:hAnsi="Times New Roman"/>
          <w:color w:val="202124"/>
          <w:sz w:val="23"/>
        </w:rPr>
        <w:t>Présenter la gouvernance IA en précisant son périmètre observe-only.</w:t>
      </w:r>
    </w:p>
    <w:p>
      <w:pPr>
        <w:pStyle w:val="Heading2"/>
      </w:pPr>
      <w:bookmarkStart w:id="241" w:name="body_286"/>
      <w:r>
        <w:rPr>
          <w:rFonts w:ascii="Times New Roman" w:hAnsi="Times New Roman"/>
          <w:b/>
          <w:color w:val="202124"/>
          <w:sz w:val="29"/>
        </w:rPr>
        <w:t>Annexe B, Indicateurs à interpréter avec prudence</w:t>
      </w:r>
      <w:bookmarkEnd w:id="241"/>
    </w:p>
    <w:p>
      <w:pPr>
        <w:spacing w:after="140"/>
        <w:jc w:val="both"/>
      </w:pPr>
      <w:r>
        <w:rPr>
          <w:rFonts w:ascii="Times New Roman" w:hAnsi="Times New Roman"/>
          <w:b w:val="0"/>
          <w:i w:val="0"/>
          <w:color w:val="202124"/>
          <w:sz w:val="24"/>
        </w:rPr>
        <w:t>Les p50 et p95 mentionnés dans ce rapport ont été obtenus sur une pile Docker locale avec requêtes séquentielles. Ils servent à comparer des régressions dans un même environnement.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42" w:name="body_288"/>
      <w:r>
        <w:rPr>
          <w:rFonts w:ascii="Times New Roman" w:hAnsi="Times New Roman"/>
          <w:b/>
          <w:color w:val="202124"/>
          <w:sz w:val="29"/>
        </w:rPr>
        <w:t>Annexe C, Guide de captures d’écran pour la soutenance</w:t>
      </w:r>
      <w:bookmarkEnd w:id="242"/>
    </w:p>
    <w:p>
      <w:pPr>
        <w:spacing w:after="140"/>
        <w:jc w:val="both"/>
      </w:pPr>
      <w:r>
        <w:rPr>
          <w:rFonts w:ascii="Times New Roman" w:hAnsi="Times New Roman"/>
          <w:b w:val="0"/>
          <w:i w:val="0"/>
          <w:color w:val="202124"/>
          <w:sz w:val="24"/>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3" w:name="body_290"/>
      <w:r>
        <w:rPr>
          <w:rFonts w:ascii="Times New Roman" w:hAnsi="Times New Roman"/>
          <w:b/>
          <w:color w:val="202124"/>
          <w:sz w:val="25"/>
        </w:rPr>
        <w:t>C.1 Tableau de bord Opérations</w:t>
      </w:r>
      <w:bookmarkEnd w:id="243"/>
    </w:p>
    <w:p>
      <w:pPr>
        <w:spacing w:after="140"/>
        <w:jc w:val="both"/>
      </w:pPr>
      <w:r>
        <w:rPr>
          <w:rFonts w:ascii="Times New Roman" w:hAnsi="Times New Roman"/>
          <w:b w:val="0"/>
          <w:i w:val="0"/>
          <w:color w:val="202124"/>
          <w:sz w:val="24"/>
        </w:rPr>
        <w:t>Capture attendue : file des incidents, actifs surveillés et état de santé des sources. La légende doit préciser la priorité de l’incident choisi.</w:t>
      </w:r>
    </w:p>
    <w:p>
      <w:pPr>
        <w:pStyle w:val="Heading3"/>
      </w:pPr>
      <w:bookmarkStart w:id="244" w:name="body_292"/>
      <w:r>
        <w:rPr>
          <w:rFonts w:ascii="Times New Roman" w:hAnsi="Times New Roman"/>
          <w:b/>
          <w:color w:val="202124"/>
          <w:sz w:val="25"/>
        </w:rPr>
        <w:t>C.2 Détail de l’incident orders</w:t>
      </w:r>
      <w:bookmarkEnd w:id="244"/>
    </w:p>
    <w:p>
      <w:pPr>
        <w:spacing w:after="140"/>
        <w:jc w:val="both"/>
      </w:pPr>
      <w:r>
        <w:rPr>
          <w:rFonts w:ascii="Times New Roman" w:hAnsi="Times New Roman"/>
          <w:b w:val="0"/>
          <w:i w:val="0"/>
          <w:color w:val="202124"/>
          <w:sz w:val="24"/>
        </w:rPr>
        <w:t>Capture attendue : signaux déclencheurs, sévérité P1/P2, narration IA et actions proposées. La légende doit distinguer une hypothèse générée d’un fait observé.</w:t>
      </w:r>
    </w:p>
    <w:p>
      <w:pPr>
        <w:pStyle w:val="Heading3"/>
      </w:pPr>
      <w:bookmarkStart w:id="245" w:name="body_294"/>
      <w:r>
        <w:rPr>
          <w:rFonts w:ascii="Times New Roman" w:hAnsi="Times New Roman"/>
          <w:b/>
          <w:color w:val="202124"/>
          <w:sz w:val="25"/>
        </w:rPr>
        <w:t>C.3 Routage d’alerte et gouvernance IA</w:t>
      </w:r>
      <w:bookmarkEnd w:id="245"/>
    </w:p>
    <w:p>
      <w:pPr>
        <w:spacing w:after="140"/>
        <w:jc w:val="both"/>
      </w:pPr>
      <w:r>
        <w:rPr>
          <w:rFonts w:ascii="Times New Roman" w:hAnsi="Times New Roman"/>
          <w:b w:val="0"/>
          <w:i w:val="0"/>
          <w:color w:val="202124"/>
          <w:sz w:val="24"/>
        </w:rPr>
        <w:t>Capture attendue : route MailHog ou canal configuré, puis écran de gouvernance en mode observe-only. La légende doit expliciter que cette gouvernance ne certifie pas la conformité.</w:t>
      </w:r>
    </w:p>
    <w:p>
      <w:r>
        <w:br w:type="page"/>
      </w:r>
    </w:p>
    <w:p>
      <w:pPr>
        <w:pStyle w:val="Heading2"/>
      </w:pPr>
      <w:bookmarkStart w:id="246" w:name="annex_d"/>
      <w:r>
        <w:rPr>
          <w:rFonts w:ascii="Times New Roman" w:hAnsi="Times New Roman"/>
          <w:b/>
          <w:color w:val="202124"/>
          <w:sz w:val="29"/>
        </w:rPr>
        <w:t>Annexe D : Repères techniques et reproduction</w:t>
      </w:r>
      <w:bookmarkEnd w:id="246"/>
    </w:p>
    <w:p>
      <w:pPr>
        <w:spacing w:after="140"/>
        <w:jc w:val="both"/>
      </w:pPr>
      <w:r>
        <w:rPr>
          <w:rFonts w:ascii="Times New Roman" w:hAnsi="Times New Roman"/>
          <w:b w:val="0"/>
          <w:i w:val="0"/>
          <w:color w:val="202124"/>
          <w:sz w:val="24"/>
        </w:rPr>
        <w:t>Cette annexe conserve uniquement les chiffres nécessaires pour relire la démonstration et reproduire le rapport. Le modèle relationnel complet est déjà présenté par les figures 3.15 à 3.18. Répéter ici les colonnes de chacune des 29 tables alourdirait le document sans améliorer l’analyse.</w:t>
      </w:r>
    </w:p>
    <w:p>
      <w:pPr>
        <w:pStyle w:val="Caption"/>
        <w:keepNext/>
        <w:spacing w:before="160" w:after="100"/>
        <w:jc w:val="left"/>
      </w:pPr>
      <w:bookmarkStart w:id="247" w:name="tab_d_1"/>
      <w:r>
        <w:rPr>
          <w:rFonts w:ascii="Times New Roman" w:hAnsi="Times New Roman"/>
          <w:b/>
          <w:color w:val="B1202D"/>
          <w:sz w:val="19"/>
        </w:rPr>
        <w:t>Tableau D.1</w:t>
      </w:r>
      <w:r>
        <w:rPr>
          <w:rFonts w:ascii="Times New Roman" w:hAnsi="Times New Roman"/>
          <w:color w:val="5F6368"/>
          <w:sz w:val="19"/>
        </w:rPr>
        <w:t xml:space="preserve"> : Repères vérifiables du prototype</w:t>
      </w:r>
      <w:bookmarkEnd w:id="247"/>
    </w:p>
    <w:tbl>
      <w:tblPr>
        <w:tblW w:type="auto" w:w="0"/>
        <w:jc w:val="center"/>
        <w:tblLayout w:type="fixed"/>
        <w:tblLook w:firstColumn="1" w:firstRow="1" w:lastColumn="0" w:lastRow="0" w:noHBand="0" w:noVBand="1" w:val="04A0"/>
      </w:tblPr>
      <w:tblGrid>
        <w:gridCol w:w="2850"/>
        <w:gridCol w:w="1200"/>
        <w:gridCol w:w="4850"/>
      </w:tblGrid>
      <w:tr>
        <w:trPr>
          <w:tblHeader w:val="true"/>
        </w:trPr>
        <w:tc>
          <w:tcPr>
            <w:tcW w:type="dxa" w:w="2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Repère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Valeur</w:t>
            </w:r>
          </w:p>
        </w:tc>
        <w:tc>
          <w:tcPr>
            <w:tcW w:type="dxa" w:w="4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Modèle applicatif</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29</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Tables SQLAlchemy, hors table technique de migration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Jeu de démonstration</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922</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Lignes applicatives seedées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Profils de table</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utilisé par les courbes et détecteurs</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Résultats de contrôle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Observations persistées et explicables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Tables surveillées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Actifs configurés dans les workspaces de démonstration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ouverts ou historisés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Contrôles de gouvernance IA</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Preuves du prototype observe-only</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r>
        <w:rPr>
          <w:rFonts w:ascii="Times New Roman" w:hAnsi="Times New Roman"/>
          <w:b/>
          <w:color w:val="202124"/>
          <w:sz w:val="25"/>
        </w:rPr>
        <w:t>D.1 Commandes de reproduction</w:t>
      </w:r>
    </w:p>
    <w:p>
      <w:pPr>
        <w:spacing w:after="140"/>
        <w:jc w:val="both"/>
      </w:pPr>
      <w:r>
        <w:rPr>
          <w:rFonts w:ascii="Times New Roman" w:hAnsi="Times New Roman"/>
          <w:b w:val="0"/>
          <w:i w:val="0"/>
          <w:color w:val="202124"/>
          <w:sz w:val="24"/>
        </w:rPr>
        <w:t>Les commandes suivantes reconstruisent la pile, réinitialisent les données, réexportent la preuve du schéma et régénèrent les vues du rapport. Les identifiants de démonstration restent dans le guide local.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5"/>
      <w:footerReference w:type="default" r:id="rId16"/>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324" w:lineRule="auto"/>
      <w:jc w:val="both"/>
    </w:pPr>
    <w:rPr>
      <w:rFonts w:ascii="Times New Roman" w:hAnsi="Times New Roman"/>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Times New Roman" w:hAnsi="Times New Roman"/>
      <w:b/>
      <w:bCs/>
      <w:color w:val="202124"/>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202124"/>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2021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DataWatch</dc:title>
  <dc:subject>Conception et réalisation d’une plateforme SaaS de surveillance de la qualité des données</dc:subject>
  <dc:creator>Mounir Gaiby</dc:creator>
  <cp:keywords>DataWatch, qualité des données, SaaS, intelligence artificielle, ISGA, Oyster</cp:keywords>
  <dc:description>Rapport de Projet de Fin d’Études, ISGA Casablanca</dc:description>
  <cp:lastModifiedBy/>
  <cp:revision>1</cp:revision>
  <dcterms:created xsi:type="dcterms:W3CDTF">2013-12-23T23:15:00Z</dcterms:created>
  <dcterms:modified xsi:type="dcterms:W3CDTF">2013-12-23T23:15:00Z</dcterms:modified>
  <cp:category/>
</cp:coreProperties>
</file>