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479"/>
        <w:gridCol w:w="4479"/>
      </w:tblGrid>
      <w:tr>
        <w:trPr>
          <w:tblHeader w:val="true"/>
        </w:trPr>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left"/>
            </w:pPr>
            <w:r>
              <w:drawing>
                <wp:inline xmlns:a="http://schemas.openxmlformats.org/drawingml/2006/main" xmlns:pic="http://schemas.openxmlformats.org/drawingml/2006/picture">
                  <wp:extent cx="1872000" cy="1100571"/>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1872000" cy="1100571"/>
                          </a:xfrm>
                          <a:prstGeom prst="rect"/>
                        </pic:spPr>
                      </pic:pic>
                    </a:graphicData>
                  </a:graphic>
                </wp:inline>
              </w:drawing>
            </w:r>
          </w:p>
        </w:tc>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right"/>
            </w:pPr>
            <w:r>
              <w:drawing>
                <wp:inline xmlns:a="http://schemas.openxmlformats.org/drawingml/2006/main" xmlns:pic="http://schemas.openxmlformats.org/drawingml/2006/picture">
                  <wp:extent cx="1980000" cy="523462"/>
                  <wp:docPr id="2" name="Picture 2" descr="Logo officiel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1980000" cy="523462"/>
                          </a:xfrm>
                          <a:prstGeom prst="rect"/>
                        </pic:spPr>
                      </pic:pic>
                    </a:graphicData>
                  </a:graphic>
                </wp:inline>
              </w:drawing>
            </w:r>
          </w:p>
        </w:tc>
      </w:tr>
    </w:tbl>
    <w:p>
      <w:pPr>
        <w:spacing w:after="40"/>
        <w:jc w:val="center"/>
      </w:pPr>
      <w:r>
        <w:rPr>
          <w:rFonts w:ascii="Times New Roman" w:hAnsi="Times New Roman"/>
          <w:b/>
          <w:color w:val="202124"/>
          <w:sz w:val="22"/>
        </w:rPr>
        <w:t>ISGA CASABLANCA</w:t>
      </w:r>
    </w:p>
    <w:p>
      <w:pPr>
        <w:spacing w:after="200"/>
        <w:jc w:val="center"/>
      </w:pPr>
      <w:r>
        <w:rPr>
          <w:rFonts w:ascii="Times New Roman" w:hAnsi="Times New Roman"/>
          <w:color w:val="5F6368"/>
          <w:sz w:val="20"/>
        </w:rPr>
        <w:t>3CI Big Data et Intelligence Artificielle</w:t>
      </w:r>
    </w:p>
    <w:p>
      <w:pPr>
        <w:spacing w:before="80" w:after="200"/>
        <w:jc w:val="center"/>
        <w:pBdr>
          <w:bottom w:val="single" w:sz="10" w:space="10" w:color="B1202D"/>
        </w:pBdr>
      </w:pPr>
      <w:r>
        <w:rPr>
          <w:rFonts w:ascii="Times New Roman" w:hAnsi="Times New Roman"/>
          <w:b/>
          <w:color w:val="B1202D"/>
          <w:sz w:val="26"/>
        </w:rPr>
        <w:t>PROJET DE FIN D’ÉTUDES</w:t>
      </w:r>
    </w:p>
    <w:p>
      <w:pPr>
        <w:spacing w:after="40"/>
        <w:jc w:val="center"/>
      </w:pPr>
      <w:r>
        <w:rPr>
          <w:rFonts w:ascii="Times New Roman" w:hAnsi="Times New Roman"/>
          <w:color w:val="202124"/>
          <w:sz w:val="21"/>
        </w:rPr>
        <w:t>Pour l’obtention du diplôme d’Ingénieur d’État</w:t>
      </w:r>
    </w:p>
    <w:p>
      <w:pPr>
        <w:spacing w:after="240"/>
        <w:jc w:val="center"/>
      </w:pPr>
      <w:r>
        <w:rPr>
          <w:rFonts w:ascii="Times New Roman" w:hAnsi="Times New Roman"/>
          <w:b/>
          <w:color w:val="202124"/>
          <w:sz w:val="21"/>
        </w:rPr>
        <w:t>Filière Big Data et Intelligence Artificielle</w:t>
      </w:r>
    </w:p>
    <w:p>
      <w:pPr>
        <w:spacing w:before="120" w:after="120"/>
        <w:jc w:val="center"/>
      </w:pPr>
      <w:r>
        <w:rPr>
          <w:rFonts w:ascii="Times New Roman" w:hAnsi="Times New Roman"/>
          <w:b/>
          <w:color w:val="202124"/>
          <w:sz w:val="48"/>
        </w:rPr>
        <w:t>Conception et réalisation de DataWatch</w:t>
      </w:r>
    </w:p>
    <w:p>
      <w:pPr>
        <w:spacing w:after="40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ENTREPRISE</w:t>
      </w:r>
      <w:r>
        <w:rPr>
          <w:rFonts w:ascii="Times New Roman" w:hAnsi="Times New Roman"/>
          <w:b/>
          <w:color w:val="202124"/>
          <w:sz w:val="21"/>
        </w:rPr>
        <w:tab/>
        <w:t>Oyster HR</w:t>
      </w:r>
    </w:p>
    <w:p>
      <w:pPr>
        <w:spacing w:before="4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Avant toute chose, je remercie Allah, le Tout-Puissant, de m’avoir accordé la force, la patience et la persévérance nécessaires pour mener ce projet à son terme. Je tiens ensuite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mes collègues de l’équipe Payments chez Oyster pour les échanges professionnels qui nourrissent chaque jour ma manière de concevoir des systèmes fiables. Je remercie enfin ma famille et mes proches pour leur soutien, leurs encouragements et leur disponibilité. Leur confiance a compté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_Oyster" w:history="1">
            <w:r>
              <w:rPr>
                <w:rStyle w:val="Hyperlink"/>
                <w:rFonts w:ascii="Times New Roman" w:hAnsi="Times New Roman"/>
                <w:sz w:val="17"/>
                <w:color w:val="202124"/>
              </w:rPr>
              <w:t>1.2.1 Présentation d’Oyster</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Services_et_mod_le_op_rati" w:history="1">
            <w:r>
              <w:rPr>
                <w:rStyle w:val="Hyperlink"/>
                <w:rFonts w:ascii="Times New Roman" w:hAnsi="Times New Roman"/>
                <w:sz w:val="17"/>
                <w:color w:val="202124"/>
              </w:rPr>
              <w:t>1.2.2 Services et modèle opérationnel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3_Organisation_distribu_e" w:history="1">
            <w:r>
              <w:rPr>
                <w:rStyle w:val="Hyperlink"/>
                <w:rFonts w:ascii="Times New Roman" w:hAnsi="Times New Roman"/>
                <w:sz w:val="17"/>
                <w:color w:val="202124"/>
              </w:rPr>
              <w:t>1.2.3 Organisation distribuée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2_4_quipe_Payments_et_fonction" w:history="1">
            <w:r>
              <w:rPr>
                <w:rStyle w:val="Hyperlink"/>
                <w:rFonts w:ascii="Times New Roman" w:hAnsi="Times New Roman"/>
                <w:sz w:val="17"/>
                <w:color w:val="202124"/>
              </w:rPr>
              <w:t>1.2.4 Équipe Payments et fonction occupée</w:t>
            </w:r>
          </w:hyperlink>
          <w:r>
            <w:rPr>
              <w:rFonts w:ascii="Times New Roman" w:hAnsi="Times New Roman"/>
              <w:b w:val="0"/>
              <w:color w:val="202124"/>
              <w:sz w:val="17"/>
            </w:rPr>
            <w:tab/>
            <w:t>4</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8</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9</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10</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11</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12</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13</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16</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25</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30</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31</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32</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49</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53</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57</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60</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60</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61</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62</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Procédure de démonstration</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Indicateurs à interpréter avec prudence</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Guide de captures d’écran pour la soutenance</w:t>
            </w:r>
          </w:hyperlink>
          <w:r>
            <w:rPr>
              <w:rFonts w:ascii="Times New Roman" w:hAnsi="Times New Roman"/>
              <w:b w:val="0"/>
              <w:color w:val="202124"/>
              <w:sz w:val="17"/>
            </w:rPr>
            <w:tab/>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62</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63</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Identité visuelle officielle d’Oyster</w:t>
        </w:r>
      </w:hyperlink>
      <w:r>
        <w:rPr>
          <w:rFonts w:ascii="Times New Roman" w:hAnsi="Times New Roman"/>
          <w:color w:val="202124"/>
          <w:sz w:val="20"/>
        </w:rPr>
        <w:tab/>
        <w:t>3</w:t>
      </w:r>
    </w:p>
    <w:p>
      <w:pPr>
        <w:tabs>
          <w:tab w:pos="8617" w:val="right" w:leader="dot"/>
        </w:tabs>
        <w:spacing w:before="0" w:after="100"/>
        <w:ind w:left="283"/>
        <w:jc w:val="left"/>
      </w:pPr>
      <w:hyperlink w:anchor="fig_1_2" w:history="1">
        <w:r>
          <w:rPr>
            <w:rStyle w:val="Hyperlink"/>
            <w:rFonts w:ascii="Times New Roman" w:hAnsi="Times New Roman"/>
            <w:sz w:val="17"/>
            <w:color w:val="202124"/>
          </w:rPr>
          <w:t>Figure 1.2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14</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15</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16</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17</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17</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18</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18</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19</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20</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20</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21</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21</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23</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24</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26</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27</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28</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29</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33</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34</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35</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36</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37</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38</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40</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41</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42</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43</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44</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45</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46</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49</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50</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51</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52</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53</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54</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55</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56</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9</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12</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13</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32</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57</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63</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3"/>
          <w:footerReference w:type="default" r:id="rId14"/>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Oyster, mon environnement professionnel, puis la problématique et la méthode de conduite retenues pour DataWatch. Le projet répond aux exigences du PFE de la filière 3CI Big Data et Intelligence Artificielle à l’ISGA Casablanca. Il a été mené en parallèle de mon emploi de Software Engineer dans l’équipe Payments d’Oyster.</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_Oyster"/>
      <w:r>
        <w:rPr>
          <w:rFonts w:ascii="Times New Roman" w:hAnsi="Times New Roman"/>
          <w:b/>
          <w:color w:val="202124"/>
          <w:sz w:val="25"/>
        </w:rPr>
        <w:t>1.2.1 Présentation d’Oyster</w:t>
      </w:r>
      <w:bookmarkEnd w:id="116"/>
    </w:p>
    <w:p>
      <w:pPr>
        <w:spacing w:after="140"/>
        <w:jc w:val="both"/>
      </w:pPr>
      <w:r>
        <w:rPr>
          <w:rFonts w:ascii="Times New Roman" w:hAnsi="Times New Roman"/>
          <w:b w:val="0"/>
          <w:i w:val="0"/>
          <w:color w:val="202124"/>
          <w:sz w:val="24"/>
        </w:rPr>
        <w:t>Oyster est une entreprise technologique fondée en 2020. Son organisation est entièrement distribuée, avec plus de 600 collaborateurs répartis dans plus de 60 pays [13]. Sa plateforme accompagne l’emploi international dans plus de 180 pays. Elle réunit les opérations d’Employer of Record, la gestion des contractuels, la paie mondiale, les avantages sociaux et l’accompagnement des mobilités [14].</w:t>
      </w:r>
    </w:p>
    <w:p>
      <w:pPr>
        <w:keepNext/>
        <w:spacing w:after="80"/>
        <w:jc w:val="both"/>
      </w:pPr>
      <w:r>
        <w:rPr>
          <w:rFonts w:ascii="Times New Roman" w:hAnsi="Times New Roman"/>
          <w:b w:val="0"/>
          <w:i w:val="0"/>
          <w:color w:val="202124"/>
          <w:sz w:val="24"/>
        </w:rPr>
        <w:t>La figure 1.1 présente l’identité visuelle officielle d’Oyster, l’entreprise dans laquelle j’exerce mon activité professionnelle.</w:t>
      </w:r>
    </w:p>
    <w:p>
      <w:pPr>
        <w:keepNext/>
        <w:spacing w:before="160" w:after="0"/>
        <w:jc w:val="center"/>
      </w:pPr>
      <w:r>
        <w:drawing>
          <wp:inline xmlns:a="http://schemas.openxmlformats.org/drawingml/2006/main" xmlns:pic="http://schemas.openxmlformats.org/drawingml/2006/picture">
            <wp:extent cx="5688000" cy="1503765"/>
            <wp:docPr id="3" name="Picture 3" descr="Identité visuelle officielle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5688000" cy="1503765"/>
                    </a:xfrm>
                    <a:prstGeom prst="rect"/>
                  </pic:spPr>
                </pic:pic>
              </a:graphicData>
            </a:graphic>
          </wp:inline>
        </w:drawing>
      </w:r>
    </w:p>
    <w:p>
      <w:pPr>
        <w:pStyle w:val="Caption"/>
      </w:pPr>
      <w:bookmarkStart w:id="117" w:name="fig_1_1"/>
      <w:r>
        <w:rPr>
          <w:rFonts w:ascii="Times New Roman" w:hAnsi="Times New Roman"/>
          <w:b/>
          <w:color w:val="B1202D"/>
          <w:sz w:val="18"/>
        </w:rPr>
        <w:t>Figure 1.1</w:t>
      </w:r>
      <w:r>
        <w:rPr>
          <w:rFonts w:ascii="Times New Roman" w:hAnsi="Times New Roman"/>
          <w:color w:val="5F6368"/>
          <w:sz w:val="18"/>
        </w:rPr>
        <w:t xml:space="preserve"> : Identité visuelle officielle d’Oyster</w:t>
      </w:r>
      <w:bookmarkEnd w:id="117"/>
    </w:p>
    <w:p>
      <w:pPr>
        <w:keepLines/>
        <w:spacing w:after="180"/>
        <w:jc w:val="both"/>
      </w:pPr>
      <w:r>
        <w:rPr>
          <w:rFonts w:ascii="Times New Roman" w:hAnsi="Times New Roman"/>
          <w:b w:val="0"/>
          <w:i w:val="0"/>
          <w:color w:val="202124"/>
          <w:sz w:val="24"/>
        </w:rPr>
        <w:t>Ce repère distingue clairement le contexte d’emploi du périmètre technique du PFE. DataWatch reste un projet académique personnel. Il ne constitue ni un produit Oyster, ni une reproduction de ses systèmes internes.</w:t>
      </w:r>
    </w:p>
    <w:p>
      <w:pPr>
        <w:pStyle w:val="Heading3"/>
      </w:pPr>
      <w:bookmarkStart w:id="118" w:name="extra_1_2_2_Services_et_mod_le_op_rati"/>
      <w:r>
        <w:rPr>
          <w:rFonts w:ascii="Times New Roman" w:hAnsi="Times New Roman"/>
          <w:b/>
          <w:color w:val="202124"/>
          <w:sz w:val="25"/>
        </w:rPr>
        <w:t>1.2.2 Services et modèle opérationnel</w:t>
      </w:r>
      <w:bookmarkEnd w:id="118"/>
    </w:p>
    <w:p>
      <w:pPr>
        <w:spacing w:after="140"/>
        <w:jc w:val="both"/>
      </w:pPr>
      <w:r>
        <w:rPr>
          <w:rFonts w:ascii="Times New Roman" w:hAnsi="Times New Roman"/>
          <w:b w:val="0"/>
          <w:i w:val="0"/>
          <w:color w:val="202124"/>
          <w:sz w:val="24"/>
        </w:rPr>
        <w:t>Le produit Oyster relie des fonctions qui doivent rester cohérentes malgré la diversité des pays, des devises et des calendriers. Le parcours couvre l’embauche, les contrats, la collecte des variables de paie, les paiements, les remboursements, les avantages et le suivi administratif. Cette activité impose une forte discipline de traçabilité. Un statut de paiement ambigu, une donnée bancaire incomplète ou un calcul arrivé en retard peut interrompre une chaîne qui traverse plusieurs systèmes.</w:t>
      </w:r>
    </w:p>
    <w:p>
      <w:pPr>
        <w:pStyle w:val="Heading3"/>
      </w:pPr>
      <w:bookmarkStart w:id="119" w:name="extra_1_2_3_Organisation_distribu_e"/>
      <w:r>
        <w:rPr>
          <w:rFonts w:ascii="Times New Roman" w:hAnsi="Times New Roman"/>
          <w:b/>
          <w:color w:val="202124"/>
          <w:sz w:val="25"/>
        </w:rPr>
        <w:t>1.2.3 Organisation distribuée</w:t>
      </w:r>
      <w:bookmarkEnd w:id="119"/>
    </w:p>
    <w:p>
      <w:pPr>
        <w:spacing w:after="140"/>
        <w:jc w:val="both"/>
      </w:pPr>
      <w:r>
        <w:rPr>
          <w:rFonts w:ascii="Times New Roman" w:hAnsi="Times New Roman"/>
          <w:b w:val="0"/>
          <w:i w:val="0"/>
          <w:color w:val="202124"/>
          <w:sz w:val="24"/>
        </w:rPr>
        <w:t>Oyster travaille à distance par conception. Les équipes produit, ingénierie, opérations et support collaborent à travers les fuseaux horaires. Cette organisation rend les interfaces écrites, les journaux techniques et les responsabilités explicites particulièrement utiles. Une anomalie doit pouvoir être comprise sans dépendre de la mémoire d’une seule personne ni d’une réunion immédiate.</w:t>
      </w:r>
    </w:p>
    <w:p>
      <w:pPr>
        <w:pStyle w:val="Heading3"/>
      </w:pPr>
      <w:bookmarkStart w:id="120" w:name="extra_1_2_4_quipe_Payments_et_fonction"/>
      <w:r>
        <w:rPr>
          <w:rFonts w:ascii="Times New Roman" w:hAnsi="Times New Roman"/>
          <w:b/>
          <w:color w:val="202124"/>
          <w:sz w:val="25"/>
        </w:rPr>
        <w:t>1.2.4 Équipe Payments et fonction occupée</w:t>
      </w:r>
      <w:bookmarkEnd w:id="120"/>
    </w:p>
    <w:p>
      <w:pPr>
        <w:spacing w:after="140"/>
        <w:jc w:val="both"/>
      </w:pPr>
      <w:r>
        <w:rPr>
          <w:rFonts w:ascii="Times New Roman" w:hAnsi="Times New Roman"/>
          <w:b w:val="0"/>
          <w:i w:val="0"/>
          <w:color w:val="202124"/>
          <w:sz w:val="24"/>
        </w:rPr>
        <w:t>J’occupe chez Oyster le poste de Software Engineer au sein de l’équipe Payments. Mon travail concerne les fonctionnalités de paiement, leur fiabilité, leur intégration et leur maintenance. Je traite les tâches techniques liées aux flux de paiement, aux statuts, aux erreurs, aux contrôles et aux évolutions attendues par le produit. Il s’agit de mon emploi actuel. Ce PFE n’est pas un stage.</w:t>
      </w:r>
    </w:p>
    <w:p>
      <w:pPr>
        <w:spacing w:after="140"/>
        <w:jc w:val="both"/>
      </w:pPr>
      <w:r>
        <w:rPr>
          <w:rFonts w:ascii="Times New Roman" w:hAnsi="Times New Roman"/>
          <w:b w:val="0"/>
          <w:i w:val="0"/>
          <w:color w:val="202124"/>
          <w:sz w:val="24"/>
        </w:rPr>
        <w:t>Cette expérience a orienté mon regard sur DataWatch. Dans un domaine sensible comme les paiements, un incident utile doit conserver les faits, expliquer son origine et montrer ce qui a changé. DataWatch transpose cette exigence vers la qualité des données. Le projet reste toutefois séparé d’Oyster. Il ne reprend aucun code interne, aucune donnée confidentielle et aucune architecture propriétaire de l’entreprise.</w:t>
      </w:r>
    </w:p>
    <w:p>
      <w:pPr>
        <w:spacing w:after="140"/>
        <w:jc w:val="both"/>
      </w:pPr>
      <w:r>
        <w:rPr>
          <w:rFonts w:ascii="Times New Roman" w:hAnsi="Times New Roman"/>
          <w:b w:val="0"/>
          <w:i w:val="0"/>
          <w:color w:val="202124"/>
          <w:sz w:val="24"/>
        </w:rPr>
        <w:t>Oyster constitue l’entreprise d’accueil au sens professionnel du rapport. DataWatch demeure un projet de fin d’études distinct de mon activité salariée. Cette séparation protège les informations internes de l’entreprise et permet d’évaluer le projet sur ses propres preuves, son code, ses tests et sa démonstration reproductible.</w:t>
      </w:r>
    </w:p>
    <w:p>
      <w:pPr>
        <w:pStyle w:val="Heading2"/>
      </w:pPr>
      <w:bookmarkStart w:id="121" w:name="body_134"/>
      <w:r>
        <w:rPr>
          <w:rFonts w:ascii="Times New Roman" w:hAnsi="Times New Roman"/>
          <w:b/>
          <w:color w:val="202124"/>
          <w:sz w:val="29"/>
        </w:rPr>
        <w:t>1.3 Présentation du projet</w:t>
      </w:r>
      <w:bookmarkEnd w:id="121"/>
    </w:p>
    <w:p>
      <w:pPr>
        <w:pStyle w:val="Heading3"/>
      </w:pPr>
      <w:bookmarkStart w:id="122" w:name="extra_1_3_1_Contexte_m_tier"/>
      <w:r>
        <w:rPr>
          <w:rFonts w:ascii="Times New Roman" w:hAnsi="Times New Roman"/>
          <w:b/>
          <w:color w:val="202124"/>
          <w:sz w:val="25"/>
        </w:rPr>
        <w:t>1.3.1 Contexte métier</w:t>
      </w:r>
      <w:bookmarkEnd w:id="122"/>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3" w:name="extra_1_3_2_P_rim_tre_fonctionnel"/>
      <w:r>
        <w:rPr>
          <w:rFonts w:ascii="Times New Roman" w:hAnsi="Times New Roman"/>
          <w:b/>
          <w:color w:val="202124"/>
          <w:sz w:val="25"/>
        </w:rPr>
        <w:t>1.3.2 Périmètre fonctionnel</w:t>
      </w:r>
      <w:bookmarkEnd w:id="123"/>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4" w:name="extra_1_3_3_Utilisateurs_cibles"/>
      <w:r>
        <w:rPr>
          <w:rFonts w:ascii="Times New Roman" w:hAnsi="Times New Roman"/>
          <w:b/>
          <w:color w:val="202124"/>
          <w:sz w:val="25"/>
        </w:rPr>
        <w:t>1.3.3 Utilisateurs cibles</w:t>
      </w:r>
      <w:bookmarkEnd w:id="124"/>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5" w:name="body_135"/>
      <w:r>
        <w:rPr>
          <w:rFonts w:ascii="Times New Roman" w:hAnsi="Times New Roman"/>
          <w:b/>
          <w:color w:val="202124"/>
          <w:sz w:val="25"/>
        </w:rPr>
        <w:t>1.3.4 Problématique</w:t>
      </w:r>
      <w:bookmarkEnd w:id="125"/>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6" w:name="body_137"/>
      <w:r>
        <w:rPr>
          <w:rFonts w:ascii="Times New Roman" w:hAnsi="Times New Roman"/>
          <w:b/>
          <w:color w:val="202124"/>
          <w:sz w:val="25"/>
        </w:rPr>
        <w:t>1.3.5 Solution proposée</w:t>
      </w:r>
      <w:bookmarkEnd w:id="126"/>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7" w:name="body_139"/>
      <w:r>
        <w:rPr>
          <w:rFonts w:ascii="Times New Roman" w:hAnsi="Times New Roman"/>
          <w:b/>
          <w:color w:val="202124"/>
          <w:sz w:val="29"/>
        </w:rPr>
        <w:t>1.4 Méthodologie de travail</w:t>
      </w:r>
      <w:bookmarkEnd w:id="127"/>
    </w:p>
    <w:p>
      <w:pPr>
        <w:pStyle w:val="Heading3"/>
      </w:pPr>
      <w:bookmarkStart w:id="128" w:name="body_140"/>
      <w:r>
        <w:rPr>
          <w:rFonts w:ascii="Times New Roman" w:hAnsi="Times New Roman"/>
          <w:b/>
          <w:color w:val="202124"/>
          <w:sz w:val="25"/>
        </w:rPr>
        <w:t>1.4.1 Méthode Agile</w:t>
      </w:r>
      <w:bookmarkEnd w:id="128"/>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9" w:name="body_143"/>
      <w:r>
        <w:rPr>
          <w:rFonts w:ascii="Times New Roman" w:hAnsi="Times New Roman"/>
          <w:b/>
          <w:color w:val="202124"/>
          <w:sz w:val="25"/>
        </w:rPr>
        <w:t>1.4.2 Organisation en sprints</w:t>
      </w:r>
      <w:bookmarkEnd w:id="129"/>
    </w:p>
    <w:p>
      <w:pPr>
        <w:pStyle w:val="Caption"/>
        <w:keepNext/>
        <w:spacing w:before="160" w:after="100"/>
        <w:jc w:val="left"/>
      </w:pPr>
      <w:bookmarkStart w:id="130" w:name="tab_1_1"/>
      <w:r>
        <w:rPr>
          <w:rFonts w:ascii="Times New Roman" w:hAnsi="Times New Roman"/>
          <w:b/>
          <w:color w:val="B1202D"/>
          <w:sz w:val="19"/>
        </w:rPr>
        <w:t>Tableau 1.1</w:t>
      </w:r>
      <w:r>
        <w:rPr>
          <w:rFonts w:ascii="Times New Roman" w:hAnsi="Times New Roman"/>
          <w:color w:val="5F6368"/>
          <w:sz w:val="19"/>
        </w:rPr>
        <w:t xml:space="preserve"> : Découpage des sprints et critères de sortie</w:t>
      </w:r>
      <w:bookmarkEnd w:id="130"/>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31" w:name="body_145"/>
      <w:r>
        <w:rPr>
          <w:rFonts w:ascii="Times New Roman" w:hAnsi="Times New Roman"/>
          <w:b/>
          <w:color w:val="202124"/>
          <w:sz w:val="25"/>
        </w:rPr>
        <w:t>1.4.3 Diagramme de Gantt et jalons</w:t>
      </w:r>
      <w:bookmarkEnd w:id="131"/>
    </w:p>
    <w:p>
      <w:pPr>
        <w:spacing w:after="140"/>
        <w:jc w:val="both"/>
      </w:pPr>
      <w:r>
        <w:rPr>
          <w:rFonts w:ascii="Times New Roman" w:hAnsi="Times New Roman"/>
          <w:b w:val="0"/>
          <w:i w:val="0"/>
          <w:color w:val="202124"/>
          <w:sz w:val="24"/>
        </w:rPr>
        <w:t>Le calendrier ne simule pas une succession parfaitement linéaire. L’architecture démarre pendant le cadrage. La détection chevauche le profilage.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1.2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4" name="Picture 4"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7"/>
                    <a:stretch>
                      <a:fillRect/>
                    </a:stretch>
                  </pic:blipFill>
                  <pic:spPr>
                    <a:xfrm>
                      <a:off x="0" y="0"/>
                      <a:ext cx="5688000" cy="3223691"/>
                    </a:xfrm>
                    <a:prstGeom prst="rect"/>
                  </pic:spPr>
                </pic:pic>
              </a:graphicData>
            </a:graphic>
          </wp:inline>
        </w:drawing>
      </w:r>
    </w:p>
    <w:p>
      <w:pPr>
        <w:pStyle w:val="Caption"/>
      </w:pPr>
      <w:bookmarkStart w:id="132" w:name="fig_1_2"/>
      <w:r>
        <w:rPr>
          <w:rFonts w:ascii="Times New Roman" w:hAnsi="Times New Roman"/>
          <w:b/>
          <w:color w:val="B1202D"/>
          <w:sz w:val="18"/>
        </w:rPr>
        <w:t>Figure 1.2</w:t>
      </w:r>
      <w:r>
        <w:rPr>
          <w:rFonts w:ascii="Times New Roman" w:hAnsi="Times New Roman"/>
          <w:color w:val="5F6368"/>
          <w:sz w:val="18"/>
        </w:rPr>
        <w:t xml:space="preserve"> : Planification du PFE du 1er juin au 31 août et continuité du produit</w:t>
      </w:r>
      <w:bookmarkEnd w:id="132"/>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1.2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1.2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3" w:name="body_155"/>
      <w:r>
        <w:rPr>
          <w:rFonts w:ascii="Times New Roman" w:hAnsi="Times New Roman"/>
          <w:b/>
          <w:color w:val="202124"/>
          <w:sz w:val="29"/>
        </w:rPr>
        <w:t>1.5 Conclusion</w:t>
      </w:r>
      <w:bookmarkEnd w:id="133"/>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4" w:name="body_157"/>
      <w:r>
        <w:rPr>
          <w:rFonts w:ascii="Times New Roman" w:hAnsi="Times New Roman"/>
          <w:b/>
          <w:color w:val="202124"/>
          <w:sz w:val="38"/>
        </w:rPr>
        <w:t>CHAPITRE 2 : ÉTAT DE L’ART ET POSITIONNEMENT</w:t>
      </w:r>
      <w:bookmarkEnd w:id="134"/>
    </w:p>
    <w:p>
      <w:pPr>
        <w:pStyle w:val="Heading2"/>
      </w:pPr>
      <w:bookmarkStart w:id="135" w:name="body_158"/>
      <w:r>
        <w:rPr>
          <w:rFonts w:ascii="Times New Roman" w:hAnsi="Times New Roman"/>
          <w:b/>
          <w:color w:val="202124"/>
          <w:sz w:val="29"/>
        </w:rPr>
        <w:t>2.1 Introduction</w:t>
      </w:r>
      <w:bookmarkEnd w:id="135"/>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Leur combinaison doit rester explicable et gouvernable.</w:t>
      </w:r>
    </w:p>
    <w:p>
      <w:pPr>
        <w:pStyle w:val="Heading2"/>
      </w:pPr>
      <w:bookmarkStart w:id="136" w:name="body_160"/>
      <w:r>
        <w:rPr>
          <w:rFonts w:ascii="Times New Roman" w:hAnsi="Times New Roman"/>
          <w:b/>
          <w:color w:val="202124"/>
          <w:sz w:val="29"/>
        </w:rPr>
        <w:t>2.2 Approches existantes</w:t>
      </w:r>
      <w:bookmarkEnd w:id="136"/>
    </w:p>
    <w:p>
      <w:pPr>
        <w:pStyle w:val="Heading3"/>
      </w:pPr>
      <w:bookmarkStart w:id="137" w:name="extra_2_2_1_Contr_les_d_claratifs"/>
      <w:r>
        <w:rPr>
          <w:rFonts w:ascii="Times New Roman" w:hAnsi="Times New Roman"/>
          <w:b/>
          <w:color w:val="202124"/>
          <w:sz w:val="25"/>
        </w:rPr>
        <w:t>2.2.1 Contrôles déclaratifs</w:t>
      </w:r>
      <w:bookmarkEnd w:id="137"/>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8" w:name="extra_2_2_2_D_tection_statistique_et_a"/>
      <w:r>
        <w:rPr>
          <w:rFonts w:ascii="Times New Roman" w:hAnsi="Times New Roman"/>
          <w:b/>
          <w:color w:val="202124"/>
          <w:sz w:val="25"/>
        </w:rPr>
        <w:t>2.2.2 Détection statistique et apprentissage non supervisé</w:t>
      </w:r>
      <w:bookmarkEnd w:id="138"/>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Isolation Forest repère des observations rares dans un espace multivarié. STL sépare tendance, saison et résidu. Ces méthodes réduisent l’effort de configuration, mais nécessitent un historique minimal et peuvent produire des faux positifs lorsque le contexte métier change.</w:t>
      </w:r>
    </w:p>
    <w:p>
      <w:pPr>
        <w:pStyle w:val="Heading3"/>
      </w:pPr>
      <w:bookmarkStart w:id="139" w:name="extra_2_2_3_Observabilit_et_gestion_d_"/>
      <w:r>
        <w:rPr>
          <w:rFonts w:ascii="Times New Roman" w:hAnsi="Times New Roman"/>
          <w:b/>
          <w:color w:val="202124"/>
          <w:sz w:val="25"/>
        </w:rPr>
        <w:t>2.2.3 Observabilité et gestion d’incidents</w:t>
      </w:r>
      <w:bookmarkEnd w:id="139"/>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40"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40"/>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41" w:name="body_163"/>
      <w:r>
        <w:rPr>
          <w:rFonts w:ascii="Times New Roman" w:hAnsi="Times New Roman"/>
          <w:b/>
          <w:color w:val="202124"/>
          <w:sz w:val="29"/>
        </w:rPr>
        <w:t>2.3 Originalité de la solution</w:t>
      </w:r>
      <w:bookmarkEnd w:id="141"/>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2" w:name="body_165"/>
      <w:r>
        <w:rPr>
          <w:rFonts w:ascii="Times New Roman" w:hAnsi="Times New Roman"/>
          <w:b/>
          <w:color w:val="202124"/>
          <w:sz w:val="29"/>
        </w:rPr>
        <w:t>2.4 Conclusion</w:t>
      </w:r>
      <w:bookmarkEnd w:id="142"/>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3" w:name="body_167"/>
      <w:r>
        <w:rPr>
          <w:rFonts w:ascii="Times New Roman" w:hAnsi="Times New Roman"/>
          <w:b/>
          <w:color w:val="202124"/>
          <w:sz w:val="38"/>
        </w:rPr>
        <w:t>CHAPITRE 3 : ANALYSE, CONCEPTION ET ARCHITECTURE</w:t>
      </w:r>
      <w:bookmarkEnd w:id="143"/>
    </w:p>
    <w:p>
      <w:pPr>
        <w:pStyle w:val="Heading2"/>
      </w:pPr>
      <w:bookmarkStart w:id="144" w:name="body_168"/>
      <w:r>
        <w:rPr>
          <w:rFonts w:ascii="Times New Roman" w:hAnsi="Times New Roman"/>
          <w:b/>
          <w:color w:val="202124"/>
          <w:sz w:val="29"/>
        </w:rPr>
        <w:t>3.1 Introduction</w:t>
      </w:r>
      <w:bookmarkEnd w:id="144"/>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5" w:name="body_170"/>
      <w:r>
        <w:rPr>
          <w:rFonts w:ascii="Times New Roman" w:hAnsi="Times New Roman"/>
          <w:b/>
          <w:color w:val="202124"/>
          <w:sz w:val="29"/>
        </w:rPr>
        <w:t>3.2 Analyse du projet</w:t>
      </w:r>
      <w:bookmarkEnd w:id="145"/>
    </w:p>
    <w:p>
      <w:pPr>
        <w:pStyle w:val="Heading3"/>
      </w:pPr>
      <w:bookmarkStart w:id="146" w:name="body_171"/>
      <w:r>
        <w:rPr>
          <w:rFonts w:ascii="Times New Roman" w:hAnsi="Times New Roman"/>
          <w:b/>
          <w:color w:val="202124"/>
          <w:sz w:val="25"/>
        </w:rPr>
        <w:t>3.2.1 Objectifs de la solution</w:t>
      </w:r>
      <w:bookmarkEnd w:id="146"/>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Réduire une table potentiellement volumineuse à un profil agrégé et horodaté. Distribuer les travaux de surveillance sans bloquer l’API. Choisir un détecteur selon l’historique disponible. Expliquer chaque contrôle par une valeur observée, un score et une plage attendue. Conserver un incident unique tant que le défaut persiste. Livrer l’alerte selon sa sévérité.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7" w:name="body_173"/>
      <w:r>
        <w:rPr>
          <w:rFonts w:ascii="Times New Roman" w:hAnsi="Times New Roman"/>
          <w:b/>
          <w:color w:val="202124"/>
          <w:sz w:val="25"/>
        </w:rPr>
        <w:t>3.2.2 Besoins fonctionnels</w:t>
      </w:r>
      <w:bookmarkEnd w:id="147"/>
    </w:p>
    <w:p>
      <w:pPr>
        <w:pStyle w:val="Caption"/>
        <w:keepNext/>
        <w:spacing w:before="160" w:after="100"/>
        <w:jc w:val="left"/>
      </w:pPr>
      <w:bookmarkStart w:id="148"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8"/>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Sélectionner les tables à surveiller. Produire des profils périodiques. Appliquer des règles et détecteurs hybrides. Ouvrir, affecter, acquitter puis résoudre les incidents.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9" w:name="body_176"/>
      <w:r>
        <w:rPr>
          <w:rFonts w:ascii="Times New Roman" w:hAnsi="Times New Roman"/>
          <w:b/>
          <w:color w:val="202124"/>
          <w:sz w:val="25"/>
        </w:rPr>
        <w:t>3.2.3 Besoins non fonctionnels</w:t>
      </w:r>
      <w:bookmarkEnd w:id="149"/>
    </w:p>
    <w:p>
      <w:pPr>
        <w:pStyle w:val="Caption"/>
        <w:keepNext/>
        <w:spacing w:before="160" w:after="100"/>
        <w:jc w:val="left"/>
      </w:pPr>
      <w:bookmarkStart w:id="150"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50"/>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51" w:name="body_183"/>
      <w:r>
        <w:rPr>
          <w:rFonts w:ascii="Times New Roman" w:hAnsi="Times New Roman"/>
          <w:b/>
          <w:color w:val="202124"/>
          <w:sz w:val="29"/>
        </w:rPr>
        <w:t>3.3 Conception de la solution</w:t>
      </w:r>
      <w:bookmarkEnd w:id="151"/>
    </w:p>
    <w:p>
      <w:pPr>
        <w:pStyle w:val="Heading3"/>
      </w:pPr>
      <w:bookmarkStart w:id="152" w:name="extra_3_3_1_Acteurs_et_cas_d_utilisati"/>
      <w:r>
        <w:rPr>
          <w:rFonts w:ascii="Times New Roman" w:hAnsi="Times New Roman"/>
          <w:b/>
          <w:color w:val="202124"/>
          <w:sz w:val="25"/>
        </w:rPr>
        <w:t>3.3.1 Acteurs et cas d’utilisation</w:t>
      </w:r>
      <w:bookmarkEnd w:id="152"/>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L’administrateur ajoute les sources, configure les tables, les moniteurs et les alertes.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5" name="Picture 5"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8"/>
                    <a:stretch>
                      <a:fillRect/>
                    </a:stretch>
                  </pic:blipFill>
                  <pic:spPr>
                    <a:xfrm>
                      <a:off x="0" y="0"/>
                      <a:ext cx="5688000" cy="4872491"/>
                    </a:xfrm>
                    <a:prstGeom prst="rect"/>
                  </pic:spPr>
                </pic:pic>
              </a:graphicData>
            </a:graphic>
          </wp:inline>
        </w:drawing>
      </w:r>
    </w:p>
    <w:p>
      <w:pPr>
        <w:pStyle w:val="Caption"/>
      </w:pPr>
      <w:bookmarkStart w:id="153"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3"/>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6" name="Picture 6"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9"/>
                    <a:stretch>
                      <a:fillRect/>
                    </a:stretch>
                  </pic:blipFill>
                  <pic:spPr>
                    <a:xfrm>
                      <a:off x="0" y="0"/>
                      <a:ext cx="3941370" cy="5472000"/>
                    </a:xfrm>
                    <a:prstGeom prst="rect"/>
                  </pic:spPr>
                </pic:pic>
              </a:graphicData>
            </a:graphic>
          </wp:inline>
        </w:drawing>
      </w:r>
    </w:p>
    <w:p>
      <w:pPr>
        <w:pStyle w:val="Caption"/>
      </w:pPr>
      <w:bookmarkStart w:id="154"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4"/>
    </w:p>
    <w:p>
      <w:pPr>
        <w:keepLines/>
        <w:spacing w:after="180"/>
        <w:jc w:val="both"/>
      </w:pPr>
      <w:r>
        <w:rPr>
          <w:rFonts w:ascii="Times New Roman" w:hAnsi="Times New Roman"/>
          <w:b w:val="0"/>
          <w:i w:val="0"/>
          <w:color w:val="202124"/>
          <w:sz w:val="24"/>
        </w:rPr>
        <w:t>Deux responsabilités ressortent. Le propriétaire configure sources, membres et notifications.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7" name="Picture 7"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20"/>
                    <a:stretch>
                      <a:fillRect/>
                    </a:stretch>
                  </pic:blipFill>
                  <pic:spPr>
                    <a:xfrm>
                      <a:off x="0" y="0"/>
                      <a:ext cx="5688000" cy="2978764"/>
                    </a:xfrm>
                    <a:prstGeom prst="rect"/>
                  </pic:spPr>
                </pic:pic>
              </a:graphicData>
            </a:graphic>
          </wp:inline>
        </w:drawing>
      </w:r>
    </w:p>
    <w:p>
      <w:pPr>
        <w:pStyle w:val="Caption"/>
      </w:pPr>
      <w:bookmarkStart w:id="155"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5"/>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6" w:name="body_191"/>
      <w:r>
        <w:rPr>
          <w:rFonts w:ascii="Times New Roman" w:hAnsi="Times New Roman"/>
          <w:b/>
          <w:color w:val="202124"/>
          <w:sz w:val="25"/>
        </w:rPr>
        <w:t>3.3.2 Diagramme de séquence</w:t>
      </w:r>
      <w:bookmarkEnd w:id="156"/>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8" name="Picture 8"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1"/>
                    <a:stretch>
                      <a:fillRect/>
                    </a:stretch>
                  </pic:blipFill>
                  <pic:spPr>
                    <a:xfrm>
                      <a:off x="0" y="0"/>
                      <a:ext cx="5688000" cy="3156080"/>
                    </a:xfrm>
                    <a:prstGeom prst="rect"/>
                  </pic:spPr>
                </pic:pic>
              </a:graphicData>
            </a:graphic>
          </wp:inline>
        </w:drawing>
      </w:r>
    </w:p>
    <w:p>
      <w:pPr>
        <w:pStyle w:val="Caption"/>
      </w:pPr>
      <w:bookmarkStart w:id="157"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7"/>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9" name="Picture 9"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2"/>
                    <a:stretch>
                      <a:fillRect/>
                    </a:stretch>
                  </pic:blipFill>
                  <pic:spPr>
                    <a:xfrm>
                      <a:off x="0" y="0"/>
                      <a:ext cx="5688000" cy="2461548"/>
                    </a:xfrm>
                    <a:prstGeom prst="rect"/>
                  </pic:spPr>
                </pic:pic>
              </a:graphicData>
            </a:graphic>
          </wp:inline>
        </w:drawing>
      </w:r>
    </w:p>
    <w:p>
      <w:pPr>
        <w:pStyle w:val="Caption"/>
      </w:pPr>
      <w:bookmarkStart w:id="158"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8"/>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10" name="Picture 10"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3"/>
                    <a:stretch>
                      <a:fillRect/>
                    </a:stretch>
                  </pic:blipFill>
                  <pic:spPr>
                    <a:xfrm>
                      <a:off x="0" y="0"/>
                      <a:ext cx="5688000" cy="2703619"/>
                    </a:xfrm>
                    <a:prstGeom prst="rect"/>
                  </pic:spPr>
                </pic:pic>
              </a:graphicData>
            </a:graphic>
          </wp:inline>
        </w:drawing>
      </w:r>
    </w:p>
    <w:p>
      <w:pPr>
        <w:pStyle w:val="Caption"/>
      </w:pPr>
      <w:bookmarkStart w:id="159"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9"/>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11" name="Picture 11"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4"/>
                    <a:stretch>
                      <a:fillRect/>
                    </a:stretch>
                  </pic:blipFill>
                  <pic:spPr>
                    <a:xfrm>
                      <a:off x="0" y="0"/>
                      <a:ext cx="5688000" cy="2365570"/>
                    </a:xfrm>
                    <a:prstGeom prst="rect"/>
                  </pic:spPr>
                </pic:pic>
              </a:graphicData>
            </a:graphic>
          </wp:inline>
        </w:drawing>
      </w:r>
    </w:p>
    <w:p>
      <w:pPr>
        <w:pStyle w:val="Caption"/>
      </w:pPr>
      <w:bookmarkStart w:id="160"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60"/>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2" name="Picture 12"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5"/>
                    <a:stretch>
                      <a:fillRect/>
                    </a:stretch>
                  </pic:blipFill>
                  <pic:spPr>
                    <a:xfrm>
                      <a:off x="0" y="0"/>
                      <a:ext cx="3329499" cy="5472000"/>
                    </a:xfrm>
                    <a:prstGeom prst="rect"/>
                  </pic:spPr>
                </pic:pic>
              </a:graphicData>
            </a:graphic>
          </wp:inline>
        </w:drawing>
      </w:r>
    </w:p>
    <w:p>
      <w:pPr>
        <w:pStyle w:val="Caption"/>
      </w:pPr>
      <w:bookmarkStart w:id="161"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61"/>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2" w:name="body_194"/>
      <w:r>
        <w:rPr>
          <w:rFonts w:ascii="Times New Roman" w:hAnsi="Times New Roman"/>
          <w:b/>
          <w:color w:val="202124"/>
          <w:sz w:val="25"/>
        </w:rPr>
        <w:t>3.3.3 Diagramme de classes</w:t>
      </w:r>
      <w:bookmarkEnd w:id="162"/>
    </w:p>
    <w:p>
      <w:pPr>
        <w:spacing w:after="140"/>
        <w:jc w:val="both"/>
      </w:pPr>
      <w:r>
        <w:rPr>
          <w:rFonts w:ascii="Times New Roman" w:hAnsi="Times New Roman"/>
          <w:b w:val="0"/>
          <w:i w:val="0"/>
          <w:color w:val="202124"/>
          <w:sz w:val="24"/>
        </w:rPr>
        <w:t>Le modèle de domaine s’organise autour de l’agrégat Organization. DataSource et MonitoredTable décrivent les actifs. TableProfile et CheckResult constituent la preuve de mesure. Incident regroupe les occurrences liées.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3" name="Picture 13"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6"/>
                    <a:stretch>
                      <a:fillRect/>
                    </a:stretch>
                  </pic:blipFill>
                  <pic:spPr>
                    <a:xfrm>
                      <a:off x="0" y="0"/>
                      <a:ext cx="5688000" cy="2421959"/>
                    </a:xfrm>
                    <a:prstGeom prst="rect"/>
                  </pic:spPr>
                </pic:pic>
              </a:graphicData>
            </a:graphic>
          </wp:inline>
        </w:drawing>
      </w:r>
    </w:p>
    <w:p>
      <w:pPr>
        <w:pStyle w:val="Caption"/>
      </w:pPr>
      <w:bookmarkStart w:id="163"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3"/>
    </w:p>
    <w:p>
      <w:pPr>
        <w:keepLines/>
        <w:spacing w:after="180"/>
        <w:jc w:val="both"/>
      </w:pPr>
      <w:r>
        <w:rPr>
          <w:rFonts w:ascii="Times New Roman" w:hAnsi="Times New Roman"/>
          <w:b w:val="0"/>
          <w:i w:val="0"/>
          <w:color w:val="202124"/>
          <w:sz w:val="24"/>
        </w:rPr>
        <w:t>DataSource possède les actifs surveillés.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4" name="Picture 14"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7"/>
                    <a:stretch>
                      <a:fillRect/>
                    </a:stretch>
                  </pic:blipFill>
                  <pic:spPr>
                    <a:xfrm>
                      <a:off x="0" y="0"/>
                      <a:ext cx="5688000" cy="1672498"/>
                    </a:xfrm>
                    <a:prstGeom prst="rect"/>
                  </pic:spPr>
                </pic:pic>
              </a:graphicData>
            </a:graphic>
          </wp:inline>
        </w:drawing>
      </w:r>
    </w:p>
    <w:p>
      <w:pPr>
        <w:pStyle w:val="Caption"/>
      </w:pPr>
      <w:bookmarkStart w:id="164"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4"/>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5" name="Picture 15"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8"/>
                    <a:stretch>
                      <a:fillRect/>
                    </a:stretch>
                  </pic:blipFill>
                  <pic:spPr>
                    <a:xfrm>
                      <a:off x="0" y="0"/>
                      <a:ext cx="5688000" cy="1972382"/>
                    </a:xfrm>
                    <a:prstGeom prst="rect"/>
                  </pic:spPr>
                </pic:pic>
              </a:graphicData>
            </a:graphic>
          </wp:inline>
        </w:drawing>
      </w:r>
    </w:p>
    <w:p>
      <w:pPr>
        <w:pStyle w:val="Caption"/>
      </w:pPr>
      <w:bookmarkStart w:id="165"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5"/>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6" name="Picture 16"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9"/>
                    <a:stretch>
                      <a:fillRect/>
                    </a:stretch>
                  </pic:blipFill>
                  <pic:spPr>
                    <a:xfrm>
                      <a:off x="0" y="0"/>
                      <a:ext cx="5688000" cy="2465159"/>
                    </a:xfrm>
                    <a:prstGeom prst="rect"/>
                  </pic:spPr>
                </pic:pic>
              </a:graphicData>
            </a:graphic>
          </wp:inline>
        </w:drawing>
      </w:r>
    </w:p>
    <w:p>
      <w:pPr>
        <w:pStyle w:val="Caption"/>
      </w:pPr>
      <w:bookmarkStart w:id="166"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6"/>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Chaque source expose des tables surveillées, dont les profils alimentent les contrôles, incidents, moniteurs et alertes. Les révisions de moniteur sont immuables afin de conserver l’historique des définitions.</w:t>
      </w:r>
    </w:p>
    <w:p>
      <w:pPr>
        <w:pStyle w:val="Heading2"/>
      </w:pPr>
      <w:bookmarkStart w:id="167" w:name="body_197"/>
      <w:r>
        <w:rPr>
          <w:rFonts w:ascii="Times New Roman" w:hAnsi="Times New Roman"/>
          <w:b/>
          <w:color w:val="202124"/>
          <w:sz w:val="29"/>
        </w:rPr>
        <w:t>3.4 Architecture proposée</w:t>
      </w:r>
      <w:bookmarkEnd w:id="167"/>
    </w:p>
    <w:p>
      <w:pPr>
        <w:pStyle w:val="Heading3"/>
      </w:pPr>
      <w:bookmarkStart w:id="168" w:name="extra_3_4_1_Vue_logique_en_couches"/>
      <w:r>
        <w:rPr>
          <w:rFonts w:ascii="Times New Roman" w:hAnsi="Times New Roman"/>
          <w:b/>
          <w:color w:val="202124"/>
          <w:sz w:val="25"/>
        </w:rPr>
        <w:t>3.4.1 Vue logique en couches</w:t>
      </w:r>
      <w:bookmarkEnd w:id="168"/>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9" w:name="extra_3_4_2_Ex_cution_asynchrone"/>
      <w:r>
        <w:rPr>
          <w:rFonts w:ascii="Times New Roman" w:hAnsi="Times New Roman"/>
          <w:b/>
          <w:color w:val="202124"/>
          <w:sz w:val="25"/>
        </w:rPr>
        <w:t>3.4.2 Exécution asynchrone</w:t>
      </w:r>
      <w:bookmarkEnd w:id="169"/>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70" w:name="extra_3_4_3_Architecture_des_connecteu"/>
      <w:r>
        <w:rPr>
          <w:rFonts w:ascii="Times New Roman" w:hAnsi="Times New Roman"/>
          <w:b/>
          <w:color w:val="202124"/>
          <w:sz w:val="25"/>
        </w:rPr>
        <w:t>3.4.3 Architecture des connecteurs</w:t>
      </w:r>
      <w:bookmarkEnd w:id="170"/>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DuckDB et SQLite sont positionnés en bêta.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7" name="Picture 17"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30"/>
                    <a:stretch>
                      <a:fillRect/>
                    </a:stretch>
                  </pic:blipFill>
                  <pic:spPr>
                    <a:xfrm>
                      <a:off x="0" y="0"/>
                      <a:ext cx="5098789" cy="5472000"/>
                    </a:xfrm>
                    <a:prstGeom prst="rect"/>
                  </pic:spPr>
                </pic:pic>
              </a:graphicData>
            </a:graphic>
          </wp:inline>
        </w:drawing>
      </w:r>
    </w:p>
    <w:p>
      <w:pPr>
        <w:pStyle w:val="Caption"/>
      </w:pPr>
      <w:bookmarkStart w:id="171"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71"/>
    </w:p>
    <w:p>
      <w:pPr>
        <w:keepLines/>
        <w:spacing w:after="180"/>
        <w:jc w:val="both"/>
      </w:pPr>
      <w:r>
        <w:rPr>
          <w:rFonts w:ascii="Times New Roman" w:hAnsi="Times New Roman"/>
          <w:b w:val="0"/>
          <w:i w:val="0"/>
          <w:color w:val="202124"/>
          <w:sz w:val="24"/>
        </w:rPr>
        <w:t>L’API FastAPI centralise contrats et autorisations. Celery absorbe les opérations longues.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8" name="Picture 18"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1"/>
                    <a:stretch>
                      <a:fillRect/>
                    </a:stretch>
                  </pic:blipFill>
                  <pic:spPr>
                    <a:xfrm>
                      <a:off x="0" y="0"/>
                      <a:ext cx="5688000" cy="3294840"/>
                    </a:xfrm>
                    <a:prstGeom prst="rect"/>
                  </pic:spPr>
                </pic:pic>
              </a:graphicData>
            </a:graphic>
          </wp:inline>
        </w:drawing>
      </w:r>
    </w:p>
    <w:p>
      <w:pPr>
        <w:pStyle w:val="Caption"/>
      </w:pPr>
      <w:bookmarkStart w:id="172"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2"/>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3" w:name="body_205"/>
      <w:r>
        <w:rPr>
          <w:rFonts w:ascii="Times New Roman" w:hAnsi="Times New Roman"/>
          <w:b/>
          <w:color w:val="202124"/>
          <w:sz w:val="29"/>
        </w:rPr>
        <w:t>3.5 Modèle de données et sécurité</w:t>
      </w:r>
      <w:bookmarkEnd w:id="173"/>
    </w:p>
    <w:p>
      <w:pPr>
        <w:pStyle w:val="Heading3"/>
      </w:pPr>
      <w:bookmarkStart w:id="174" w:name="extra_3_5_1_Isolation_multi_tenant"/>
      <w:r>
        <w:rPr>
          <w:rFonts w:ascii="Times New Roman" w:hAnsi="Times New Roman"/>
          <w:b/>
          <w:color w:val="202124"/>
          <w:sz w:val="25"/>
        </w:rPr>
        <w:t>3.5.1 Isolation multi-tenant</w:t>
      </w:r>
      <w:bookmarkEnd w:id="174"/>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5" w:name="extra_3_5_2_Protection_des_secrets"/>
      <w:r>
        <w:rPr>
          <w:rFonts w:ascii="Times New Roman" w:hAnsi="Times New Roman"/>
          <w:b/>
          <w:color w:val="202124"/>
          <w:sz w:val="25"/>
        </w:rPr>
        <w:t>3.5.2 Protection des secrets</w:t>
      </w:r>
      <w:bookmarkEnd w:id="175"/>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6" w:name="extra_3_5_3_Int_grit_et_conservation"/>
      <w:r>
        <w:rPr>
          <w:rFonts w:ascii="Times New Roman" w:hAnsi="Times New Roman"/>
          <w:b/>
          <w:color w:val="202124"/>
          <w:sz w:val="25"/>
        </w:rPr>
        <w:t>3.5.3 Intégrité et conservation</w:t>
      </w:r>
      <w:bookmarkEnd w:id="176"/>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7" w:name="extra_3_5_4_Structure_relationnelle_co"/>
      <w:r>
        <w:rPr>
          <w:rFonts w:ascii="Times New Roman" w:hAnsi="Times New Roman"/>
          <w:b/>
          <w:color w:val="202124"/>
          <w:sz w:val="25"/>
        </w:rPr>
        <w:t>3.5.4 Structure relationnelle complète</w:t>
      </w:r>
      <w:bookmarkEnd w:id="177"/>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colonnes, types, nullabilité, clés et effectifs seedés,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9" name="Picture 19"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2"/>
                    <a:stretch>
                      <a:fillRect/>
                    </a:stretch>
                  </pic:blipFill>
                  <pic:spPr>
                    <a:xfrm>
                      <a:off x="0" y="0"/>
                      <a:ext cx="5688000" cy="2390732"/>
                    </a:xfrm>
                    <a:prstGeom prst="rect"/>
                  </pic:spPr>
                </pic:pic>
              </a:graphicData>
            </a:graphic>
          </wp:inline>
        </w:drawing>
      </w:r>
    </w:p>
    <w:p>
      <w:pPr>
        <w:pStyle w:val="Caption"/>
      </w:pPr>
      <w:bookmarkStart w:id="178"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8"/>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20" name="Picture 20"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3"/>
                    <a:stretch>
                      <a:fillRect/>
                    </a:stretch>
                  </pic:blipFill>
                  <pic:spPr>
                    <a:xfrm>
                      <a:off x="0" y="0"/>
                      <a:ext cx="5411344" cy="5472000"/>
                    </a:xfrm>
                    <a:prstGeom prst="rect"/>
                  </pic:spPr>
                </pic:pic>
              </a:graphicData>
            </a:graphic>
          </wp:inline>
        </w:drawing>
      </w:r>
    </w:p>
    <w:p>
      <w:pPr>
        <w:pStyle w:val="Caption"/>
      </w:pPr>
      <w:bookmarkStart w:id="179"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9"/>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21" name="Picture 21"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4"/>
                    <a:stretch>
                      <a:fillRect/>
                    </a:stretch>
                  </pic:blipFill>
                  <pic:spPr>
                    <a:xfrm>
                      <a:off x="0" y="0"/>
                      <a:ext cx="5688000" cy="4002778"/>
                    </a:xfrm>
                    <a:prstGeom prst="rect"/>
                  </pic:spPr>
                </pic:pic>
              </a:graphicData>
            </a:graphic>
          </wp:inline>
        </w:drawing>
      </w:r>
    </w:p>
    <w:p>
      <w:pPr>
        <w:pStyle w:val="Caption"/>
      </w:pPr>
      <w:bookmarkStart w:id="180"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80"/>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2" name="Picture 22"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5"/>
                    <a:stretch>
                      <a:fillRect/>
                    </a:stretch>
                  </pic:blipFill>
                  <pic:spPr>
                    <a:xfrm>
                      <a:off x="0" y="0"/>
                      <a:ext cx="3873828" cy="5472000"/>
                    </a:xfrm>
                    <a:prstGeom prst="rect"/>
                  </pic:spPr>
                </pic:pic>
              </a:graphicData>
            </a:graphic>
          </wp:inline>
        </w:drawing>
      </w:r>
    </w:p>
    <w:p>
      <w:pPr>
        <w:pStyle w:val="Caption"/>
      </w:pPr>
      <w:bookmarkStart w:id="181"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81"/>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2" w:name="body_207"/>
      <w:r>
        <w:rPr>
          <w:rFonts w:ascii="Times New Roman" w:hAnsi="Times New Roman"/>
          <w:b/>
          <w:color w:val="202124"/>
          <w:sz w:val="29"/>
        </w:rPr>
        <w:t>3.6 Gouvernance de la couche IA</w:t>
      </w:r>
      <w:bookmarkEnd w:id="182"/>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3" w:name="body_209"/>
      <w:r>
        <w:rPr>
          <w:rFonts w:ascii="Times New Roman" w:hAnsi="Times New Roman"/>
          <w:b/>
          <w:color w:val="202124"/>
          <w:sz w:val="29"/>
        </w:rPr>
        <w:t>3.7 Conclusion</w:t>
      </w:r>
      <w:bookmarkEnd w:id="183"/>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4" w:name="body_211"/>
      <w:r>
        <w:rPr>
          <w:rFonts w:ascii="Times New Roman" w:hAnsi="Times New Roman"/>
          <w:b/>
          <w:color w:val="202124"/>
          <w:sz w:val="38"/>
        </w:rPr>
        <w:t>CHAPITRE 4 : IMPLÉMENTATION TECHNIQUE ET TESTS</w:t>
      </w:r>
      <w:bookmarkEnd w:id="184"/>
    </w:p>
    <w:p>
      <w:pPr>
        <w:pStyle w:val="Heading2"/>
      </w:pPr>
      <w:bookmarkStart w:id="185" w:name="body_212"/>
      <w:r>
        <w:rPr>
          <w:rFonts w:ascii="Times New Roman" w:hAnsi="Times New Roman"/>
          <w:b/>
          <w:color w:val="202124"/>
          <w:sz w:val="29"/>
        </w:rPr>
        <w:t>4.1 Introduction</w:t>
      </w:r>
      <w:bookmarkEnd w:id="185"/>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6" w:name="body_214"/>
      <w:r>
        <w:rPr>
          <w:rFonts w:ascii="Times New Roman" w:hAnsi="Times New Roman"/>
          <w:b/>
          <w:color w:val="202124"/>
          <w:sz w:val="29"/>
        </w:rPr>
        <w:t>4.2 Workflow proposé</w:t>
      </w:r>
      <w:bookmarkEnd w:id="186"/>
    </w:p>
    <w:p>
      <w:pPr>
        <w:pStyle w:val="Heading3"/>
      </w:pPr>
      <w:bookmarkStart w:id="187" w:name="extra_4_2_1_Enregistrement_et_planific"/>
      <w:r>
        <w:rPr>
          <w:rFonts w:ascii="Times New Roman" w:hAnsi="Times New Roman"/>
          <w:b/>
          <w:color w:val="202124"/>
          <w:sz w:val="25"/>
        </w:rPr>
        <w:t>4.2.1 Enregistrement et planification</w:t>
      </w:r>
      <w:bookmarkEnd w:id="187"/>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Les recommandations considérées risquées ou reposant sur du SQL personnalisé sont laissées en attente de revue.</w:t>
      </w:r>
    </w:p>
    <w:p>
      <w:pPr>
        <w:pStyle w:val="Heading3"/>
      </w:pPr>
      <w:bookmarkStart w:id="188" w:name="extra_4_2_2_Profilage_et_d_tection"/>
      <w:r>
        <w:rPr>
          <w:rFonts w:ascii="Times New Roman" w:hAnsi="Times New Roman"/>
          <w:b/>
          <w:color w:val="202124"/>
          <w:sz w:val="25"/>
        </w:rPr>
        <w:t>4.2.2 Profilage et détection</w:t>
      </w:r>
      <w:bookmarkEnd w:id="188"/>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Les méthodes historiques s’activent seulement lorsque le nombre de profils est suffisant. Le score et la plage attendue sont persistés afin que l’interface puisse expliquer pourquoi un contrôle a échoué.</w:t>
      </w:r>
    </w:p>
    <w:p>
      <w:pPr>
        <w:pStyle w:val="Heading3"/>
      </w:pPr>
      <w:bookmarkStart w:id="189" w:name="extra_4_2_3_Incident_narration_et_aler"/>
      <w:r>
        <w:rPr>
          <w:rFonts w:ascii="Times New Roman" w:hAnsi="Times New Roman"/>
          <w:b/>
          <w:color w:val="202124"/>
          <w:sz w:val="25"/>
        </w:rPr>
        <w:t>4.2.3 Incident, narration et alerte</w:t>
      </w:r>
      <w:bookmarkEnd w:id="189"/>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Les dérives de schéma et cumuls d’échecs produisent généralement P2.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90" w:name="body_216"/>
      <w:r>
        <w:rPr>
          <w:rFonts w:ascii="Times New Roman" w:hAnsi="Times New Roman"/>
          <w:b/>
          <w:color w:val="202124"/>
          <w:sz w:val="29"/>
        </w:rPr>
        <w:t>4.3 Technologies utilisées</w:t>
      </w:r>
      <w:bookmarkEnd w:id="190"/>
    </w:p>
    <w:p>
      <w:pPr>
        <w:pStyle w:val="Caption"/>
        <w:keepNext/>
        <w:spacing w:before="160" w:after="100"/>
        <w:jc w:val="left"/>
      </w:pPr>
      <w:bookmarkStart w:id="191"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91"/>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Redis et Celery encaissent la cadence variable des profils. Les connecteurs absorbent la diversité des dialectes. Scikit-learn et statsmodels portent les détecteurs non supervisés et temporels.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PostgreSQL verrouille transactions, historique et isolation. Redis et Celery découplent la cadence de collecte du temps de réponse utilisateur. Les bibliothèques statistiques exécutent les détecteurs. React rend l’enquête lisible.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2" w:name="body_219"/>
      <w:r>
        <w:rPr>
          <w:rFonts w:ascii="Times New Roman" w:hAnsi="Times New Roman"/>
          <w:b/>
          <w:color w:val="202124"/>
          <w:sz w:val="29"/>
        </w:rPr>
        <w:t>4.4 Présentation des interfaces</w:t>
      </w:r>
      <w:bookmarkEnd w:id="192"/>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3" w:name="body_221"/>
      <w:r>
        <w:rPr>
          <w:rFonts w:ascii="Times New Roman" w:hAnsi="Times New Roman"/>
          <w:b/>
          <w:color w:val="202124"/>
          <w:sz w:val="25"/>
        </w:rPr>
        <w:t>4.4.1 Vue Opérations</w:t>
      </w:r>
      <w:bookmarkEnd w:id="193"/>
    </w:p>
    <w:p>
      <w:pPr>
        <w:spacing w:after="140"/>
        <w:jc w:val="both"/>
      </w:pPr>
      <w:r>
        <w:rPr>
          <w:rFonts w:ascii="Times New Roman" w:hAnsi="Times New Roman"/>
          <w:b w:val="0"/>
          <w:i w:val="0"/>
          <w:color w:val="202124"/>
          <w:sz w:val="24"/>
        </w:rPr>
        <w:t>Le parcours commence avant le tableau de bord. Le sous-domaine dans l’URL fixe le workspace.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3" name="Picture 23"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4"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4"/>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4" name="Picture 24"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5"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5"/>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5" name="Picture 25"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6"/>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7" w:name="body_225"/>
      <w:r>
        <w:rPr>
          <w:rFonts w:ascii="Times New Roman" w:hAnsi="Times New Roman"/>
          <w:b/>
          <w:color w:val="202124"/>
          <w:sz w:val="25"/>
        </w:rPr>
        <w:t>4.4.2 Détail de l’incident P1</w:t>
      </w:r>
      <w:bookmarkEnd w:id="197"/>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6" name="Picture 26"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8"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8"/>
    </w:p>
    <w:p>
      <w:pPr>
        <w:keepLines/>
        <w:spacing w:after="180"/>
        <w:jc w:val="both"/>
      </w:pPr>
      <w:r>
        <w:rPr>
          <w:rFonts w:ascii="Times New Roman" w:hAnsi="Times New Roman"/>
          <w:b w:val="0"/>
          <w:i w:val="0"/>
          <w:color w:val="202124"/>
          <w:sz w:val="24"/>
        </w:rPr>
        <w:t>Les onglets séparent ouverts, en cours d’analyse, résolus et ignorés.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7" name="Picture 27"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9"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9"/>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8" name="Picture 28"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200"/>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201" w:name="body_229"/>
      <w:r>
        <w:rPr>
          <w:rFonts w:ascii="Times New Roman" w:hAnsi="Times New Roman"/>
          <w:b/>
          <w:color w:val="202124"/>
          <w:sz w:val="25"/>
        </w:rPr>
        <w:t>4.4.3 Détail de la table surveillée</w:t>
      </w:r>
      <w:bookmarkEnd w:id="201"/>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9" name="Picture 29"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2"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2"/>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30" name="Picture 30"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3"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3"/>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31" name="Picture 31"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4"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4"/>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2" name="Picture 32"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5"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5"/>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6" w:name="body_233"/>
      <w:r>
        <w:rPr>
          <w:rFonts w:ascii="Times New Roman" w:hAnsi="Times New Roman"/>
          <w:b/>
          <w:color w:val="202124"/>
          <w:sz w:val="25"/>
        </w:rPr>
        <w:t>4.4.4 Alertes et gouvernance IA</w:t>
      </w:r>
      <w:bookmarkEnd w:id="206"/>
    </w:p>
    <w:p>
      <w:pPr>
        <w:pStyle w:val="Heading3"/>
      </w:pPr>
      <w:bookmarkStart w:id="207" w:name="extra_4_4_4_1_Rapports_quipes_et_astre"/>
      <w:r>
        <w:rPr>
          <w:rFonts w:ascii="Times New Roman" w:hAnsi="Times New Roman"/>
          <w:b/>
          <w:color w:val="202124"/>
          <w:sz w:val="25"/>
        </w:rPr>
        <w:t>4.4.4.1 Rapports, équipes et astreintes</w:t>
      </w:r>
      <w:bookmarkEnd w:id="207"/>
    </w:p>
    <w:p>
      <w:pPr>
        <w:spacing w:after="140"/>
        <w:jc w:val="both"/>
      </w:pPr>
      <w:r>
        <w:rPr>
          <w:rFonts w:ascii="Times New Roman" w:hAnsi="Times New Roman"/>
          <w:b w:val="0"/>
          <w:i w:val="0"/>
          <w:color w:val="202124"/>
          <w:sz w:val="24"/>
        </w:rPr>
        <w:t>La réponse à l’incident dépasse l’écran technique. Les rapports condensent une semaine. Les équipes rendent l’affectation concrète.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3" name="Picture 33"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8"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8"/>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4" name="Picture 34"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9"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9"/>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5" name="Picture 35"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10"/>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11" w:name="extra_4_4_4_2_Sources_connecteurs_et_n"/>
      <w:r>
        <w:rPr>
          <w:rFonts w:ascii="Times New Roman" w:hAnsi="Times New Roman"/>
          <w:b/>
          <w:color w:val="202124"/>
          <w:sz w:val="25"/>
        </w:rPr>
        <w:t>4.4.4.2 Sources, connecteurs et notifications</w:t>
      </w:r>
      <w:bookmarkEnd w:id="211"/>
    </w:p>
    <w:p>
      <w:pPr>
        <w:spacing w:after="140"/>
        <w:jc w:val="both"/>
      </w:pPr>
      <w:r>
        <w:rPr>
          <w:rFonts w:ascii="Times New Roman" w:hAnsi="Times New Roman"/>
          <w:b w:val="0"/>
          <w:i w:val="0"/>
          <w:color w:val="202124"/>
          <w:sz w:val="24"/>
        </w:rPr>
        <w:t>Le catalogue distingue les capacités annoncées de chaque moteur. La source seedée sert de verticale vérifiée.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6" name="Picture 36"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2"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2"/>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7" name="Picture 37"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3"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3"/>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8" name="Picture 38"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4"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4"/>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9" name="Picture 39"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5"/>
    </w:p>
    <w:p>
      <w:pPr>
        <w:keepLines/>
        <w:spacing w:after="180"/>
        <w:jc w:val="both"/>
      </w:pPr>
      <w:r>
        <w:rPr>
          <w:rFonts w:ascii="Times New Roman" w:hAnsi="Times New Roman"/>
          <w:b w:val="0"/>
          <w:i w:val="0"/>
          <w:color w:val="202124"/>
          <w:sz w:val="24"/>
        </w:rPr>
        <w:t>Les bascules distinguent attribution, activité d’équipe et changement d’état. Le digest quotidien possède sa propre heure et son fuseau. Une route d’organisation définit donc la livraison possible, tandis que ces préférences règlent ce que chaque personne souhaite recevoir.</w:t>
      </w:r>
    </w:p>
    <w:p>
      <w:pPr>
        <w:pStyle w:val="Heading3"/>
      </w:pPr>
      <w:bookmarkStart w:id="216" w:name="extra_4_4_4_3_Registre_de_gouvernance_"/>
      <w:r>
        <w:rPr>
          <w:rFonts w:ascii="Times New Roman" w:hAnsi="Times New Roman"/>
          <w:b/>
          <w:color w:val="202124"/>
          <w:sz w:val="25"/>
        </w:rPr>
        <w:t>4.4.4.3 Registre de gouvernance IA</w:t>
      </w:r>
      <w:bookmarkEnd w:id="216"/>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40" name="Picture 40"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7"/>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41" name="Picture 41"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8"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8"/>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2" name="Picture 42"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9"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9"/>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20" w:name="extra_4_4_4_4_Limites_du_prototype_de_"/>
      <w:r>
        <w:rPr>
          <w:rFonts w:ascii="Times New Roman" w:hAnsi="Times New Roman"/>
          <w:b/>
          <w:color w:val="202124"/>
          <w:sz w:val="25"/>
        </w:rPr>
        <w:t>4.4.4.4 Limites du prototype de gouvernance IA</w:t>
      </w:r>
      <w:bookmarkEnd w:id="220"/>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21" w:name="extra_4_4_4_5_Portail_staff"/>
      <w:r>
        <w:rPr>
          <w:rFonts w:ascii="Times New Roman" w:hAnsi="Times New Roman"/>
          <w:b/>
          <w:color w:val="202124"/>
          <w:sz w:val="25"/>
        </w:rPr>
        <w:t>4.4.4.5 Portail staff</w:t>
      </w:r>
      <w:bookmarkEnd w:id="221"/>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3" name="Picture 43"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2"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2"/>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4" name="Picture 44"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3"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3"/>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5" name="Picture 45"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4"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4"/>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6" name="Picture 46"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8"/>
                    <a:stretch>
                      <a:fillRect/>
                    </a:stretch>
                  </pic:blipFill>
                  <pic:spPr>
                    <a:xfrm>
                      <a:off x="0" y="0"/>
                      <a:ext cx="5688000" cy="3555000"/>
                    </a:xfrm>
                    <a:prstGeom prst="rect"/>
                  </pic:spPr>
                </pic:pic>
              </a:graphicData>
            </a:graphic>
          </wp:inline>
        </w:drawing>
      </w:r>
    </w:p>
    <w:p>
      <w:pPr>
        <w:pStyle w:val="Caption"/>
      </w:pPr>
      <w:bookmarkStart w:id="225"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5"/>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Il sert à éprouver le modèle de données et l’interface, pas à prouver une gouvernance industrielle.</w:t>
      </w:r>
    </w:p>
    <w:p>
      <w:pPr>
        <w:pStyle w:val="Heading3"/>
      </w:pPr>
      <w:bookmarkStart w:id="226" w:name="body_239"/>
      <w:r>
        <w:rPr>
          <w:rFonts w:ascii="Times New Roman" w:hAnsi="Times New Roman"/>
          <w:b/>
          <w:color w:val="202124"/>
          <w:sz w:val="25"/>
        </w:rPr>
        <w:t>4.4.5 Règles de présentation des captures</w:t>
      </w:r>
      <w:bookmarkEnd w:id="226"/>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7" w:name="body_247"/>
      <w:r>
        <w:rPr>
          <w:rFonts w:ascii="Times New Roman" w:hAnsi="Times New Roman"/>
          <w:b/>
          <w:color w:val="202124"/>
          <w:sz w:val="29"/>
        </w:rPr>
        <w:t>4.5 Tests et validation</w:t>
      </w:r>
      <w:bookmarkEnd w:id="227"/>
    </w:p>
    <w:p>
      <w:pPr>
        <w:pStyle w:val="Heading3"/>
      </w:pPr>
      <w:bookmarkStart w:id="228" w:name="extra_4_5_1_Strat_gie_de_test"/>
      <w:r>
        <w:rPr>
          <w:rFonts w:ascii="Times New Roman" w:hAnsi="Times New Roman"/>
          <w:b/>
          <w:color w:val="202124"/>
          <w:sz w:val="25"/>
        </w:rPr>
        <w:t>4.5.1 Stratégie de test</w:t>
      </w:r>
      <w:bookmarkEnd w:id="228"/>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9" w:name="extra_4_5_2_Sc_narios_fonctionnels"/>
      <w:r>
        <w:rPr>
          <w:rFonts w:ascii="Times New Roman" w:hAnsi="Times New Roman"/>
          <w:b/>
          <w:color w:val="202124"/>
          <w:sz w:val="25"/>
        </w:rPr>
        <w:t>4.5.2 Scénarios fonctionnels</w:t>
      </w:r>
      <w:bookmarkEnd w:id="229"/>
    </w:p>
    <w:p>
      <w:pPr>
        <w:pStyle w:val="Caption"/>
        <w:keepNext/>
        <w:spacing w:before="160" w:after="100"/>
        <w:jc w:val="left"/>
      </w:pPr>
      <w:bookmarkStart w:id="230"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30"/>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31" w:name="extra_4_5_3_R_sultats_et_interpr_tatio"/>
      <w:r>
        <w:rPr>
          <w:rFonts w:ascii="Times New Roman" w:hAnsi="Times New Roman"/>
          <w:b/>
          <w:color w:val="202124"/>
          <w:sz w:val="25"/>
        </w:rPr>
        <w:t>4.5.3 Résultats et interprétation</w:t>
      </w:r>
      <w:bookmarkEnd w:id="231"/>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Une suite avec dépendances simulées ne prouve pas qu’une transaction réelle fonctionne.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Elles ne deviennent pas, par glissement de vocabulaire, une validation totale.</w:t>
      </w:r>
    </w:p>
    <w:p>
      <w:pPr>
        <w:pStyle w:val="Heading2"/>
      </w:pPr>
      <w:bookmarkStart w:id="232" w:name="body_254"/>
      <w:r>
        <w:rPr>
          <w:rFonts w:ascii="Times New Roman" w:hAnsi="Times New Roman"/>
          <w:b/>
          <w:color w:val="202124"/>
          <w:sz w:val="29"/>
        </w:rPr>
        <w:t>4.6 Discussion des limites</w:t>
      </w:r>
      <w:bookmarkEnd w:id="232"/>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3" w:name="body_256"/>
      <w:r>
        <w:rPr>
          <w:rFonts w:ascii="Times New Roman" w:hAnsi="Times New Roman"/>
          <w:b/>
          <w:color w:val="202124"/>
          <w:sz w:val="29"/>
        </w:rPr>
        <w:t>4.7 Conclusion</w:t>
      </w:r>
      <w:bookmarkEnd w:id="233"/>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4" w:name="body_258"/>
      <w:r>
        <w:rPr>
          <w:rFonts w:ascii="Times New Roman" w:hAnsi="Times New Roman"/>
          <w:b/>
          <w:color w:val="202124"/>
          <w:sz w:val="38"/>
        </w:rPr>
        <w:t>CONCLUSION GÉNÉRALE ET PERSPECTIVES</w:t>
      </w:r>
      <w:bookmarkEnd w:id="234"/>
    </w:p>
    <w:p>
      <w:pPr>
        <w:pStyle w:val="Heading2"/>
      </w:pPr>
      <w:bookmarkStart w:id="235" w:name="body_259"/>
      <w:r>
        <w:rPr>
          <w:rFonts w:ascii="Times New Roman" w:hAnsi="Times New Roman"/>
          <w:b/>
          <w:color w:val="202124"/>
          <w:sz w:val="29"/>
        </w:rPr>
        <w:t>Cadre du travail</w:t>
      </w:r>
      <w:bookmarkEnd w:id="235"/>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6" w:name="body_261"/>
      <w:r>
        <w:rPr>
          <w:rFonts w:ascii="Times New Roman" w:hAnsi="Times New Roman"/>
          <w:b/>
          <w:color w:val="202124"/>
          <w:sz w:val="29"/>
        </w:rPr>
        <w:t>Synthèse des apports</w:t>
      </w:r>
      <w:bookmarkEnd w:id="236"/>
    </w:p>
    <w:p>
      <w:pPr>
        <w:spacing w:after="140"/>
        <w:jc w:val="both"/>
      </w:pPr>
      <w:r>
        <w:rPr>
          <w:rFonts w:ascii="Times New Roman" w:hAnsi="Times New Roman"/>
          <w:b w:val="0"/>
          <w:i w:val="0"/>
          <w:color w:val="202124"/>
          <w:sz w:val="24"/>
        </w:rPr>
        <w:t>Sur le plan technique, le projet relie quatre contraintes classiques d’un système data à une chaîne concrète. Le volume correspond aux agrégats. La variété est absorbée par les connecteurs. La vélocité passe par la file de tâches. La véracité s’appuie sur les profils, détecteurs, incidents et alertes. L’apport IA n’est donc pas un écran ajouté après coup. Il compare plusieurs méthodes de détection, puis produit une explication générative tenue à distance de la décision. Les capacités déclarées, états explicites, révisions immuables et résultats reproductibles forment une discipline de preuve. Des métriques éparses deviennent ainsi un parcours d’investigation lisible.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7" w:name="body_263"/>
      <w:r>
        <w:rPr>
          <w:rFonts w:ascii="Times New Roman" w:hAnsi="Times New Roman"/>
          <w:b/>
          <w:color w:val="202124"/>
          <w:sz w:val="29"/>
        </w:rPr>
        <w:t>Perspectives</w:t>
      </w:r>
      <w:bookmarkEnd w:id="237"/>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8" w:name="body_269"/>
      <w:r>
        <w:rPr>
          <w:rFonts w:ascii="Times New Roman" w:hAnsi="Times New Roman"/>
          <w:b/>
          <w:color w:val="202124"/>
          <w:sz w:val="38"/>
        </w:rPr>
        <w:t>RÉFÉRENCES</w:t>
      </w:r>
      <w:bookmarkEnd w:id="238"/>
    </w:p>
    <w:p>
      <w:pPr>
        <w:spacing w:after="100"/>
        <w:ind w:left="397" w:hanging="397"/>
        <w:jc w:val="left"/>
      </w:pPr>
      <w:r>
        <w:rPr>
          <w:rFonts w:ascii="Times New Roman" w:hAnsi="Times New Roman"/>
          <w:b w:val="0"/>
          <w:i w:val="0"/>
          <w:color w:val="202124"/>
          <w:sz w:val="19"/>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2026-08-21, dossier docs/evidence du projet.</w:t>
      </w:r>
    </w:p>
    <w:p>
      <w:pPr>
        <w:spacing w:after="100"/>
        <w:ind w:left="397" w:hanging="397"/>
        <w:jc w:val="left"/>
      </w:pPr>
      <w:r>
        <w:rPr>
          <w:rFonts w:ascii="Times New Roman" w:hAnsi="Times New Roman"/>
          <w:b w:val="0"/>
          <w:i w:val="0"/>
          <w:color w:val="202124"/>
          <w:sz w:val="19"/>
        </w:rPr>
        <w:t>[3] DataWatch, AI governance phase-two evidence,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SQuaRE, Data quality model, version confirmée en 2025.</w:t>
      </w:r>
    </w:p>
    <w:p>
      <w:pPr>
        <w:spacing w:after="100"/>
        <w:ind w:left="397" w:hanging="397"/>
        <w:jc w:val="left"/>
      </w:pPr>
      <w:r>
        <w:rPr>
          <w:rFonts w:ascii="Times New Roman" w:hAnsi="Times New Roman"/>
          <w:b w:val="0"/>
          <w:i w:val="0"/>
          <w:color w:val="202124"/>
          <w:sz w:val="19"/>
        </w:rPr>
        <w:t>[10] ISGA, École d’ingénieur, campus Casablanca, présentation du cycle et de la spécialisation Intelligence Artificielle et Big Data, consultée en septembre 2026. https://info.isga.ma/ecole-ingenieur-casablanca</w:t>
      </w:r>
    </w:p>
    <w:p>
      <w:pPr>
        <w:spacing w:after="100"/>
        <w:ind w:left="397" w:hanging="397"/>
        <w:jc w:val="left"/>
      </w:pPr>
      <w:r>
        <w:rPr>
          <w:rFonts w:ascii="Times New Roman" w:hAnsi="Times New Roman"/>
          <w:b w:val="0"/>
          <w:i w:val="0"/>
          <w:color w:val="202124"/>
          <w:sz w:val="19"/>
        </w:rPr>
        <w:t>[11] Great Expectations, Run Validations, documentation officielle, consultée en septembre 2026. https://docs.greatexpectations.io/docs/core/run_validations/</w:t>
      </w:r>
    </w:p>
    <w:p>
      <w:pPr>
        <w:spacing w:after="100"/>
        <w:ind w:left="397" w:hanging="397"/>
        <w:jc w:val="left"/>
      </w:pPr>
      <w:r>
        <w:rPr>
          <w:rFonts w:ascii="Times New Roman" w:hAnsi="Times New Roman"/>
          <w:b w:val="0"/>
          <w:i w:val="0"/>
          <w:color w:val="202124"/>
          <w:sz w:val="19"/>
        </w:rPr>
        <w:t>[12] Soda, SodaCL metrics and checks, documentation officielle, consultée en septembre 2026. https://docs.soda.io/soda-cl/metrics-and-checks.html</w:t>
      </w:r>
    </w:p>
    <w:p>
      <w:pPr>
        <w:spacing w:after="100"/>
        <w:ind w:left="397" w:hanging="397"/>
        <w:jc w:val="left"/>
      </w:pPr>
      <w:r>
        <w:rPr>
          <w:rFonts w:ascii="Times New Roman" w:hAnsi="Times New Roman"/>
          <w:b w:val="0"/>
          <w:i w:val="0"/>
          <w:color w:val="202124"/>
          <w:sz w:val="19"/>
        </w:rPr>
        <w:t>[13] Oyster, Who we are, présentation officielle de l’entreprise et de son organisation distribuée, consultée en septembre 2026. https://www.oysterhr.com/who-we-are</w:t>
      </w:r>
    </w:p>
    <w:p>
      <w:pPr>
        <w:spacing w:after="100"/>
        <w:ind w:left="397" w:hanging="397"/>
        <w:jc w:val="left"/>
      </w:pPr>
      <w:r>
        <w:rPr>
          <w:rFonts w:ascii="Times New Roman" w:hAnsi="Times New Roman"/>
          <w:b w:val="0"/>
          <w:i w:val="0"/>
          <w:color w:val="202124"/>
          <w:sz w:val="19"/>
        </w:rPr>
        <w:t>[14] Oyster, plateforme mondiale d’emploi, services et couverture géographique, consultée en septembre 2026. https://www.oysterhr.com/</w:t>
      </w:r>
    </w:p>
    <w:p>
      <w:pPr>
        <w:pStyle w:val="Heading1"/>
        <w:jc w:val="left"/>
        <w:pBdr>
          <w:bottom w:val="single" w:sz="14" w:space="6" w:color="B1202D"/>
        </w:pBdr>
      </w:pPr>
      <w:bookmarkStart w:id="239" w:name="body_279"/>
      <w:r>
        <w:rPr>
          <w:rFonts w:ascii="Times New Roman" w:hAnsi="Times New Roman"/>
          <w:b/>
          <w:color w:val="202124"/>
          <w:sz w:val="38"/>
        </w:rPr>
        <w:t>ANNEXES</w:t>
      </w:r>
      <w:bookmarkEnd w:id="239"/>
    </w:p>
    <w:p>
      <w:pPr>
        <w:pStyle w:val="Heading2"/>
      </w:pPr>
      <w:bookmarkStart w:id="240" w:name="body_280"/>
      <w:r>
        <w:rPr>
          <w:rFonts w:ascii="Times New Roman" w:hAnsi="Times New Roman"/>
          <w:b/>
          <w:color w:val="202124"/>
          <w:sz w:val="29"/>
        </w:rPr>
        <w:t>Annexe A, Procédure de démonstration</w:t>
      </w:r>
      <w:bookmarkEnd w:id="240"/>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41" w:name="body_286"/>
      <w:r>
        <w:rPr>
          <w:rFonts w:ascii="Times New Roman" w:hAnsi="Times New Roman"/>
          <w:b/>
          <w:color w:val="202124"/>
          <w:sz w:val="29"/>
        </w:rPr>
        <w:t>Annexe B, Indicateurs à interpréter avec prudence</w:t>
      </w:r>
      <w:bookmarkEnd w:id="241"/>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2" w:name="body_288"/>
      <w:r>
        <w:rPr>
          <w:rFonts w:ascii="Times New Roman" w:hAnsi="Times New Roman"/>
          <w:b/>
          <w:color w:val="202124"/>
          <w:sz w:val="29"/>
        </w:rPr>
        <w:t>Annexe C, Guide de captures d’écran pour la soutenance</w:t>
      </w:r>
      <w:bookmarkEnd w:id="242"/>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3" w:name="body_290"/>
      <w:r>
        <w:rPr>
          <w:rFonts w:ascii="Times New Roman" w:hAnsi="Times New Roman"/>
          <w:b/>
          <w:color w:val="202124"/>
          <w:sz w:val="25"/>
        </w:rPr>
        <w:t>C.1 Tableau de bord Opérations</w:t>
      </w:r>
      <w:bookmarkEnd w:id="243"/>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4" w:name="body_292"/>
      <w:r>
        <w:rPr>
          <w:rFonts w:ascii="Times New Roman" w:hAnsi="Times New Roman"/>
          <w:b/>
          <w:color w:val="202124"/>
          <w:sz w:val="25"/>
        </w:rPr>
        <w:t>C.2 Détail de l’incident orders</w:t>
      </w:r>
      <w:bookmarkEnd w:id="244"/>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5" w:name="body_294"/>
      <w:r>
        <w:rPr>
          <w:rFonts w:ascii="Times New Roman" w:hAnsi="Times New Roman"/>
          <w:b/>
          <w:color w:val="202124"/>
          <w:sz w:val="25"/>
        </w:rPr>
        <w:t>C.3 Routage d’alerte et gouvernance IA</w:t>
      </w:r>
      <w:bookmarkEnd w:id="245"/>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6" w:name="annex_d"/>
      <w:r>
        <w:rPr>
          <w:rFonts w:ascii="Times New Roman" w:hAnsi="Times New Roman"/>
          <w:b/>
          <w:color w:val="202124"/>
          <w:sz w:val="29"/>
        </w:rPr>
        <w:t>Annexe D : Repères techniques et reproduction</w:t>
      </w:r>
      <w:bookmarkEnd w:id="246"/>
    </w:p>
    <w:p>
      <w:pPr>
        <w:spacing w:after="140"/>
        <w:jc w:val="both"/>
      </w:pPr>
      <w:r>
        <w:rPr>
          <w:rFonts w:ascii="Times New Roman" w:hAnsi="Times New Roman"/>
          <w:b w:val="0"/>
          <w:i w:val="0"/>
          <w:color w:val="202124"/>
          <w:sz w:val="24"/>
        </w:rPr>
        <w:t>Cette annexe conserve uniquement les chiffres nécessaires pour relire la démonstration et reproduire le rapport. Le modèle relationnel complet est déjà présenté par les figures 3.15 à 3.18. Répéter ici les colonnes de chacune des 29 tables alourdirait le document sans améliorer l’analyse.</w:t>
      </w:r>
    </w:p>
    <w:p>
      <w:pPr>
        <w:pStyle w:val="Caption"/>
        <w:keepNext/>
        <w:spacing w:before="160" w:after="100"/>
        <w:jc w:val="left"/>
      </w:pPr>
      <w:bookmarkStart w:id="247"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7"/>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5"/>
        </w:rPr>
        <w:t>D.1 Commandes de reproduction</w:t>
      </w:r>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vues du rapport. Les identifiants de démonstration restent dans le guide local.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5"/>
      <w:footerReference w:type="default" r:id="rId16"/>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DataWatch</dc:title>
  <dc:subject>Conception et réalisation d’une plateforme SaaS de surveillance de la qualité des données</dc:subject>
  <dc:creator>Mounir Gaiby</dc:creator>
  <cp:keywords>DataWatch, qualité des données, SaaS, intelligence artificielle, ISGA, Oyster</cp:keywords>
  <dc:description>Rapport de Projet de Fin d’Études, ISGA Casablanca</dc:description>
  <cp:lastModifiedBy/>
  <cp:revision>1</cp:revision>
  <dcterms:created xsi:type="dcterms:W3CDTF">2013-12-23T23:15:00Z</dcterms:created>
  <dcterms:modified xsi:type="dcterms:W3CDTF">2013-12-23T23:15:00Z</dcterms:modified>
  <cp:category/>
</cp:coreProperties>
</file>