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000" w:type="dxa"/>
        <w:gridCol w:w="4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b w:val="1"/>
                <w:bCs w:val="1"/>
              </w:rPr>
              <w:t xml:space="preserve">AMBALAN PRAMUKA</w:t>
            </w:r>
          </w:p>
        </w:tc>
        <w:tc>
          <w:tcPr>
            <w:tcW w:w="4000" w:type="dxa"/>
            <w:noWrap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Nomor : ${nomor_surat}</w:t>
            </w:r>
          </w:p>
        </w:tc>
      </w:tr>
    </w:tbl>
    <w:p/>
    <w:p>
      <w:pPr>
        <w:jc w:val="center"/>
        <w:spacing w:after="4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UPT SMA NEGERI 2 MAROS</w:t>
      </w:r>
    </w:p>
    <w:p>
      <w:pPr>
        <w:jc w:val="center"/>
        <w:spacing w:after="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Kecamatan Turikale, Kabupaten Maros</w:t>
      </w:r>
    </w:p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Telepon 0852-4111-2233 | Email ${email_ambalan}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KEPRAMUKAAN</w:t>
      </w:r>
    </w:p>
    <w:p>
      <w:pPr>
        <w:jc w:val="center"/>
        <w:spacing w:after="20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SURAT KEPUTUSAN</w:t>
      </w:r>
    </w:p>
    <w:p>
      <w:pPr>
        <w:spacing w:after="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Nomor : ${nomor_surat}</w:t>
      </w:r>
    </w:p>
    <w:p>
      <w:pPr>
        <w:spacing w:after="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Lampiran : 1 (satu) berkas</w:t>
      </w:r>
    </w:p>
    <w:p>
      <w:pPr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Perihal : ${perihal}</w:t>
      </w:r>
    </w:p>
    <w:tbl>
      <w:tblGrid>
        <w:gridCol w:w="1800" w:type="dxa"/>
        <w:gridCol w:w="7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8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 Pradana Putra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${nama_pradana_putra}</w:t>
            </w:r>
          </w:p>
        </w:tc>
      </w:tr>
      <w:tr>
        <w:trPr/>
        <w:tc>
          <w:tcPr>
            <w:tcW w:w="18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NIS / NISN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${nis_pradana_putra} / ${nisn_pradana_putra}</w:t>
            </w:r>
          </w:p>
        </w:tc>
      </w:tr>
      <w:tr>
        <w:trPr/>
        <w:tc>
          <w:tcPr>
            <w:tcW w:w="18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 Pradana Putri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${nama_pradana_putri}</w:t>
            </w:r>
          </w:p>
        </w:tc>
      </w:tr>
      <w:tr>
        <w:trPr/>
        <w:tc>
          <w:tcPr>
            <w:tcW w:w="18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NIS / NISN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${nis_pradana_putri} / ${nisn_pradana_putri}</w:t>
            </w:r>
          </w:p>
        </w:tc>
      </w:tr>
      <w:tr>
        <w:trPr/>
        <w:tc>
          <w:tcPr>
            <w:tcW w:w="18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Pembina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${nama_pembina} (NIP. ${nip_pembina})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Berdasarkan foregoing hal, momba Ambalan menetapkan:</w:t>
      </w:r>
    </w:p>
    <w:p>
      <w:pPr>
        <w:jc w:val="both"/>
        <w:ind w:left="480" w:right="0" w:firstLine="0" w:hanging="0"/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${isi_surat}</w:t>
      </w:r>
    </w:p>
    <w:p>
      <w:pPr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Keputusan ini mulai berlaku sejak tanggal ${tanggal}.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Friendship, Loyalty, Patriotism</w:t>
      </w:r>
    </w:p>
    <w:tbl>
      <w:tblGrid>
        <w:gridCol w:w="5000" w:type="dxa"/>
        <w:gridCol w:w="4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Pradana Putra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${nama_pradana_putra}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NIP. ${nip_pengirim}</w:t>
            </w:r>
          </w:p>
        </w:tc>
      </w:tr>
    </w:tbl>
    <w:p>
      <w:pPr>
        <w:jc w:val="center"/>
        <w:spacing w:before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Maros, ${tanggal}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2026-10-03T05:39:48+00:00</dcterms:created>
  <dcterms:modified xsi:type="dcterms:W3CDTF">2026-10-03T05:39:48+00:00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