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Times New Roman" w:hAnsi="Times New Roman"/>
          <w:b/>
          <w:i w:val="0"/>
          <w:sz w:val="32"/>
        </w:rPr>
        <w:t>ERGON: A Quantitative Analysis of Ergativity</w:t>
        <w:br/>
        <w:t>Across 180 Languages</w:t>
      </w:r>
    </w:p>
    <w:p>
      <w:pPr>
        <w:jc w:val="center"/>
      </w:pPr>
      <w:r>
        <w:rPr>
          <w:rFonts w:ascii="Times New Roman" w:hAnsi="Times New Roman"/>
          <w:b/>
          <w:i w:val="0"/>
          <w:sz w:val="24"/>
        </w:rPr>
        <w:t>Roberto Zariquiey</w:t>
        <w:br/>
      </w:r>
      <w:r>
        <w:rPr>
          <w:rFonts w:ascii="Times New Roman" w:hAnsi="Times New Roman"/>
          <w:b w:val="0"/>
          <w:i/>
          <w:sz w:val="22"/>
        </w:rPr>
        <w:t>ERGON Database Project — 2026</w:t>
      </w:r>
    </w:p>
    <w:p>
      <w:r>
        <w:br w:type="page"/>
      </w:r>
    </w:p>
    <w:p>
      <w:pPr>
        <w:pStyle w:val="Heading1"/>
      </w:pPr>
      <w:r>
        <w:rPr>
          <w:rFonts w:ascii="Times New Roman" w:hAnsi="Times New Roman"/>
          <w:color w:val="000000"/>
        </w:rPr>
        <w:t>Abstract</w:t>
      </w:r>
    </w:p>
    <w:p>
      <w:pPr>
        <w:spacing w:after="120"/>
        <w:ind w:left="567" w:right="567"/>
        <w:jc w:val="both"/>
      </w:pPr>
      <w:r>
        <w:rPr>
          <w:rFonts w:ascii="Times New Roman" w:hAnsi="Times New Roman"/>
          <w:b w:val="0"/>
          <w:i/>
          <w:sz w:val="20"/>
        </w:rPr>
        <w:t>This report presents a systematic quantitative analysis of ergativity based on ERGON, a cross-linguistic database of 180 ergative languages across 41 language families, coded for 24 binary features (GB409_1–GB409_24) related to ergative case marking. Seven analyses are reported: (1) total ergativity scoring against a fully-ergative hypothesis template; (2) conformance to the Silverstein animacy/person hierarchy; (3) split ergativity patterns across aspect, tense, mood, and realis; (4) pairwise feature correlations using the phi coefficient; (5) individual feature predictors of overall ergativity score; (6) ergativity dimensionality — how many conditioning domains a language exploits; and (7) phylogenetic signal in feature distributions. Ergative languages score very high on total ergativity (mean = 0.855, SD = 0.144), the Silverstein hierarchy is overwhelmingly respected (92.5% conformance), split ergativity in unexpected directions is nearly absent (&lt; 2% per domain), and tense/aspect/mood/realis features are tightly intercorrelated (φ &gt; 0.97) and the strongest individual predictors of ergativity score. Phylogenetic signal is moderate-to-large (η² ≈ 0.41), confirming that ergativity is partly but not entirely genealogically determined.</w:t>
      </w:r>
    </w:p>
    <w:p/>
    <w:p>
      <w:pPr>
        <w:pStyle w:val="Heading1"/>
      </w:pPr>
      <w:r>
        <w:rPr>
          <w:rFonts w:ascii="Times New Roman" w:hAnsi="Times New Roman"/>
          <w:color w:val="000000"/>
        </w:rPr>
        <w:t>1. Introduction</w:t>
      </w:r>
    </w:p>
    <w:p>
      <w:pPr>
        <w:spacing w:after="80"/>
        <w:ind w:firstLine="425"/>
        <w:jc w:val="both"/>
      </w:pPr>
      <w:r>
        <w:rPr>
          <w:rFonts w:ascii="Times New Roman" w:hAnsi="Times New Roman"/>
          <w:b w:val="0"/>
          <w:i w:val="0"/>
          <w:sz w:val="22"/>
        </w:rPr>
        <w:t>Ergativity — the grammatical pattern in which the agent of an intransitive verb (S) is treated like the patient of a transitive verb (P) rather than like the agent (A) — is one of the most theoretically debated phenomena in linguistic typology. Despite a rich tradition of qualitative description (Dixon 1994; Comrie 1978; Manning 1996), large-scale quantitative studies of ergativity remain scarce, largely due to the absence of standardised cross-linguistic databases covering the full range of ergative phenomena.</w:t>
      </w:r>
    </w:p>
    <w:p>
      <w:pPr>
        <w:spacing w:after="80"/>
        <w:ind w:firstLine="425"/>
        <w:jc w:val="both"/>
      </w:pPr>
      <w:r>
        <w:rPr>
          <w:rFonts w:ascii="Times New Roman" w:hAnsi="Times New Roman"/>
          <w:b w:val="0"/>
          <w:i w:val="0"/>
          <w:sz w:val="22"/>
        </w:rPr>
        <w:t>ERGON addresses this gap. It codes 24 binary features for 180 ergative languages, organized in Cross-Linguistic Data Format (CLDF; Forkel et al. 2018) for full reproducibility. The features cover: the presence of an overt absolutive marker; ergative alignment on first, second, and third person pronouns and on full NPs; ergative alignment conditioned by aspect, tense, mood, realis status, agentivity, topicality, animacy, and clause type; and the formal overlap of the ergative marker with the genitive or instrumental.</w:t>
      </w:r>
    </w:p>
    <w:p>
      <w:pPr>
        <w:spacing w:after="80"/>
        <w:ind w:firstLine="425"/>
        <w:jc w:val="both"/>
      </w:pPr>
      <w:r>
        <w:rPr>
          <w:rFonts w:ascii="Times New Roman" w:hAnsi="Times New Roman"/>
          <w:b w:val="0"/>
          <w:i w:val="0"/>
          <w:sz w:val="22"/>
        </w:rPr>
        <w:t>This report presents results from seven quantitative analyses conducted on the current ERGON release. Our goals are both descriptive — to establish the typological landscape of ergativity as encoded in ERGON — and theoretical, testing specific hypotheses about hierarchy effects, split patterns, feature co-occurrence, and phylogenetic signal.</w:t>
      </w:r>
    </w:p>
    <w:p>
      <w:pPr>
        <w:pStyle w:val="Heading1"/>
      </w:pPr>
      <w:r>
        <w:rPr>
          <w:rFonts w:ascii="Times New Roman" w:hAnsi="Times New Roman"/>
          <w:color w:val="000000"/>
        </w:rPr>
        <w:t>2. Data</w:t>
      </w:r>
    </w:p>
    <w:p>
      <w:pPr>
        <w:spacing w:after="80"/>
        <w:ind w:firstLine="425"/>
        <w:jc w:val="both"/>
      </w:pPr>
      <w:r>
        <w:rPr>
          <w:rFonts w:ascii="Times New Roman" w:hAnsi="Times New Roman"/>
          <w:b w:val="0"/>
          <w:i w:val="0"/>
          <w:sz w:val="22"/>
        </w:rPr>
        <w:t>ERGON currently covers 180 ergative languages drawn from 41 language families across all inhabited continents. The database includes 4,057 coded binary values (0 = feature absent, 1 = feature present) across the 24 GB409 features, after excluding missing-value entries coded as '?'. All data are stored in CLDF StructureDataset format, with separate tables for languages, parameters, and values, allowing straightforward integration with other CLDF-compatible resources such as Glottolog and WALS.</w:t>
      </w:r>
    </w:p>
    <w:p>
      <w:pPr>
        <w:pStyle w:val="Heading1"/>
      </w:pPr>
      <w:r>
        <w:rPr>
          <w:rFonts w:ascii="Times New Roman" w:hAnsi="Times New Roman"/>
          <w:color w:val="000000"/>
        </w:rPr>
        <w:t>3. Analysis 1: Total Ergativity Score</w:t>
      </w:r>
    </w:p>
    <w:p>
      <w:pPr>
        <w:pStyle w:val="Heading2"/>
      </w:pPr>
      <w:r>
        <w:rPr>
          <w:rFonts w:ascii="Times New Roman" w:hAnsi="Times New Roman"/>
          <w:color w:val="000000"/>
        </w:rPr>
        <w:t>3.1 Method</w:t>
      </w:r>
    </w:p>
    <w:p>
      <w:pPr>
        <w:spacing w:after="80"/>
        <w:ind w:firstLine="425"/>
        <w:jc w:val="both"/>
      </w:pPr>
      <w:r>
        <w:rPr>
          <w:rFonts w:ascii="Times New Roman" w:hAnsi="Times New Roman"/>
          <w:b w:val="0"/>
          <w:i w:val="0"/>
          <w:sz w:val="22"/>
        </w:rPr>
        <w:t>Following Greenhill et al. (2010) and Blasi et al. (2019), we define a 'fully ergative' hypothesis template specifying the expected value (0 or 1) for each feature under full ergativity. The template was derived from an expert-annotated coding guide. For each language, we compute an ergativity score as the proportion of template-relevant features for which the language matches the prediction, restricted to languages with data on at least 12 of the relevant features. This yields a continuous score in [0, 1].</w:t>
      </w:r>
    </w:p>
    <w:p>
      <w:pPr>
        <w:pStyle w:val="Heading2"/>
      </w:pPr>
      <w:r>
        <w:rPr>
          <w:rFonts w:ascii="Times New Roman" w:hAnsi="Times New Roman"/>
          <w:color w:val="000000"/>
        </w:rPr>
        <w:t>3.2 Results</w:t>
      </w:r>
    </w:p>
    <w:p>
      <w:pPr>
        <w:spacing w:after="80"/>
        <w:ind w:firstLine="425"/>
        <w:jc w:val="both"/>
      </w:pPr>
      <w:r>
        <w:rPr>
          <w:rFonts w:ascii="Times New Roman" w:hAnsi="Times New Roman"/>
          <w:b w:val="0"/>
          <w:i w:val="0"/>
          <w:sz w:val="22"/>
        </w:rPr>
        <w:t>169 languages had sufficient data for scoring. Ergativity scores are high overall (M = 0.855, SD = 0.144, Mdn = 0.900), confirming that ERGON languages are prototypically ergative across the full range of coded features. Sixteen languages achieved a perfect score of 1.0 — ergative marking present across all coded features — including Guiqiong, Dzongkha, Chukchi, Coeur d'Alene, and Kalkatungu.</w:t>
      </w:r>
    </w:p>
    <w:p>
      <w:pPr>
        <w:spacing w:after="80"/>
        <w:ind w:firstLine="425"/>
        <w:jc w:val="both"/>
      </w:pPr>
      <w:r>
        <w:rPr>
          <w:rFonts w:ascii="Times New Roman" w:hAnsi="Times New Roman"/>
          <w:b w:val="0"/>
          <w:i w:val="0"/>
          <w:sz w:val="22"/>
        </w:rPr>
        <w:t>At the family level, Pama-Nyungan shows the highest mean ergativity (M = 0.891, n = 21), followed by Trans-Himalayan (M = 0.853, n = 42) and Eskimo-Aleut (M = 0.844, n = 3). Austronesian languages show the greatest internal heterogeneity and the lowest mean among well-represented families (M = 0.677, n = 31), reflecting the typological diversity within this large genealogical unit. Indo-European (M = 0.805) and Nakh-Daghestanian (M = 0.803) also pattern below the overall mean.</w:t>
      </w:r>
    </w:p>
    <w:p>
      <w:pPr>
        <w:spacing w:before="160"/>
        <w:jc w:val="center"/>
      </w:pPr>
      <w:r>
        <w:drawing>
          <wp:inline xmlns:a="http://schemas.openxmlformats.org/drawingml/2006/main" xmlns:pic="http://schemas.openxmlformats.org/drawingml/2006/picture">
            <wp:extent cx="4754880" cy="2648288"/>
            <wp:docPr id="1" name="Picture 1"/>
            <wp:cNvGraphicFramePr>
              <a:graphicFrameLocks noChangeAspect="1"/>
            </wp:cNvGraphicFramePr>
            <a:graphic>
              <a:graphicData uri="http://schemas.openxmlformats.org/drawingml/2006/picture">
                <pic:pic>
                  <pic:nvPicPr>
                    <pic:cNvPr id="0" name="fig1_score_distribution.png"/>
                    <pic:cNvPicPr/>
                  </pic:nvPicPr>
                  <pic:blipFill>
                    <a:blip r:embed="rId9"/>
                    <a:stretch>
                      <a:fillRect/>
                    </a:stretch>
                  </pic:blipFill>
                  <pic:spPr>
                    <a:xfrm>
                      <a:off x="0" y="0"/>
                      <a:ext cx="4754880" cy="2648288"/>
                    </a:xfrm>
                    <a:prstGeom prst="rect"/>
                  </pic:spPr>
                </pic:pic>
              </a:graphicData>
            </a:graphic>
          </wp:inline>
        </w:drawing>
      </w:r>
    </w:p>
    <w:p>
      <w:pPr>
        <w:spacing w:before="40" w:after="200"/>
        <w:jc w:val="center"/>
      </w:pPr>
      <w:r>
        <w:rPr>
          <w:rFonts w:ascii="Times New Roman" w:hAnsi="Times New Roman"/>
          <w:b w:val="0"/>
          <w:i/>
          <w:sz w:val="18"/>
        </w:rPr>
        <w:t>Figure 1. Distribution of ergativity scores across 169 ergative languages with sufficient data. Dashed line = mean (0.855); dotted line = median (0.900).</w:t>
      </w:r>
    </w:p>
    <w:p>
      <w:pPr>
        <w:spacing w:before="160"/>
        <w:jc w:val="center"/>
      </w:pPr>
      <w:r>
        <w:drawing>
          <wp:inline xmlns:a="http://schemas.openxmlformats.org/drawingml/2006/main" xmlns:pic="http://schemas.openxmlformats.org/drawingml/2006/picture">
            <wp:extent cx="4114800" cy="5156522"/>
            <wp:docPr id="2" name="Picture 2"/>
            <wp:cNvGraphicFramePr>
              <a:graphicFrameLocks noChangeAspect="1"/>
            </wp:cNvGraphicFramePr>
            <a:graphic>
              <a:graphicData uri="http://schemas.openxmlformats.org/drawingml/2006/picture">
                <pic:pic>
                  <pic:nvPicPr>
                    <pic:cNvPr id="0" name="fig2_top30.png"/>
                    <pic:cNvPicPr/>
                  </pic:nvPicPr>
                  <pic:blipFill>
                    <a:blip r:embed="rId10"/>
                    <a:stretch>
                      <a:fillRect/>
                    </a:stretch>
                  </pic:blipFill>
                  <pic:spPr>
                    <a:xfrm>
                      <a:off x="0" y="0"/>
                      <a:ext cx="4114800" cy="5156522"/>
                    </a:xfrm>
                    <a:prstGeom prst="rect"/>
                  </pic:spPr>
                </pic:pic>
              </a:graphicData>
            </a:graphic>
          </wp:inline>
        </w:drawing>
      </w:r>
    </w:p>
    <w:p>
      <w:pPr>
        <w:spacing w:before="40" w:after="200"/>
        <w:jc w:val="center"/>
      </w:pPr>
      <w:r>
        <w:rPr>
          <w:rFonts w:ascii="Times New Roman" w:hAnsi="Times New Roman"/>
          <w:b w:val="0"/>
          <w:i/>
          <w:sz w:val="18"/>
        </w:rPr>
        <w:t>Figure 2. The 30 highest-scoring languages in ERGON, annotated by family.</w:t>
      </w:r>
    </w:p>
    <w:p>
      <w:pPr>
        <w:spacing w:before="160"/>
        <w:jc w:val="center"/>
      </w:pPr>
      <w:r>
        <w:drawing>
          <wp:inline xmlns:a="http://schemas.openxmlformats.org/drawingml/2006/main" xmlns:pic="http://schemas.openxmlformats.org/drawingml/2006/picture">
            <wp:extent cx="5029200" cy="2998209"/>
            <wp:docPr id="3" name="Picture 3"/>
            <wp:cNvGraphicFramePr>
              <a:graphicFrameLocks noChangeAspect="1"/>
            </wp:cNvGraphicFramePr>
            <a:graphic>
              <a:graphicData uri="http://schemas.openxmlformats.org/drawingml/2006/picture">
                <pic:pic>
                  <pic:nvPicPr>
                    <pic:cNvPr id="0" name="fig3_families.png"/>
                    <pic:cNvPicPr/>
                  </pic:nvPicPr>
                  <pic:blipFill>
                    <a:blip r:embed="rId11"/>
                    <a:stretch>
                      <a:fillRect/>
                    </a:stretch>
                  </pic:blipFill>
                  <pic:spPr>
                    <a:xfrm>
                      <a:off x="0" y="0"/>
                      <a:ext cx="5029200" cy="2998209"/>
                    </a:xfrm>
                    <a:prstGeom prst="rect"/>
                  </pic:spPr>
                </pic:pic>
              </a:graphicData>
            </a:graphic>
          </wp:inline>
        </w:drawing>
      </w:r>
    </w:p>
    <w:p>
      <w:pPr>
        <w:spacing w:before="40" w:after="200"/>
        <w:jc w:val="center"/>
      </w:pPr>
      <w:r>
        <w:rPr>
          <w:rFonts w:ascii="Times New Roman" w:hAnsi="Times New Roman"/>
          <w:b w:val="0"/>
          <w:i/>
          <w:sz w:val="18"/>
        </w:rPr>
        <w:t>Figure 3. Ergativity score distributions by language family (families with ≥ 3 languages). Red dashed line = overall mean (0.855).</w:t>
      </w:r>
    </w:p>
    <w:p>
      <w:pPr>
        <w:spacing w:before="160"/>
        <w:jc w:val="center"/>
      </w:pPr>
      <w:r>
        <w:drawing>
          <wp:inline xmlns:a="http://schemas.openxmlformats.org/drawingml/2006/main" xmlns:pic="http://schemas.openxmlformats.org/drawingml/2006/picture">
            <wp:extent cx="5029200" cy="2489200"/>
            <wp:docPr id="4" name="Picture 4"/>
            <wp:cNvGraphicFramePr>
              <a:graphicFrameLocks noChangeAspect="1"/>
            </wp:cNvGraphicFramePr>
            <a:graphic>
              <a:graphicData uri="http://schemas.openxmlformats.org/drawingml/2006/picture">
                <pic:pic>
                  <pic:nvPicPr>
                    <pic:cNvPr id="0" name="fig4_feature_profile.png"/>
                    <pic:cNvPicPr/>
                  </pic:nvPicPr>
                  <pic:blipFill>
                    <a:blip r:embed="rId12"/>
                    <a:stretch>
                      <a:fillRect/>
                    </a:stretch>
                  </pic:blipFill>
                  <pic:spPr>
                    <a:xfrm>
                      <a:off x="0" y="0"/>
                      <a:ext cx="5029200" cy="2489200"/>
                    </a:xfrm>
                    <a:prstGeom prst="rect"/>
                  </pic:spPr>
                </pic:pic>
              </a:graphicData>
            </a:graphic>
          </wp:inline>
        </w:drawing>
      </w:r>
    </w:p>
    <w:p>
      <w:pPr>
        <w:spacing w:before="40" w:after="200"/>
        <w:jc w:val="center"/>
      </w:pPr>
      <w:r>
        <w:rPr>
          <w:rFonts w:ascii="Times New Roman" w:hAnsi="Times New Roman"/>
          <w:b w:val="0"/>
          <w:i/>
          <w:sz w:val="18"/>
        </w:rPr>
        <w:t>Figure 4. Proportion of ergative languages with each feature coded as 1 (present).</w:t>
      </w:r>
    </w:p>
    <w:p>
      <w:pPr>
        <w:pStyle w:val="Heading1"/>
      </w:pPr>
      <w:r>
        <w:rPr>
          <w:rFonts w:ascii="Times New Roman" w:hAnsi="Times New Roman"/>
          <w:color w:val="000000"/>
        </w:rPr>
        <w:t>4. Analysis 2: Silverstein Animacy/Person Hierarchy</w:t>
      </w:r>
    </w:p>
    <w:p>
      <w:pPr>
        <w:pStyle w:val="Heading2"/>
      </w:pPr>
      <w:r>
        <w:rPr>
          <w:rFonts w:ascii="Times New Roman" w:hAnsi="Times New Roman"/>
          <w:color w:val="000000"/>
        </w:rPr>
        <w:t>4.1 Method</w:t>
      </w:r>
    </w:p>
    <w:p>
      <w:pPr>
        <w:spacing w:after="80"/>
        <w:ind w:firstLine="425"/>
        <w:jc w:val="both"/>
      </w:pPr>
      <w:r>
        <w:rPr>
          <w:rFonts w:ascii="Times New Roman" w:hAnsi="Times New Roman"/>
          <w:b w:val="0"/>
          <w:i w:val="0"/>
          <w:sz w:val="22"/>
        </w:rPr>
        <w:t>The Silverstein hierarchy (Silverstein 1976; Dixon 1979) predicts that ergative case marking should form an implicational scale across person/animacy: if a language marks the ergative on a category higher on the hierarchy (towards 1st person), it should also mark it on all lower categories (towards full NPs). ERGON features GB409_2–GB409_5 encode ergative marking on first person, second person, third person, and full NPs respectively. We classify each language into one of five valid patterns or as a hierarchy violation.</w:t>
      </w:r>
    </w:p>
    <w:p>
      <w:pPr>
        <w:pStyle w:val="Heading2"/>
      </w:pPr>
      <w:r>
        <w:rPr>
          <w:rFonts w:ascii="Times New Roman" w:hAnsi="Times New Roman"/>
          <w:color w:val="000000"/>
        </w:rPr>
        <w:t>4.2 Results</w:t>
      </w:r>
    </w:p>
    <w:p>
      <w:pPr>
        <w:spacing w:after="80"/>
        <w:ind w:firstLine="425"/>
        <w:jc w:val="both"/>
      </w:pPr>
      <w:r>
        <w:rPr>
          <w:rFonts w:ascii="Times New Roman" w:hAnsi="Times New Roman"/>
          <w:b w:val="0"/>
          <w:i w:val="0"/>
          <w:sz w:val="22"/>
        </w:rPr>
        <w:t>Of 160 ergative languages with complete data on all four features, 148 (92.5%) conform to the Silverstein hierarchy. The most common pattern is hier4 — ergative marking across all persons and NPs — attested in 103 languages (64.4%). Hier3 (NPs only) is the next most common (23 languages, 14.4%), followed by hier2 (3rd person + NPs, n = 16, 10.0%) and hier1 (2nd–3rd person + NPs, n = 4, 2.5%). Two languages show no ergative person marking.</w:t>
      </w:r>
    </w:p>
    <w:p>
      <w:pPr>
        <w:spacing w:after="80"/>
        <w:ind w:firstLine="425"/>
        <w:jc w:val="both"/>
      </w:pPr>
      <w:r>
        <w:rPr>
          <w:rFonts w:ascii="Times New Roman" w:hAnsi="Times New Roman"/>
          <w:b w:val="0"/>
          <w:i w:val="0"/>
          <w:sz w:val="22"/>
        </w:rPr>
        <w:t>Twelve languages (7.5%) violate the hierarchy. The most common violation pattern is [1,1,1,0] — ergative on all persons but not on full NPs — found in three Austronesian languages (Pitu Ulunna Salu, Bugis, Mag-anchi Agta) and one Pama-Nyungan language (Narungga). Kabardian (Northwest Caucasian), Hunzib (Nakh-Daghestanian), and Japhug (Trans-Himalayan) show pattern [0,0,1,0] — 3rd person only, skipping NPs. Karitiana (Tupian) is the most extreme violator: [1,0,0,0] — ergative only on 1st person.</w:t>
      </w:r>
    </w:p>
    <w:p>
      <w:pPr>
        <w:spacing w:before="160"/>
        <w:jc w:val="center"/>
      </w:pPr>
      <w:r>
        <w:drawing>
          <wp:inline xmlns:a="http://schemas.openxmlformats.org/drawingml/2006/main" xmlns:pic="http://schemas.openxmlformats.org/drawingml/2006/picture">
            <wp:extent cx="5303520" cy="2490039"/>
            <wp:docPr id="5" name="Picture 5"/>
            <wp:cNvGraphicFramePr>
              <a:graphicFrameLocks noChangeAspect="1"/>
            </wp:cNvGraphicFramePr>
            <a:graphic>
              <a:graphicData uri="http://schemas.openxmlformats.org/drawingml/2006/picture">
                <pic:pic>
                  <pic:nvPicPr>
                    <pic:cNvPr id="0" name="fig5_silverstein_patterns.png"/>
                    <pic:cNvPicPr/>
                  </pic:nvPicPr>
                  <pic:blipFill>
                    <a:blip r:embed="rId13"/>
                    <a:stretch>
                      <a:fillRect/>
                    </a:stretch>
                  </pic:blipFill>
                  <pic:spPr>
                    <a:xfrm>
                      <a:off x="0" y="0"/>
                      <a:ext cx="5303520" cy="2490039"/>
                    </a:xfrm>
                    <a:prstGeom prst="rect"/>
                  </pic:spPr>
                </pic:pic>
              </a:graphicData>
            </a:graphic>
          </wp:inline>
        </w:drawing>
      </w:r>
    </w:p>
    <w:p>
      <w:pPr>
        <w:spacing w:before="40" w:after="200"/>
        <w:jc w:val="center"/>
      </w:pPr>
      <w:r>
        <w:rPr>
          <w:rFonts w:ascii="Times New Roman" w:hAnsi="Times New Roman"/>
          <w:b w:val="0"/>
          <w:i/>
          <w:sz w:val="18"/>
        </w:rPr>
        <w:t>Figure 5. Left: distribution of Silverstein hierarchy patterns among ergative languages. Right: implicational scale diagram with n and % for each valid pattern.</w:t>
      </w:r>
    </w:p>
    <w:p>
      <w:pPr>
        <w:spacing w:before="160"/>
        <w:jc w:val="center"/>
      </w:pPr>
      <w:r>
        <w:drawing>
          <wp:inline xmlns:a="http://schemas.openxmlformats.org/drawingml/2006/main" xmlns:pic="http://schemas.openxmlformats.org/drawingml/2006/picture">
            <wp:extent cx="5303520" cy="2014515"/>
            <wp:docPr id="6" name="Picture 6"/>
            <wp:cNvGraphicFramePr>
              <a:graphicFrameLocks noChangeAspect="1"/>
            </wp:cNvGraphicFramePr>
            <a:graphic>
              <a:graphicData uri="http://schemas.openxmlformats.org/drawingml/2006/picture">
                <pic:pic>
                  <pic:nvPicPr>
                    <pic:cNvPr id="0" name="fig6_violations.png"/>
                    <pic:cNvPicPr/>
                  </pic:nvPicPr>
                  <pic:blipFill>
                    <a:blip r:embed="rId14"/>
                    <a:stretch>
                      <a:fillRect/>
                    </a:stretch>
                  </pic:blipFill>
                  <pic:spPr>
                    <a:xfrm>
                      <a:off x="0" y="0"/>
                      <a:ext cx="5303520" cy="2014515"/>
                    </a:xfrm>
                    <a:prstGeom prst="rect"/>
                  </pic:spPr>
                </pic:pic>
              </a:graphicData>
            </a:graphic>
          </wp:inline>
        </w:drawing>
      </w:r>
    </w:p>
    <w:p>
      <w:pPr>
        <w:spacing w:before="40" w:after="200"/>
        <w:jc w:val="center"/>
      </w:pPr>
      <w:r>
        <w:rPr>
          <w:rFonts w:ascii="Times New Roman" w:hAnsi="Times New Roman"/>
          <w:b w:val="0"/>
          <w:i/>
          <w:sz w:val="18"/>
        </w:rPr>
        <w:t>Figure 6. Left: violation rates by family (families ≥ 3 languages). Right: violation pattern types [1st, 2nd, 3rd, NPs].</w:t>
      </w:r>
    </w:p>
    <w:p>
      <w:pPr>
        <w:spacing w:before="160"/>
        <w:jc w:val="center"/>
      </w:pPr>
      <w:r>
        <w:drawing>
          <wp:inline xmlns:a="http://schemas.openxmlformats.org/drawingml/2006/main" xmlns:pic="http://schemas.openxmlformats.org/drawingml/2006/picture">
            <wp:extent cx="5486400" cy="1727419"/>
            <wp:docPr id="7" name="Picture 7"/>
            <wp:cNvGraphicFramePr>
              <a:graphicFrameLocks noChangeAspect="1"/>
            </wp:cNvGraphicFramePr>
            <a:graphic>
              <a:graphicData uri="http://schemas.openxmlformats.org/drawingml/2006/picture">
                <pic:pic>
                  <pic:nvPicPr>
                    <pic:cNvPr id="0" name="fig7_heatmap.png"/>
                    <pic:cNvPicPr/>
                  </pic:nvPicPr>
                  <pic:blipFill>
                    <a:blip r:embed="rId15"/>
                    <a:stretch>
                      <a:fillRect/>
                    </a:stretch>
                  </pic:blipFill>
                  <pic:spPr>
                    <a:xfrm>
                      <a:off x="0" y="0"/>
                      <a:ext cx="5486400" cy="1727419"/>
                    </a:xfrm>
                    <a:prstGeom prst="rect"/>
                  </pic:spPr>
                </pic:pic>
              </a:graphicData>
            </a:graphic>
          </wp:inline>
        </w:drawing>
      </w:r>
    </w:p>
    <w:p>
      <w:pPr>
        <w:spacing w:before="40" w:after="200"/>
        <w:jc w:val="center"/>
      </w:pPr>
      <w:r>
        <w:rPr>
          <w:rFonts w:ascii="Times New Roman" w:hAnsi="Times New Roman"/>
          <w:b w:val="0"/>
          <w:i/>
          <w:sz w:val="18"/>
        </w:rPr>
        <w:t>Figure 7. Heatmap of ergative marking across all ergative languages for the four Silverstein features. Languages with violations are labelled in green.</w:t>
      </w:r>
    </w:p>
    <w:p>
      <w:pPr>
        <w:pStyle w:val="Heading1"/>
      </w:pPr>
      <w:r>
        <w:rPr>
          <w:rFonts w:ascii="Times New Roman" w:hAnsi="Times New Roman"/>
          <w:color w:val="000000"/>
        </w:rPr>
        <w:t>5. Analysis 3: Split Ergativity Patterns</w:t>
      </w:r>
    </w:p>
    <w:p>
      <w:pPr>
        <w:pStyle w:val="Heading2"/>
      </w:pPr>
      <w:r>
        <w:rPr>
          <w:rFonts w:ascii="Times New Roman" w:hAnsi="Times New Roman"/>
          <w:color w:val="000000"/>
        </w:rPr>
        <w:t>5.1 Method</w:t>
      </w:r>
    </w:p>
    <w:p>
      <w:pPr>
        <w:spacing w:after="80"/>
        <w:ind w:firstLine="425"/>
        <w:jc w:val="both"/>
      </w:pPr>
      <w:r>
        <w:rPr>
          <w:rFonts w:ascii="Times New Roman" w:hAnsi="Times New Roman"/>
          <w:b w:val="0"/>
          <w:i w:val="0"/>
          <w:sz w:val="22"/>
        </w:rPr>
        <w:t>Split ergativity refers to languages in which ergative alignment is restricted to specific grammatical contexts. Dixon (1994) and Givón (2001) identify aspect (PERF &gt; IMPF), tense (PAST &gt; NON-PAST), mood (IND &gt; NON-IND), and realis (REAL &gt; IRR) as the classic conditioning environments, each predicting a specific typological direction. ERGON codes each context as a separate binary feature, allowing us to test both the expected and unexpected directions. For each of the four domains, we classify ergative languages into: uniform ERG (both = 1), uniform NOM-ACC (both = 0), expected split, unexpected split, or other.</w:t>
      </w:r>
    </w:p>
    <w:p>
      <w:pPr>
        <w:pStyle w:val="Heading2"/>
      </w:pPr>
      <w:r>
        <w:rPr>
          <w:rFonts w:ascii="Times New Roman" w:hAnsi="Times New Roman"/>
          <w:color w:val="000000"/>
        </w:rPr>
        <w:t>5.2 Results</w:t>
      </w:r>
    </w:p>
    <w:p>
      <w:pPr>
        <w:spacing w:after="80"/>
        <w:ind w:firstLine="425"/>
        <w:jc w:val="both"/>
      </w:pPr>
      <w:r>
        <w:rPr>
          <w:rFonts w:ascii="Times New Roman" w:hAnsi="Times New Roman"/>
          <w:b w:val="0"/>
          <w:i w:val="0"/>
          <w:sz w:val="22"/>
        </w:rPr>
        <w:t>The overwhelming finding is uniformity: across all four domains, approximately 91% of languages with relevant data show ergative marking in both contexts (uniform ERG). Specifically — Aspect (n = 139): 90.6% uniform ERG, 5.0% expected split (PERF only), 1.4% unexpected (IMPF only); Tense (n = 152): 91.4% uniform ERG, 4.6% expected split (PAST only), 0.7% unexpected; Mood (n = 134): 91.8% uniform ERG, 5.2% expected split (IND only), 0% unexpected; Realis (n = 132): 90.9% uniform ERG, 5.3% expected split (REAL only), 0% unexpected.</w:t>
      </w:r>
    </w:p>
    <w:p>
      <w:pPr>
        <w:spacing w:after="80"/>
        <w:ind w:firstLine="425"/>
        <w:jc w:val="both"/>
      </w:pPr>
      <w:r>
        <w:rPr>
          <w:rFonts w:ascii="Times New Roman" w:hAnsi="Times New Roman"/>
          <w:b w:val="0"/>
          <w:i w:val="0"/>
          <w:sz w:val="22"/>
        </w:rPr>
        <w:t>Expected splits (the classic Dixonian pattern) exist but are rare. Unexpected splits are nearly absent: only two languages show an unexpected split in any domain — Emai (Niger-Congo) and Karitiana (Tupian). These results suggest that in ERGON languages, ergativity is predominantly a pervasive structural property rather than a context-restricted one.</w:t>
      </w:r>
    </w:p>
    <w:p>
      <w:pPr>
        <w:spacing w:before="160"/>
        <w:jc w:val="center"/>
      </w:pPr>
      <w:r>
        <w:drawing>
          <wp:inline xmlns:a="http://schemas.openxmlformats.org/drawingml/2006/main" xmlns:pic="http://schemas.openxmlformats.org/drawingml/2006/picture">
            <wp:extent cx="5303520" cy="2151932"/>
            <wp:docPr id="8" name="Picture 8"/>
            <wp:cNvGraphicFramePr>
              <a:graphicFrameLocks noChangeAspect="1"/>
            </wp:cNvGraphicFramePr>
            <a:graphic>
              <a:graphicData uri="http://schemas.openxmlformats.org/drawingml/2006/picture">
                <pic:pic>
                  <pic:nvPicPr>
                    <pic:cNvPr id="0" name="fig8_splits_overview.png"/>
                    <pic:cNvPicPr/>
                  </pic:nvPicPr>
                  <pic:blipFill>
                    <a:blip r:embed="rId16"/>
                    <a:stretch>
                      <a:fillRect/>
                    </a:stretch>
                  </pic:blipFill>
                  <pic:spPr>
                    <a:xfrm>
                      <a:off x="0" y="0"/>
                      <a:ext cx="5303520" cy="2151932"/>
                    </a:xfrm>
                    <a:prstGeom prst="rect"/>
                  </pic:spPr>
                </pic:pic>
              </a:graphicData>
            </a:graphic>
          </wp:inline>
        </w:drawing>
      </w:r>
    </w:p>
    <w:p>
      <w:pPr>
        <w:spacing w:before="40" w:after="200"/>
        <w:jc w:val="center"/>
      </w:pPr>
      <w:r>
        <w:rPr>
          <w:rFonts w:ascii="Times New Roman" w:hAnsi="Times New Roman"/>
          <w:b w:val="0"/>
          <w:i/>
          <w:sz w:val="18"/>
        </w:rPr>
        <w:t>Figure 8. Split ergativity patterns across the four conditioning domains. Each bar represents 100% of languages with data in that domain.</w:t>
      </w:r>
    </w:p>
    <w:p>
      <w:pPr>
        <w:spacing w:before="160"/>
        <w:jc w:val="center"/>
      </w:pPr>
      <w:r>
        <w:drawing>
          <wp:inline xmlns:a="http://schemas.openxmlformats.org/drawingml/2006/main" xmlns:pic="http://schemas.openxmlformats.org/drawingml/2006/picture">
            <wp:extent cx="5029200" cy="1981867"/>
            <wp:docPr id="9" name="Picture 9"/>
            <wp:cNvGraphicFramePr>
              <a:graphicFrameLocks noChangeAspect="1"/>
            </wp:cNvGraphicFramePr>
            <a:graphic>
              <a:graphicData uri="http://schemas.openxmlformats.org/drawingml/2006/picture">
                <pic:pic>
                  <pic:nvPicPr>
                    <pic:cNvPr id="0" name="fig9_splits_families.png"/>
                    <pic:cNvPicPr/>
                  </pic:nvPicPr>
                  <pic:blipFill>
                    <a:blip r:embed="rId17"/>
                    <a:stretch>
                      <a:fillRect/>
                    </a:stretch>
                  </pic:blipFill>
                  <pic:spPr>
                    <a:xfrm>
                      <a:off x="0" y="0"/>
                      <a:ext cx="5029200" cy="1981867"/>
                    </a:xfrm>
                    <a:prstGeom prst="rect"/>
                  </pic:spPr>
                </pic:pic>
              </a:graphicData>
            </a:graphic>
          </wp:inline>
        </w:drawing>
      </w:r>
    </w:p>
    <w:p>
      <w:pPr>
        <w:spacing w:before="40" w:after="200"/>
        <w:jc w:val="center"/>
      </w:pPr>
      <w:r>
        <w:rPr>
          <w:rFonts w:ascii="Times New Roman" w:hAnsi="Times New Roman"/>
          <w:b w:val="0"/>
          <w:i/>
          <w:sz w:val="18"/>
        </w:rPr>
        <w:t>Figure 9. Families with unexpected splits, shown as % of ergative languages per family.</w:t>
      </w:r>
    </w:p>
    <w:p>
      <w:pPr>
        <w:spacing w:before="160"/>
        <w:jc w:val="center"/>
      </w:pPr>
      <w:r>
        <w:drawing>
          <wp:inline xmlns:a="http://schemas.openxmlformats.org/drawingml/2006/main" xmlns:pic="http://schemas.openxmlformats.org/drawingml/2006/picture">
            <wp:extent cx="3657600" cy="3079423"/>
            <wp:docPr id="10" name="Picture 10"/>
            <wp:cNvGraphicFramePr>
              <a:graphicFrameLocks noChangeAspect="1"/>
            </wp:cNvGraphicFramePr>
            <a:graphic>
              <a:graphicData uri="http://schemas.openxmlformats.org/drawingml/2006/picture">
                <pic:pic>
                  <pic:nvPicPr>
                    <pic:cNvPr id="0" name="fig10_split_cooccurrence.png"/>
                    <pic:cNvPicPr/>
                  </pic:nvPicPr>
                  <pic:blipFill>
                    <a:blip r:embed="rId18"/>
                    <a:stretch>
                      <a:fillRect/>
                    </a:stretch>
                  </pic:blipFill>
                  <pic:spPr>
                    <a:xfrm>
                      <a:off x="0" y="0"/>
                      <a:ext cx="3657600" cy="3079423"/>
                    </a:xfrm>
                    <a:prstGeom prst="rect"/>
                  </pic:spPr>
                </pic:pic>
              </a:graphicData>
            </a:graphic>
          </wp:inline>
        </w:drawing>
      </w:r>
    </w:p>
    <w:p>
      <w:pPr>
        <w:spacing w:before="40" w:after="200"/>
        <w:jc w:val="center"/>
      </w:pPr>
      <w:r>
        <w:rPr>
          <w:rFonts w:ascii="Times New Roman" w:hAnsi="Times New Roman"/>
          <w:b w:val="0"/>
          <w:i/>
          <w:sz w:val="18"/>
        </w:rPr>
        <w:t>Figure 10. Co-occurrence matrix: number of languages showing unexpected splits in both domains simultaneously.</w:t>
      </w:r>
    </w:p>
    <w:p>
      <w:pPr>
        <w:pStyle w:val="Heading1"/>
      </w:pPr>
      <w:r>
        <w:rPr>
          <w:rFonts w:ascii="Times New Roman" w:hAnsi="Times New Roman"/>
          <w:color w:val="000000"/>
        </w:rPr>
        <w:t>6. Analysis 4: Pairwise Feature Correlations</w:t>
      </w:r>
    </w:p>
    <w:p>
      <w:pPr>
        <w:pStyle w:val="Heading2"/>
      </w:pPr>
      <w:r>
        <w:rPr>
          <w:rFonts w:ascii="Times New Roman" w:hAnsi="Times New Roman"/>
          <w:color w:val="000000"/>
        </w:rPr>
        <w:t>6.1 Method</w:t>
      </w:r>
    </w:p>
    <w:p>
      <w:pPr>
        <w:spacing w:after="80"/>
        <w:ind w:firstLine="425"/>
        <w:jc w:val="both"/>
      </w:pPr>
      <w:r>
        <w:rPr>
          <w:rFonts w:ascii="Times New Roman" w:hAnsi="Times New Roman"/>
          <w:b w:val="0"/>
          <w:i w:val="0"/>
          <w:sz w:val="22"/>
        </w:rPr>
        <w:t>We computed all 276 pairwise phi (φ) coefficients between the 24 binary features, restricted to languages with data on both features in each pair. The phi coefficient is equivalent to Pearson's r for binary variables and ranges from −1 to +1. We also computed directed implication strengths P(B | A) for all 552 ordered pairs, where values near 1.0 indicate near-universal implications.</w:t>
      </w:r>
    </w:p>
    <w:p>
      <w:pPr>
        <w:pStyle w:val="Heading2"/>
      </w:pPr>
      <w:r>
        <w:rPr>
          <w:rFonts w:ascii="Times New Roman" w:hAnsi="Times New Roman"/>
          <w:color w:val="000000"/>
        </w:rPr>
        <w:t>6.2 Results</w:t>
      </w:r>
    </w:p>
    <w:p>
      <w:pPr>
        <w:spacing w:after="80"/>
        <w:ind w:firstLine="425"/>
        <w:jc w:val="both"/>
      </w:pPr>
      <w:r>
        <w:rPr>
          <w:rFonts w:ascii="Times New Roman" w:hAnsi="Times New Roman"/>
          <w:b w:val="0"/>
          <w:i w:val="0"/>
          <w:sz w:val="22"/>
        </w:rPr>
        <w:t>Feature correlations are extraordinarily high within the tense/aspect/mood/realis cluster. The strongest associations are: perfective ↔ past (φ = 0.973), indicative ↔ realis (φ = 0.972), and past ↔ indicative (φ = 0.972). These near-perfect correlations indicate that languages that mark the ergative in the past also mark it in the indicative and realis — these are not independent conditioning environments but a single coherent semantic cluster.</w:t>
      </w:r>
    </w:p>
    <w:p>
      <w:pPr>
        <w:spacing w:after="80"/>
        <w:ind w:firstLine="425"/>
        <w:jc w:val="both"/>
      </w:pPr>
      <w:r>
        <w:rPr>
          <w:rFonts w:ascii="Times New Roman" w:hAnsi="Times New Roman"/>
          <w:b w:val="0"/>
          <w:i w:val="0"/>
          <w:sz w:val="22"/>
        </w:rPr>
        <w:t>A second tight cluster involves person features: 1st ↔ 2nd person (φ = 0.914). Several near-perfect implications (P = 1.0) were identified: whenever a language marks the ergative in the non-indicative, it invariably also marks it in the indicative; whenever it marks it in the realis, it marks it in the indicative. The absolutive marker (GB409_1) correlates weakly or negatively with most conditioning features, suggesting it co-occurs with simpler, less-conditioned ergativity systems.</w:t>
      </w:r>
    </w:p>
    <w:p>
      <w:pPr>
        <w:spacing w:before="160"/>
        <w:jc w:val="center"/>
      </w:pPr>
      <w:r>
        <w:drawing>
          <wp:inline xmlns:a="http://schemas.openxmlformats.org/drawingml/2006/main" xmlns:pic="http://schemas.openxmlformats.org/drawingml/2006/picture">
            <wp:extent cx="5303520" cy="4402880"/>
            <wp:docPr id="11" name="Picture 11"/>
            <wp:cNvGraphicFramePr>
              <a:graphicFrameLocks noChangeAspect="1"/>
            </wp:cNvGraphicFramePr>
            <a:graphic>
              <a:graphicData uri="http://schemas.openxmlformats.org/drawingml/2006/picture">
                <pic:pic>
                  <pic:nvPicPr>
                    <pic:cNvPr id="0" name="figA_phi_heatmap.png"/>
                    <pic:cNvPicPr/>
                  </pic:nvPicPr>
                  <pic:blipFill>
                    <a:blip r:embed="rId19"/>
                    <a:stretch>
                      <a:fillRect/>
                    </a:stretch>
                  </pic:blipFill>
                  <pic:spPr>
                    <a:xfrm>
                      <a:off x="0" y="0"/>
                      <a:ext cx="5303520" cy="4402880"/>
                    </a:xfrm>
                    <a:prstGeom prst="rect"/>
                  </pic:spPr>
                </pic:pic>
              </a:graphicData>
            </a:graphic>
          </wp:inline>
        </w:drawing>
      </w:r>
    </w:p>
    <w:p>
      <w:pPr>
        <w:spacing w:before="40" w:after="200"/>
        <w:jc w:val="center"/>
      </w:pPr>
      <w:r>
        <w:rPr>
          <w:rFonts w:ascii="Times New Roman" w:hAnsi="Times New Roman"/>
          <w:b w:val="0"/>
          <w:i/>
          <w:sz w:val="18"/>
        </w:rPr>
        <w:t>Figure 11. Phi coefficient heatmap for all 276 feature pairs. Features ordered by domain.</w:t>
      </w:r>
    </w:p>
    <w:p>
      <w:pPr>
        <w:spacing w:before="160"/>
        <w:jc w:val="center"/>
      </w:pPr>
      <w:r>
        <w:drawing>
          <wp:inline xmlns:a="http://schemas.openxmlformats.org/drawingml/2006/main" xmlns:pic="http://schemas.openxmlformats.org/drawingml/2006/picture">
            <wp:extent cx="5303520" cy="4472724"/>
            <wp:docPr id="12" name="Picture 12"/>
            <wp:cNvGraphicFramePr>
              <a:graphicFrameLocks noChangeAspect="1"/>
            </wp:cNvGraphicFramePr>
            <a:graphic>
              <a:graphicData uri="http://schemas.openxmlformats.org/drawingml/2006/picture">
                <pic:pic>
                  <pic:nvPicPr>
                    <pic:cNvPr id="0" name="figB_implication_matrix.png"/>
                    <pic:cNvPicPr/>
                  </pic:nvPicPr>
                  <pic:blipFill>
                    <a:blip r:embed="rId20"/>
                    <a:stretch>
                      <a:fillRect/>
                    </a:stretch>
                  </pic:blipFill>
                  <pic:spPr>
                    <a:xfrm>
                      <a:off x="0" y="0"/>
                      <a:ext cx="5303520" cy="4472724"/>
                    </a:xfrm>
                    <a:prstGeom prst="rect"/>
                  </pic:spPr>
                </pic:pic>
              </a:graphicData>
            </a:graphic>
          </wp:inline>
        </w:drawing>
      </w:r>
    </w:p>
    <w:p>
      <w:pPr>
        <w:spacing w:before="40" w:after="200"/>
        <w:jc w:val="center"/>
      </w:pPr>
      <w:r>
        <w:rPr>
          <w:rFonts w:ascii="Times New Roman" w:hAnsi="Times New Roman"/>
          <w:b w:val="0"/>
          <w:i/>
          <w:sz w:val="18"/>
        </w:rPr>
        <w:t>Figure 12. Directed implication matrix: P(column | row). Dark cells = near-universal implications.</w:t>
      </w:r>
    </w:p>
    <w:p>
      <w:pPr>
        <w:pStyle w:val="Heading1"/>
      </w:pPr>
      <w:r>
        <w:rPr>
          <w:rFonts w:ascii="Times New Roman" w:hAnsi="Times New Roman"/>
          <w:color w:val="000000"/>
        </w:rPr>
        <w:t>7. Analysis 5: Feature Predictors of Ergativity Score</w:t>
      </w:r>
    </w:p>
    <w:p>
      <w:pPr>
        <w:pStyle w:val="Heading2"/>
      </w:pPr>
      <w:r>
        <w:rPr>
          <w:rFonts w:ascii="Times New Roman" w:hAnsi="Times New Roman"/>
          <w:color w:val="000000"/>
        </w:rPr>
        <w:t>7.1 Method</w:t>
      </w:r>
    </w:p>
    <w:p>
      <w:pPr>
        <w:spacing w:after="80"/>
        <w:ind w:firstLine="425"/>
        <w:jc w:val="both"/>
      </w:pPr>
      <w:r>
        <w:rPr>
          <w:rFonts w:ascii="Times New Roman" w:hAnsi="Times New Roman"/>
          <w:b w:val="0"/>
          <w:i w:val="0"/>
          <w:sz w:val="22"/>
        </w:rPr>
        <w:t>To identify which individual features best predict overall ergativity score, we computed point-biserial correlations between each binary feature and the continuous ergativity score from Analysis 1. Point-biserial r is equivalent to Pearson's r when one variable is binary. Significance was assessed using t-tests with Bonferroni correction for 24 comparisons (adjusted α = 0.002).</w:t>
      </w:r>
    </w:p>
    <w:p>
      <w:pPr>
        <w:pStyle w:val="Heading2"/>
      </w:pPr>
      <w:r>
        <w:rPr>
          <w:rFonts w:ascii="Times New Roman" w:hAnsi="Times New Roman"/>
          <w:color w:val="000000"/>
        </w:rPr>
        <w:t>7.2 Results</w:t>
      </w:r>
    </w:p>
    <w:p>
      <w:pPr>
        <w:spacing w:after="80"/>
        <w:ind w:firstLine="425"/>
        <w:jc w:val="both"/>
      </w:pPr>
      <w:r>
        <w:rPr>
          <w:rFonts w:ascii="Times New Roman" w:hAnsi="Times New Roman"/>
          <w:b w:val="0"/>
          <w:i w:val="0"/>
          <w:sz w:val="22"/>
        </w:rPr>
        <w:t>All 24 features are significantly correlated with ergativity score after Bonferroni correction. The strongest predictors are from the tense/aspect/mood/realis cluster: perfective (r = +0.919), indicative (r = +0.917), animate A (r = +0.905), realis (r = +0.903), and past (r = +0.892). A single feature from this cluster can predict nearly 80% of variance in total ergativity score.</w:t>
      </w:r>
    </w:p>
    <w:p>
      <w:pPr>
        <w:spacing w:after="80"/>
        <w:ind w:firstLine="425"/>
        <w:jc w:val="both"/>
      </w:pPr>
      <w:r>
        <w:rPr>
          <w:rFonts w:ascii="Times New Roman" w:hAnsi="Times New Roman"/>
          <w:b w:val="0"/>
          <w:i w:val="0"/>
          <w:sz w:val="22"/>
        </w:rPr>
        <w:t>The weakest — though still significant — predictors are: absolutive marker (r = +0.237), ergative=genitive (r = +0.243), other conditioning (r = +0.278), and ergative=instrumental (r = +0.317). Whether the ergative marker is formally identical to the genitive or instrumental is a morphological accident largely independent of how systematically ergative alignment is deployed across domains.</w:t>
      </w:r>
    </w:p>
    <w:p>
      <w:pPr>
        <w:spacing w:before="160"/>
        <w:jc w:val="center"/>
      </w:pPr>
      <w:r>
        <w:drawing>
          <wp:inline xmlns:a="http://schemas.openxmlformats.org/drawingml/2006/main" xmlns:pic="http://schemas.openxmlformats.org/drawingml/2006/picture">
            <wp:extent cx="5303520" cy="2716670"/>
            <wp:docPr id="13" name="Picture 13"/>
            <wp:cNvGraphicFramePr>
              <a:graphicFrameLocks noChangeAspect="1"/>
            </wp:cNvGraphicFramePr>
            <a:graphic>
              <a:graphicData uri="http://schemas.openxmlformats.org/drawingml/2006/picture">
                <pic:pic>
                  <pic:nvPicPr>
                    <pic:cNvPr id="0" name="figA_boxplots.png"/>
                    <pic:cNvPicPr/>
                  </pic:nvPicPr>
                  <pic:blipFill>
                    <a:blip r:embed="rId21"/>
                    <a:stretch>
                      <a:fillRect/>
                    </a:stretch>
                  </pic:blipFill>
                  <pic:spPr>
                    <a:xfrm>
                      <a:off x="0" y="0"/>
                      <a:ext cx="5303520" cy="2716670"/>
                    </a:xfrm>
                    <a:prstGeom prst="rect"/>
                  </pic:spPr>
                </pic:pic>
              </a:graphicData>
            </a:graphic>
          </wp:inline>
        </w:drawing>
      </w:r>
    </w:p>
    <w:p>
      <w:pPr>
        <w:spacing w:before="40" w:after="200"/>
        <w:jc w:val="center"/>
      </w:pPr>
      <w:r>
        <w:rPr>
          <w:rFonts w:ascii="Times New Roman" w:hAnsi="Times New Roman"/>
          <w:b w:val="0"/>
          <w:i/>
          <w:sz w:val="18"/>
        </w:rPr>
        <w:t>Figure 13. Ergativity score distributions split by feature value (0/1) for the 8 strongest predictors.</w:t>
      </w:r>
    </w:p>
    <w:p>
      <w:pPr>
        <w:spacing w:before="160"/>
        <w:jc w:val="center"/>
      </w:pPr>
      <w:r>
        <w:drawing>
          <wp:inline xmlns:a="http://schemas.openxmlformats.org/drawingml/2006/main" xmlns:pic="http://schemas.openxmlformats.org/drawingml/2006/picture">
            <wp:extent cx="5029200" cy="1371831"/>
            <wp:docPr id="14" name="Picture 14"/>
            <wp:cNvGraphicFramePr>
              <a:graphicFrameLocks noChangeAspect="1"/>
            </wp:cNvGraphicFramePr>
            <a:graphic>
              <a:graphicData uri="http://schemas.openxmlformats.org/drawingml/2006/picture">
                <pic:pic>
                  <pic:nvPicPr>
                    <pic:cNvPr id="0" name="figB_pointbiserial.png"/>
                    <pic:cNvPicPr/>
                  </pic:nvPicPr>
                  <pic:blipFill>
                    <a:blip r:embed="rId22"/>
                    <a:stretch>
                      <a:fillRect/>
                    </a:stretch>
                  </pic:blipFill>
                  <pic:spPr>
                    <a:xfrm>
                      <a:off x="0" y="0"/>
                      <a:ext cx="5029200" cy="1371831"/>
                    </a:xfrm>
                    <a:prstGeom prst="rect"/>
                  </pic:spPr>
                </pic:pic>
              </a:graphicData>
            </a:graphic>
          </wp:inline>
        </w:drawing>
      </w:r>
    </w:p>
    <w:p>
      <w:pPr>
        <w:spacing w:before="40" w:after="200"/>
        <w:jc w:val="center"/>
      </w:pPr>
      <w:r>
        <w:rPr>
          <w:rFonts w:ascii="Times New Roman" w:hAnsi="Times New Roman"/>
          <w:b w:val="0"/>
          <w:i/>
          <w:sz w:val="18"/>
        </w:rPr>
        <w:t>Figure 14. Point-biserial correlations between each feature and ergativity score, with 95% confidence intervals.</w:t>
      </w:r>
    </w:p>
    <w:p>
      <w:pPr>
        <w:spacing w:before="160"/>
        <w:jc w:val="center"/>
      </w:pPr>
      <w:r>
        <w:drawing>
          <wp:inline xmlns:a="http://schemas.openxmlformats.org/drawingml/2006/main" xmlns:pic="http://schemas.openxmlformats.org/drawingml/2006/picture">
            <wp:extent cx="4572000" cy="2820220"/>
            <wp:docPr id="15" name="Picture 15"/>
            <wp:cNvGraphicFramePr>
              <a:graphicFrameLocks noChangeAspect="1"/>
            </wp:cNvGraphicFramePr>
            <a:graphic>
              <a:graphicData uri="http://schemas.openxmlformats.org/drawingml/2006/picture">
                <pic:pic>
                  <pic:nvPicPr>
                    <pic:cNvPr id="0" name="figC_domain_activity.png"/>
                    <pic:cNvPicPr/>
                  </pic:nvPicPr>
                  <pic:blipFill>
                    <a:blip r:embed="rId23"/>
                    <a:stretch>
                      <a:fillRect/>
                    </a:stretch>
                  </pic:blipFill>
                  <pic:spPr>
                    <a:xfrm>
                      <a:off x="0" y="0"/>
                      <a:ext cx="4572000" cy="2820220"/>
                    </a:xfrm>
                    <a:prstGeom prst="rect"/>
                  </pic:spPr>
                </pic:pic>
              </a:graphicData>
            </a:graphic>
          </wp:inline>
        </w:drawing>
      </w:r>
    </w:p>
    <w:p>
      <w:pPr>
        <w:spacing w:before="40" w:after="200"/>
        <w:jc w:val="center"/>
      </w:pPr>
      <w:r>
        <w:rPr>
          <w:rFonts w:ascii="Times New Roman" w:hAnsi="Times New Roman"/>
          <w:b w:val="0"/>
          <w:i/>
          <w:sz w:val="18"/>
        </w:rPr>
        <w:t>Figure 15. Mean ergativity score by conditioning domain.</w:t>
      </w:r>
    </w:p>
    <w:p>
      <w:pPr>
        <w:pStyle w:val="Heading1"/>
      </w:pPr>
      <w:r>
        <w:rPr>
          <w:rFonts w:ascii="Times New Roman" w:hAnsi="Times New Roman"/>
          <w:color w:val="000000"/>
        </w:rPr>
        <w:t>8. Analysis 6: Ergativity Dimensionality Index</w:t>
      </w:r>
    </w:p>
    <w:p>
      <w:pPr>
        <w:pStyle w:val="Heading2"/>
      </w:pPr>
      <w:r>
        <w:rPr>
          <w:rFonts w:ascii="Times New Roman" w:hAnsi="Times New Roman"/>
          <w:color w:val="000000"/>
        </w:rPr>
        <w:t>8.1 Method</w:t>
      </w:r>
    </w:p>
    <w:p>
      <w:pPr>
        <w:spacing w:after="80"/>
        <w:ind w:firstLine="425"/>
        <w:jc w:val="both"/>
      </w:pPr>
      <w:r>
        <w:rPr>
          <w:rFonts w:ascii="Times New Roman" w:hAnsi="Times New Roman"/>
          <w:b w:val="0"/>
          <w:i w:val="0"/>
          <w:sz w:val="22"/>
        </w:rPr>
        <w:t>Beyond a total score, we asked: in how many distinct conditioning domains does a language deploy ergative marking? We defined nine domains — Person (GB409_2–5), Aspect (6–7), Tense (8–9), Mood (10–11), Realis (12–13), Agentivity (14–15), Topicality (16–17), Animacy (18–19), and Clause type (20–21) — and classified each domain per language as: 'full' (both features = 1), 'partial' (mixed), or 'absent' (both = 0 or no data). The dimensionality index = number of fully active domains (0–9).</w:t>
      </w:r>
    </w:p>
    <w:p>
      <w:pPr>
        <w:pStyle w:val="Heading2"/>
      </w:pPr>
      <w:r>
        <w:rPr>
          <w:rFonts w:ascii="Times New Roman" w:hAnsi="Times New Roman"/>
          <w:color w:val="000000"/>
        </w:rPr>
        <w:t>8.2 Results</w:t>
      </w:r>
    </w:p>
    <w:p>
      <w:pPr>
        <w:spacing w:after="80"/>
        <w:ind w:firstLine="425"/>
        <w:jc w:val="both"/>
      </w:pPr>
      <w:r>
        <w:rPr>
          <w:rFonts w:ascii="Times New Roman" w:hAnsi="Times New Roman"/>
          <w:b w:val="0"/>
          <w:i w:val="0"/>
          <w:sz w:val="22"/>
        </w:rPr>
        <w:t>Among 180 ergative languages, the mean dimensionality is 7.30 (SD = 2.06), ranging from 0 to 9. Most languages deploy ergative marking broadly: Clause type is the most universally active domain (91.7% of languages fully active), followed by Tense (89.4%) and Mood (88.9%). Topicality is the least commonly active (57.8%), reflecting the relative rarity of topicality-conditioned ergativity splits.</w:t>
      </w:r>
    </w:p>
    <w:p>
      <w:pPr>
        <w:spacing w:after="80"/>
        <w:ind w:firstLine="425"/>
        <w:jc w:val="both"/>
      </w:pPr>
      <w:r>
        <w:rPr>
          <w:rFonts w:ascii="Times New Roman" w:hAnsi="Times New Roman"/>
          <w:b w:val="0"/>
          <w:i w:val="0"/>
          <w:sz w:val="22"/>
        </w:rPr>
        <w:t>Trans-Himalayan languages show the highest mean dimensionality among well-represented families, while Austronesian and Indo-European languages show lower and more variable dimensionality indices. The Person domain is unique in having substantial partial coverage (31.7%), corresponding to languages that mark ergative on some but not all person categories — consistent with the Silverstein gradient.</w:t>
      </w:r>
    </w:p>
    <w:p>
      <w:pPr>
        <w:spacing w:before="160"/>
        <w:jc w:val="center"/>
      </w:pPr>
      <w:r>
        <w:drawing>
          <wp:inline xmlns:a="http://schemas.openxmlformats.org/drawingml/2006/main" xmlns:pic="http://schemas.openxmlformats.org/drawingml/2006/picture">
            <wp:extent cx="5029200" cy="1952584"/>
            <wp:docPr id="16" name="Picture 16"/>
            <wp:cNvGraphicFramePr>
              <a:graphicFrameLocks noChangeAspect="1"/>
            </wp:cNvGraphicFramePr>
            <a:graphic>
              <a:graphicData uri="http://schemas.openxmlformats.org/drawingml/2006/picture">
                <pic:pic>
                  <pic:nvPicPr>
                    <pic:cNvPr id="0" name="figA_dimensionality_distribution.png"/>
                    <pic:cNvPicPr/>
                  </pic:nvPicPr>
                  <pic:blipFill>
                    <a:blip r:embed="rId24"/>
                    <a:stretch>
                      <a:fillRect/>
                    </a:stretch>
                  </pic:blipFill>
                  <pic:spPr>
                    <a:xfrm>
                      <a:off x="0" y="0"/>
                      <a:ext cx="5029200" cy="1952584"/>
                    </a:xfrm>
                    <a:prstGeom prst="rect"/>
                  </pic:spPr>
                </pic:pic>
              </a:graphicData>
            </a:graphic>
          </wp:inline>
        </w:drawing>
      </w:r>
    </w:p>
    <w:p>
      <w:pPr>
        <w:spacing w:before="40" w:after="200"/>
        <w:jc w:val="center"/>
      </w:pPr>
      <w:r>
        <w:rPr>
          <w:rFonts w:ascii="Times New Roman" w:hAnsi="Times New Roman"/>
          <w:b w:val="0"/>
          <w:i/>
          <w:sz w:val="18"/>
        </w:rPr>
        <w:t>Figure 16. Distribution of the ergativity dimensionality index across ergative languages.</w:t>
      </w:r>
    </w:p>
    <w:p>
      <w:pPr>
        <w:spacing w:before="160"/>
        <w:jc w:val="center"/>
      </w:pPr>
      <w:r>
        <w:drawing>
          <wp:inline xmlns:a="http://schemas.openxmlformats.org/drawingml/2006/main" xmlns:pic="http://schemas.openxmlformats.org/drawingml/2006/picture">
            <wp:extent cx="5486400" cy="18536511"/>
            <wp:docPr id="17" name="Picture 17"/>
            <wp:cNvGraphicFramePr>
              <a:graphicFrameLocks noChangeAspect="1"/>
            </wp:cNvGraphicFramePr>
            <a:graphic>
              <a:graphicData uri="http://schemas.openxmlformats.org/drawingml/2006/picture">
                <pic:pic>
                  <pic:nvPicPr>
                    <pic:cNvPr id="0" name="figB_dimensionality_heatmap.png"/>
                    <pic:cNvPicPr/>
                  </pic:nvPicPr>
                  <pic:blipFill>
                    <a:blip r:embed="rId25"/>
                    <a:stretch>
                      <a:fillRect/>
                    </a:stretch>
                  </pic:blipFill>
                  <pic:spPr>
                    <a:xfrm>
                      <a:off x="0" y="0"/>
                      <a:ext cx="5486400" cy="18536511"/>
                    </a:xfrm>
                    <a:prstGeom prst="rect"/>
                  </pic:spPr>
                </pic:pic>
              </a:graphicData>
            </a:graphic>
          </wp:inline>
        </w:drawing>
      </w:r>
    </w:p>
    <w:p>
      <w:pPr>
        <w:spacing w:before="40" w:after="200"/>
        <w:jc w:val="center"/>
      </w:pPr>
      <w:r>
        <w:rPr>
          <w:rFonts w:ascii="Times New Roman" w:hAnsi="Times New Roman"/>
          <w:b w:val="0"/>
          <w:i/>
          <w:sz w:val="18"/>
        </w:rPr>
        <w:t>Figure 17. Domain activity heatmap. Dark = fully active, medium = partial, light = absent.</w:t>
      </w:r>
    </w:p>
    <w:p>
      <w:pPr>
        <w:spacing w:before="160"/>
        <w:jc w:val="center"/>
      </w:pPr>
      <w:r>
        <w:drawing>
          <wp:inline xmlns:a="http://schemas.openxmlformats.org/drawingml/2006/main" xmlns:pic="http://schemas.openxmlformats.org/drawingml/2006/picture">
            <wp:extent cx="5029200" cy="2824480"/>
            <wp:docPr id="18" name="Picture 18"/>
            <wp:cNvGraphicFramePr>
              <a:graphicFrameLocks noChangeAspect="1"/>
            </wp:cNvGraphicFramePr>
            <a:graphic>
              <a:graphicData uri="http://schemas.openxmlformats.org/drawingml/2006/picture">
                <pic:pic>
                  <pic:nvPicPr>
                    <pic:cNvPr id="0" name="figC_dimensionality_boxplot.png"/>
                    <pic:cNvPicPr/>
                  </pic:nvPicPr>
                  <pic:blipFill>
                    <a:blip r:embed="rId26"/>
                    <a:stretch>
                      <a:fillRect/>
                    </a:stretch>
                  </pic:blipFill>
                  <pic:spPr>
                    <a:xfrm>
                      <a:off x="0" y="0"/>
                      <a:ext cx="5029200" cy="2824480"/>
                    </a:xfrm>
                    <a:prstGeom prst="rect"/>
                  </pic:spPr>
                </pic:pic>
              </a:graphicData>
            </a:graphic>
          </wp:inline>
        </w:drawing>
      </w:r>
    </w:p>
    <w:p>
      <w:pPr>
        <w:spacing w:before="40" w:after="200"/>
        <w:jc w:val="center"/>
      </w:pPr>
      <w:r>
        <w:rPr>
          <w:rFonts w:ascii="Times New Roman" w:hAnsi="Times New Roman"/>
          <w:b w:val="0"/>
          <w:i/>
          <w:sz w:val="18"/>
        </w:rPr>
        <w:t>Figure 18. Dimensionality index by language family (families with ≥ 3 languages).</w:t>
      </w:r>
    </w:p>
    <w:p>
      <w:pPr>
        <w:pStyle w:val="Heading1"/>
      </w:pPr>
      <w:r>
        <w:rPr>
          <w:rFonts w:ascii="Times New Roman" w:hAnsi="Times New Roman"/>
          <w:color w:val="000000"/>
        </w:rPr>
        <w:t>9. Analysis 7: Phylogenetic Signal</w:t>
      </w:r>
    </w:p>
    <w:p>
      <w:pPr>
        <w:pStyle w:val="Heading2"/>
      </w:pPr>
      <w:r>
        <w:rPr>
          <w:rFonts w:ascii="Times New Roman" w:hAnsi="Times New Roman"/>
          <w:color w:val="000000"/>
        </w:rPr>
        <w:t>9.1 Method</w:t>
      </w:r>
    </w:p>
    <w:p>
      <w:pPr>
        <w:spacing w:after="80"/>
        <w:ind w:firstLine="425"/>
        <w:jc w:val="both"/>
      </w:pPr>
      <w:r>
        <w:rPr>
          <w:rFonts w:ascii="Times New Roman" w:hAnsi="Times New Roman"/>
          <w:b w:val="0"/>
          <w:i w:val="0"/>
          <w:sz w:val="22"/>
        </w:rPr>
        <w:t>We estimated phylogenetic signal using two approaches. First, η² (eta-squared) measures variance in ergativity score explained by family membership via one-way ANOVA across families with ≥ 3 languages; significance was assessed by permutation test (10,000 permutations). Second, Cramér's V measures the association between each binary feature and family membership, providing a per-feature phylogenetic conservatism index.</w:t>
      </w:r>
    </w:p>
    <w:p>
      <w:pPr>
        <w:pStyle w:val="Heading2"/>
      </w:pPr>
      <w:r>
        <w:rPr>
          <w:rFonts w:ascii="Times New Roman" w:hAnsi="Times New Roman"/>
          <w:color w:val="000000"/>
        </w:rPr>
        <w:t>9.2 Results</w:t>
      </w:r>
    </w:p>
    <w:p>
      <w:pPr>
        <w:spacing w:after="80"/>
        <w:ind w:firstLine="425"/>
        <w:jc w:val="both"/>
      </w:pPr>
      <w:r>
        <w:rPr>
          <w:rFonts w:ascii="Times New Roman" w:hAnsi="Times New Roman"/>
          <w:b w:val="0"/>
          <w:i w:val="0"/>
          <w:sz w:val="22"/>
        </w:rPr>
        <w:t>Family membership explains η² = 0.409 of variance in ergativity scores — a large effect. The permutation test yields p = 0.059 (marginally non-significant at α = 0.05), reflecting the tension between a substantial typological effect and limited power with few independent genealogical units (families).</w:t>
      </w:r>
    </w:p>
    <w:p>
      <w:pPr>
        <w:spacing w:after="80"/>
        <w:ind w:firstLine="425"/>
        <w:jc w:val="both"/>
      </w:pPr>
      <w:r>
        <w:rPr>
          <w:rFonts w:ascii="Times New Roman" w:hAnsi="Times New Roman"/>
          <w:b w:val="0"/>
          <w:i w:val="0"/>
          <w:sz w:val="22"/>
        </w:rPr>
        <w:t>The most phylogenetically conserved features are ERG=GEN (V = 0.655), imperfective (V = 0.621), and 2nd person (V = 0.482) — strongly family-specific properties largely inherited rather than convergently acquired. The least conserved are main clause (V = 0.157), realis (V = 0.167), and indicative (V = 0.227), suggesting these are more susceptible to independent development or loss across genealogical lines.</w:t>
      </w:r>
    </w:p>
    <w:p>
      <w:pPr>
        <w:spacing w:after="80"/>
        <w:ind w:firstLine="425"/>
        <w:jc w:val="both"/>
      </w:pPr>
      <w:r>
        <w:rPr>
          <w:rFonts w:ascii="Times New Roman" w:hAnsi="Times New Roman"/>
          <w:b w:val="0"/>
          <w:i w:val="0"/>
          <w:sz w:val="22"/>
        </w:rPr>
        <w:t>Among families, Eskimo-Aleut (CV = 0.028) and Indo-European (CV = 0.060) are the most internally consistent. Nakh-Daghestanian (CV = 0.327) and Austronesian (CV = 0.235) show the greatest internal heterogeneity, reflecting the well-known typological diversity within these large families.</w:t>
      </w:r>
    </w:p>
    <w:p>
      <w:pPr>
        <w:spacing w:before="160"/>
        <w:jc w:val="center"/>
      </w:pPr>
      <w:r>
        <w:drawing>
          <wp:inline xmlns:a="http://schemas.openxmlformats.org/drawingml/2006/main" xmlns:pic="http://schemas.openxmlformats.org/drawingml/2006/picture">
            <wp:extent cx="5029200" cy="3119377"/>
            <wp:docPr id="19" name="Picture 19"/>
            <wp:cNvGraphicFramePr>
              <a:graphicFrameLocks noChangeAspect="1"/>
            </wp:cNvGraphicFramePr>
            <a:graphic>
              <a:graphicData uri="http://schemas.openxmlformats.org/drawingml/2006/picture">
                <pic:pic>
                  <pic:nvPicPr>
                    <pic:cNvPr id="0" name="figA_phylogenetic_eta2.png"/>
                    <pic:cNvPicPr/>
                  </pic:nvPicPr>
                  <pic:blipFill>
                    <a:blip r:embed="rId27"/>
                    <a:stretch>
                      <a:fillRect/>
                    </a:stretch>
                  </pic:blipFill>
                  <pic:spPr>
                    <a:xfrm>
                      <a:off x="0" y="0"/>
                      <a:ext cx="5029200" cy="3119377"/>
                    </a:xfrm>
                    <a:prstGeom prst="rect"/>
                  </pic:spPr>
                </pic:pic>
              </a:graphicData>
            </a:graphic>
          </wp:inline>
        </w:drawing>
      </w:r>
    </w:p>
    <w:p>
      <w:pPr>
        <w:spacing w:before="40" w:after="200"/>
        <w:jc w:val="center"/>
      </w:pPr>
      <w:r>
        <w:rPr>
          <w:rFonts w:ascii="Times New Roman" w:hAnsi="Times New Roman"/>
          <w:b w:val="0"/>
          <w:i/>
          <w:sz w:val="18"/>
        </w:rPr>
        <w:t>Figure 19. Permutation distribution of F-statistics; observed F in red.</w:t>
      </w:r>
    </w:p>
    <w:p>
      <w:pPr>
        <w:spacing w:before="160"/>
        <w:jc w:val="center"/>
      </w:pPr>
      <w:r>
        <w:drawing>
          <wp:inline xmlns:a="http://schemas.openxmlformats.org/drawingml/2006/main" xmlns:pic="http://schemas.openxmlformats.org/drawingml/2006/picture">
            <wp:extent cx="5029200" cy="3715227"/>
            <wp:docPr id="20" name="Picture 20"/>
            <wp:cNvGraphicFramePr>
              <a:graphicFrameLocks noChangeAspect="1"/>
            </wp:cNvGraphicFramePr>
            <a:graphic>
              <a:graphicData uri="http://schemas.openxmlformats.org/drawingml/2006/picture">
                <pic:pic>
                  <pic:nvPicPr>
                    <pic:cNvPr id="0" name="figB_within_family_variance.png"/>
                    <pic:cNvPicPr/>
                  </pic:nvPicPr>
                  <pic:blipFill>
                    <a:blip r:embed="rId28"/>
                    <a:stretch>
                      <a:fillRect/>
                    </a:stretch>
                  </pic:blipFill>
                  <pic:spPr>
                    <a:xfrm>
                      <a:off x="0" y="0"/>
                      <a:ext cx="5029200" cy="3715227"/>
                    </a:xfrm>
                    <a:prstGeom prst="rect"/>
                  </pic:spPr>
                </pic:pic>
              </a:graphicData>
            </a:graphic>
          </wp:inline>
        </w:drawing>
      </w:r>
    </w:p>
    <w:p>
      <w:pPr>
        <w:spacing w:before="40" w:after="200"/>
        <w:jc w:val="center"/>
      </w:pPr>
      <w:r>
        <w:rPr>
          <w:rFonts w:ascii="Times New Roman" w:hAnsi="Times New Roman"/>
          <w:b w:val="0"/>
          <w:i/>
          <w:sz w:val="18"/>
        </w:rPr>
        <w:t>Figure 20. Within-family variance in ergativity scores.</w:t>
      </w:r>
    </w:p>
    <w:p>
      <w:pPr>
        <w:spacing w:before="160"/>
        <w:jc w:val="center"/>
      </w:pPr>
      <w:r>
        <w:drawing>
          <wp:inline xmlns:a="http://schemas.openxmlformats.org/drawingml/2006/main" xmlns:pic="http://schemas.openxmlformats.org/drawingml/2006/picture">
            <wp:extent cx="5029200" cy="7537622"/>
            <wp:docPr id="21" name="Picture 21"/>
            <wp:cNvGraphicFramePr>
              <a:graphicFrameLocks noChangeAspect="1"/>
            </wp:cNvGraphicFramePr>
            <a:graphic>
              <a:graphicData uri="http://schemas.openxmlformats.org/drawingml/2006/picture">
                <pic:pic>
                  <pic:nvPicPr>
                    <pic:cNvPr id="0" name="figC_feature_conservatism.png"/>
                    <pic:cNvPicPr/>
                  </pic:nvPicPr>
                  <pic:blipFill>
                    <a:blip r:embed="rId29"/>
                    <a:stretch>
                      <a:fillRect/>
                    </a:stretch>
                  </pic:blipFill>
                  <pic:spPr>
                    <a:xfrm>
                      <a:off x="0" y="0"/>
                      <a:ext cx="5029200" cy="7537622"/>
                    </a:xfrm>
                    <a:prstGeom prst="rect"/>
                  </pic:spPr>
                </pic:pic>
              </a:graphicData>
            </a:graphic>
          </wp:inline>
        </w:drawing>
      </w:r>
    </w:p>
    <w:p>
      <w:pPr>
        <w:spacing w:before="40" w:after="200"/>
        <w:jc w:val="center"/>
      </w:pPr>
      <w:r>
        <w:rPr>
          <w:rFonts w:ascii="Times New Roman" w:hAnsi="Times New Roman"/>
          <w:b w:val="0"/>
          <w:i/>
          <w:sz w:val="18"/>
        </w:rPr>
        <w:t>Figure 21. Phylogenetic conservatism (Cramér's V) per feature, coloured by domain.</w:t>
      </w:r>
    </w:p>
    <w:p>
      <w:pPr>
        <w:pStyle w:val="Heading1"/>
      </w:pPr>
      <w:r>
        <w:rPr>
          <w:rFonts w:ascii="Times New Roman" w:hAnsi="Times New Roman"/>
          <w:color w:val="000000"/>
        </w:rPr>
        <w:t>10. Discussion</w:t>
      </w:r>
    </w:p>
    <w:p>
      <w:pPr>
        <w:spacing w:after="80"/>
        <w:ind w:firstLine="425"/>
        <w:jc w:val="both"/>
      </w:pPr>
      <w:r>
        <w:rPr>
          <w:rFonts w:ascii="Times New Roman" w:hAnsi="Times New Roman"/>
          <w:b w:val="0"/>
          <w:i w:val="0"/>
          <w:sz w:val="22"/>
        </w:rPr>
        <w:t>Taken together, these seven analyses paint a coherent picture of ergativity as a robust, pervasive, and partially genealogically constrained grammatical property. Several findings stand out.</w:t>
      </w:r>
    </w:p>
    <w:p>
      <w:pPr>
        <w:spacing w:after="80"/>
        <w:ind w:firstLine="425"/>
        <w:jc w:val="both"/>
      </w:pPr>
      <w:r>
        <w:rPr>
          <w:rFonts w:ascii="Times New Roman" w:hAnsi="Times New Roman"/>
          <w:b w:val="0"/>
          <w:i w:val="0"/>
          <w:sz w:val="22"/>
        </w:rPr>
        <w:t>The distribution of ergativity scores (mean = 0.855, Mdn = 0.900) shows that ERGON languages are overwhelmingly high-ergativity systems. The 16 languages with perfect scores — spanning Trans-Himalayan, Pama-Nyungan, Chukotko-Kamchatkan, Salishan, and Trans-New Guinea — represent the typological prototype of ergativity. At the same time, the full range from 0.045 to 1.0 confirms that ergativity is a gradient property even among languages classified as ergative.</w:t>
      </w:r>
    </w:p>
    <w:p>
      <w:pPr>
        <w:spacing w:after="80"/>
        <w:ind w:firstLine="425"/>
        <w:jc w:val="both"/>
      </w:pPr>
      <w:r>
        <w:rPr>
          <w:rFonts w:ascii="Times New Roman" w:hAnsi="Times New Roman"/>
          <w:b w:val="0"/>
          <w:i w:val="0"/>
          <w:sz w:val="22"/>
        </w:rPr>
        <w:t>The Silverstein hierarchy is remarkably well-respected (92.5% conformance). The 12 violations are partly genealogically coherent: three of the four [1,1,1,0] violators are Austronesian, suggesting that hierarchy violations, when they occur, tend to be inherited rather than independently evolved.</w:t>
      </w:r>
    </w:p>
    <w:p>
      <w:pPr>
        <w:spacing w:after="80"/>
        <w:ind w:firstLine="425"/>
        <w:jc w:val="both"/>
      </w:pPr>
      <w:r>
        <w:rPr>
          <w:rFonts w:ascii="Times New Roman" w:hAnsi="Times New Roman"/>
          <w:b w:val="0"/>
          <w:i w:val="0"/>
          <w:sz w:val="22"/>
        </w:rPr>
        <w:t>The near-absence of unexpected splits (&lt; 2% per domain) is a strong result. It implies that in ERGON, ergativity is overwhelmingly a language-wide property. This contrasts with a view of ergativity as primarily a split phenomenon driven by aspect or tense — a view that may be more applicable to different samples or to morphosyntactic ergativity.</w:t>
      </w:r>
    </w:p>
    <w:p>
      <w:pPr>
        <w:spacing w:after="80"/>
        <w:ind w:firstLine="425"/>
        <w:jc w:val="both"/>
      </w:pPr>
      <w:r>
        <w:rPr>
          <w:rFonts w:ascii="Times New Roman" w:hAnsi="Times New Roman"/>
          <w:b w:val="0"/>
          <w:i w:val="0"/>
          <w:sz w:val="22"/>
        </w:rPr>
        <w:t>The extraordinary intercorrelation among tense, aspect, mood, and realis features (φ &gt; 0.97) reveals that these conditioning environments are not independent in the ERGON languages. A language that marks the ergative in the perfective will, with near certainty, also mark it in the past, the indicative, and the realis. This aligns with Bybee et al.'s (1994) observation that these categories form a grammatical coherence cluster.</w:t>
      </w:r>
    </w:p>
    <w:p>
      <w:pPr>
        <w:spacing w:after="80"/>
        <w:ind w:firstLine="425"/>
        <w:jc w:val="both"/>
      </w:pPr>
      <w:r>
        <w:rPr>
          <w:rFonts w:ascii="Times New Roman" w:hAnsi="Times New Roman"/>
          <w:b w:val="0"/>
          <w:i w:val="0"/>
          <w:sz w:val="22"/>
        </w:rPr>
        <w:t>The phylogenetic signal analysis (η² ≈ 0.41) reveals that family membership explains roughly 40% of variance in ergativity patterns — substantial, but leaving 60% to be explained by contact, drift, or functional pressures. The differential conservatism of individual features invites further investigation into diachronic pathways of ergativity change.</w:t>
      </w:r>
    </w:p>
    <w:p>
      <w:pPr>
        <w:pStyle w:val="Heading1"/>
      </w:pPr>
      <w:r>
        <w:rPr>
          <w:rFonts w:ascii="Times New Roman" w:hAnsi="Times New Roman"/>
          <w:color w:val="000000"/>
        </w:rPr>
        <w:t>11. Conclusion</w:t>
      </w:r>
    </w:p>
    <w:p>
      <w:pPr>
        <w:spacing w:after="80"/>
        <w:ind w:firstLine="425"/>
        <w:jc w:val="both"/>
      </w:pPr>
      <w:r>
        <w:rPr>
          <w:rFonts w:ascii="Times New Roman" w:hAnsi="Times New Roman"/>
          <w:b w:val="0"/>
          <w:i w:val="0"/>
          <w:sz w:val="22"/>
        </w:rPr>
        <w:t>This report has presented the first systematic quantitative analysis of the ERGON database across 180 ergative languages. The results establish several robust typological generalizations: ergativity is broadly deployed across conditioning domains (mean 7.3/9 domains active); the Silverstein hierarchy is overwhelmingly respected (92.5%); split ergativity in unexpected directions is nearly absent; tense, aspect, mood, and realis features form a tightly intercorrelated cluster (φ &gt; 0.97) and are the strongest predictors of total ergativity score; and roughly 40% of cross-linguistic variation is genealogically determined.</w:t>
      </w:r>
    </w:p>
    <w:p>
      <w:pPr>
        <w:spacing w:after="80"/>
        <w:ind w:firstLine="425"/>
        <w:jc w:val="both"/>
      </w:pPr>
      <w:r>
        <w:rPr>
          <w:rFonts w:ascii="Times New Roman" w:hAnsi="Times New Roman"/>
          <w:b w:val="0"/>
          <w:i w:val="0"/>
          <w:sz w:val="22"/>
        </w:rPr>
        <w:t>Future work should expand the database to include the remaining Panoan and Takanan languages currently missing from ERGON, and should explore syntactic ergativity as a separate dimension. A geographic analysis examining whether ergativity clusters in specific macro-areas beyond genealogical prediction would complement the phylogenetic results. Finally, the tight feature correlations within the tense/aspect/mood/realis cluster raise the question of whether these should be treated as a single latent variable in future statistical modelling.</w:t>
      </w:r>
    </w:p>
    <w:p>
      <w:pPr>
        <w:pStyle w:val="Heading1"/>
      </w:pPr>
      <w:r>
        <w:rPr>
          <w:rFonts w:ascii="Times New Roman" w:hAnsi="Times New Roman"/>
          <w:color w:val="000000"/>
        </w:rPr>
        <w:t>References</w:t>
      </w:r>
    </w:p>
    <w:p>
      <w:pPr>
        <w:spacing w:after="80"/>
        <w:ind w:left="680" w:hanging="680"/>
      </w:pPr>
      <w:r>
        <w:rPr>
          <w:rFonts w:ascii="Times New Roman" w:hAnsi="Times New Roman"/>
          <w:b w:val="0"/>
          <w:i w:val="0"/>
          <w:sz w:val="20"/>
        </w:rPr>
        <w:t>Blasi, D. E., Michaelis, S. M., &amp; Haspelmath, M. (2019). Grammars are robustly transmitted even during the disruption of the transmission chain. Nature Human Behaviour, 3(12), 1268–1278.</w:t>
      </w:r>
    </w:p>
    <w:p>
      <w:pPr>
        <w:spacing w:after="80"/>
        <w:ind w:left="680" w:hanging="680"/>
      </w:pPr>
      <w:r>
        <w:rPr>
          <w:rFonts w:ascii="Times New Roman" w:hAnsi="Times New Roman"/>
          <w:b w:val="0"/>
          <w:i w:val="0"/>
          <w:sz w:val="20"/>
        </w:rPr>
        <w:t>Bybee, J., Perkins, R., &amp; Pagliuca, W. (1994). The Evolution of Grammar: Tense, Aspect, and Modality in the Languages of the World. University of Chicago Press.</w:t>
      </w:r>
    </w:p>
    <w:p>
      <w:pPr>
        <w:spacing w:after="80"/>
        <w:ind w:left="680" w:hanging="680"/>
      </w:pPr>
      <w:r>
        <w:rPr>
          <w:rFonts w:ascii="Times New Roman" w:hAnsi="Times New Roman"/>
          <w:b w:val="0"/>
          <w:i w:val="0"/>
          <w:sz w:val="20"/>
        </w:rPr>
        <w:t>Cohen, J. (1988). Statistical Power Analysis for the Behavioral Sciences (2nd ed.). Lawrence Erlbaum Associates.</w:t>
      </w:r>
    </w:p>
    <w:p>
      <w:pPr>
        <w:spacing w:after="80"/>
        <w:ind w:left="680" w:hanging="680"/>
      </w:pPr>
      <w:r>
        <w:rPr>
          <w:rFonts w:ascii="Times New Roman" w:hAnsi="Times New Roman"/>
          <w:b w:val="0"/>
          <w:i w:val="0"/>
          <w:sz w:val="20"/>
        </w:rPr>
        <w:t>Comrie, B. (1978). Ergativity. In W. Lehmann (Ed.), Syntactic Typology (pp. 329–394). University of Texas Press.</w:t>
      </w:r>
    </w:p>
    <w:p>
      <w:pPr>
        <w:spacing w:after="80"/>
        <w:ind w:left="680" w:hanging="680"/>
      </w:pPr>
      <w:r>
        <w:rPr>
          <w:rFonts w:ascii="Times New Roman" w:hAnsi="Times New Roman"/>
          <w:b w:val="0"/>
          <w:i w:val="0"/>
          <w:sz w:val="20"/>
        </w:rPr>
        <w:t>Dixon, R. M. W. (1979). Ergativity. Language, 55(1), 59–138.</w:t>
      </w:r>
    </w:p>
    <w:p>
      <w:pPr>
        <w:spacing w:after="80"/>
        <w:ind w:left="680" w:hanging="680"/>
      </w:pPr>
      <w:r>
        <w:rPr>
          <w:rFonts w:ascii="Times New Roman" w:hAnsi="Times New Roman"/>
          <w:b w:val="0"/>
          <w:i w:val="0"/>
          <w:sz w:val="20"/>
        </w:rPr>
        <w:t>Dixon, R. M. W. (1994). Ergativity. Cambridge University Press.</w:t>
      </w:r>
    </w:p>
    <w:p>
      <w:pPr>
        <w:spacing w:after="80"/>
        <w:ind w:left="680" w:hanging="680"/>
      </w:pPr>
      <w:r>
        <w:rPr>
          <w:rFonts w:ascii="Times New Roman" w:hAnsi="Times New Roman"/>
          <w:b w:val="0"/>
          <w:i w:val="0"/>
          <w:sz w:val="20"/>
        </w:rPr>
        <w:t>Forkel, R., List, J.-M., Greenhill, S. J., Rzymski, C., Bank, S., Cysouw, M., Hammarström, H., Haspelmath, M., Kaiping, G. A., &amp; Gray, R. D. (2018). Cross-Linguistic Data Formats, advancing data sharing and re-use in comparative linguistics. Scientific Data, 5, 180205.</w:t>
      </w:r>
    </w:p>
    <w:p>
      <w:pPr>
        <w:spacing w:after="80"/>
        <w:ind w:left="680" w:hanging="680"/>
      </w:pPr>
      <w:r>
        <w:rPr>
          <w:rFonts w:ascii="Times New Roman" w:hAnsi="Times New Roman"/>
          <w:b w:val="0"/>
          <w:i w:val="0"/>
          <w:sz w:val="20"/>
        </w:rPr>
        <w:t>Givón, T. (2001). Syntax: An Introduction (Vol. 1). John Benjamins.</w:t>
      </w:r>
    </w:p>
    <w:p>
      <w:pPr>
        <w:spacing w:after="80"/>
        <w:ind w:left="680" w:hanging="680"/>
      </w:pPr>
      <w:r>
        <w:rPr>
          <w:rFonts w:ascii="Times New Roman" w:hAnsi="Times New Roman"/>
          <w:b w:val="0"/>
          <w:i w:val="0"/>
          <w:sz w:val="20"/>
        </w:rPr>
        <w:t>Greenhill, S. J., Atkinson, Q. D., Meade, A., &amp; Gray, R. D. (2010). The shape and tempo of language evolution. Proceedings of the Royal Society B, 277(1693), 2443–2450.</w:t>
      </w:r>
    </w:p>
    <w:p>
      <w:pPr>
        <w:spacing w:after="80"/>
        <w:ind w:left="680" w:hanging="680"/>
      </w:pPr>
      <w:r>
        <w:rPr>
          <w:rFonts w:ascii="Times New Roman" w:hAnsi="Times New Roman"/>
          <w:b w:val="0"/>
          <w:i w:val="0"/>
          <w:sz w:val="20"/>
        </w:rPr>
        <w:t>Manning, C. D. (1996). Ergativity: Argument Structure and Grammatical Relations. CSLI Publications.</w:t>
      </w:r>
    </w:p>
    <w:p>
      <w:pPr>
        <w:spacing w:after="80"/>
        <w:ind w:left="680" w:hanging="680"/>
      </w:pPr>
      <w:r>
        <w:rPr>
          <w:rFonts w:ascii="Times New Roman" w:hAnsi="Times New Roman"/>
          <w:b w:val="0"/>
          <w:i w:val="0"/>
          <w:sz w:val="20"/>
        </w:rPr>
        <w:t>Silverstein, M. (1976). Hierarchy of features and ergativity. In R. M. W. Dixon (Ed.), Grammatical Categories in Australian Languages (pp. 112–171). Australian Institute of Aboriginal Studies.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