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8C9ED22">
      <w:pPr>
        <w:pStyle w:val="000002"/>
        <w:keepNext w:val="1"/>
        <w:keepLines w:val="1"/>
        <w:pBdr>
          <w:bottom w:val="single" w:color="0d47a1" w:sz="12" w:space="4"/>
        </w:pBdr>
        <w:spacing w:before="360" w:beforeAutospacing="1" w:after="100" w:afterAutospacing="1" w:line="408"/>
        <w:outlineLvl w:val="0"/>
        <w:rPr>
          <w:color w:val="0d47a1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d47a1"/>
          <w:sz w:val="24"/>
        </w:rPr>
        <w:t>社区便民小程序 · 项目综合说明 v1.0</w:t>
      </w:r>
    </w:p>
    <w:p w14:paraId="38B3BC43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项目</w:t>
      </w:r>
      <w:r>
        <w:rPr>
          <w:rFonts w:hint="eastAsia" w:ascii="SimSun" w:hAnsi="SimSun" w:eastAsia="SimSun" w:cs="SimSun"/>
          <w:color w:val="1f2328"/>
          <w:sz w:val="24"/>
        </w:rPr>
        <w:t>：社区便民小程序（邻里小助手）</w:t>
      </w:r>
    </w:p>
    <w:p w14:paraId="46C935A1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赛事</w:t>
      </w:r>
      <w:r>
        <w:rPr>
          <w:rFonts w:hint="eastAsia" w:ascii="SimSun" w:hAnsi="SimSun" w:eastAsia="SimSun" w:cs="SimSun"/>
          <w:color w:val="1f2328"/>
          <w:sz w:val="24"/>
        </w:rPr>
        <w:t>：讯方杯 · 主题「公共服务 → 社区便民」· 提交截止 2026-10-25 23:59 · 答辩 2026-10-27</w:t>
      </w:r>
    </w:p>
    <w:p w14:paraId="515B67DF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产品版本</w:t>
      </w:r>
      <w:r>
        <w:rPr>
          <w:rFonts w:hint="eastAsia" w:ascii="SimSun" w:hAnsi="SimSun" w:eastAsia="SimSun" w:cs="SimSun"/>
          <w:color w:val="1f2328"/>
          <w:sz w:val="24"/>
        </w:rPr>
        <w:t xml:space="preserve"> v1.2.0｜契约 v1.4｜原型 v1.4.0</w:t>
      </w:r>
    </w:p>
    <w:p w14:paraId="64364CB2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规模</w:t>
      </w:r>
      <w:r>
        <w:rPr>
          <w:rFonts w:hint="eastAsia" w:ascii="SimSun" w:hAnsi="SimSun" w:eastAsia="SimSun" w:cs="SimSun"/>
          <w:color w:val="1f2328"/>
          <w:sz w:val="24"/>
        </w:rPr>
        <w:t>：32 页面 · 8 云函数 · 19 对外动作 · 8 集合 · 340 测试</w:t>
      </w:r>
    </w:p>
    <w:p w14:paraId="47A583AB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文档日期</w:t>
      </w:r>
      <w:r>
        <w:rPr>
          <w:rFonts w:hint="eastAsia" w:ascii="SimSun" w:hAnsi="SimSun" w:eastAsia="SimSun" w:cs="SimSun"/>
          <w:color w:val="1f2328"/>
          <w:sz w:val="24"/>
        </w:rPr>
        <w:t>：2026-10-23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0d7de" w:sz="24"/>
              <w:bottom w:val="none" w:sz="8"/>
              <w:right w:val="none" w:sz="8"/>
            </w:tcBorders>
            <w:shd w:val="clear" w:fill="f6f8fa"/>
            <w:vAlign w:val="center"/>
          </w:tcPr>
          <w:p w14:paraId="17003E6D">
            <w:pPr>
              <w:rPr>
                <w:color w:val="57606a"/>
              </w:rPr>
            </w:pPr>
            <w:r>
              <w:rPr>
                <w:rFonts w:hint="eastAsia" w:ascii="SimSun" w:hAnsi="SimSun" w:eastAsia="SimSun" w:cs="SimSun"/>
                <w:color w:val="57606a"/>
                <w:sz w:val="21"/>
              </w:rPr>
              <w:t>本文件整合《功能与特点介绍》与《项目全览与交付说明》两份，去重后形成一份完整项目说明，</w:t>
            </w:r>
          </w:p>
        </w:tc>
      </w:tr>
    </w:tbl>
    <w:p w14:paraId="2E3EA43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0d7de" w:sz="24"/>
              <w:bottom w:val="none" w:sz="8"/>
              <w:right w:val="none" w:sz="8"/>
            </w:tcBorders>
            <w:shd w:val="clear" w:fill="f6f8fa"/>
            <w:vAlign w:val="center"/>
          </w:tcPr>
          <w:p w14:paraId="0A5C87F1">
            <w:pPr>
              <w:rPr>
                <w:color w:val="57606a"/>
              </w:rPr>
            </w:pPr>
            <w:r>
              <w:rPr>
                <w:rFonts w:hint="eastAsia" w:ascii="SimSun" w:hAnsi="SimSun" w:eastAsia="SimSun" w:cs="SimSun"/>
                <w:color w:val="57606a"/>
                <w:sz w:val="21"/>
              </w:rPr>
              <w:t>既可用于答辩展示，也可用于团队交接。</w:t>
            </w:r>
          </w:p>
        </w:tc>
      </w:tr>
    </w:tbl>
    <w:p w14:paraId="39807761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1 项目定位</w:t>
      </w:r>
    </w:p>
    <w:p w14:paraId="2E8068E1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面向社区（重点是中老年居民）的</w:t>
      </w:r>
      <w:r>
        <w:rPr>
          <w:rFonts w:hint="eastAsia" w:ascii="SimSun" w:hAnsi="SimSun" w:eastAsia="SimSun" w:cs="SimSun"/>
          <w:b w:val="1"/>
          <w:color w:val="1f2328"/>
          <w:sz w:val="24"/>
        </w:rPr>
        <w:t>一站式便民服务与信息中枢</w:t>
      </w:r>
      <w:r>
        <w:rPr>
          <w:rFonts w:hint="eastAsia" w:ascii="SimSun" w:hAnsi="SimSun" w:eastAsia="SimSun" w:cs="SimSun"/>
          <w:color w:val="1f2328"/>
          <w:sz w:val="24"/>
        </w:rPr>
        <w:t>——报修、缴费、挂号、助餐、</w:t>
      </w:r>
    </w:p>
    <w:p w14:paraId="75E788F2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通知、电话簿这些高频琐事收进一个入口，用 AI 降低使用门槛。</w:t>
      </w:r>
    </w:p>
    <w:p w14:paraId="3CCB08C2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一句话卖点</w:t>
      </w:r>
      <w:r>
        <w:rPr>
          <w:rFonts w:hint="eastAsia" w:ascii="SimSun" w:hAnsi="SimSun" w:eastAsia="SimSun" w:cs="SimSun"/>
          <w:color w:val="1f2328"/>
          <w:sz w:val="24"/>
        </w:rPr>
        <w:t>：报修有人管、办事有人答、电话随手查、AI 帮你问。</w:t>
      </w:r>
    </w:p>
    <w:p w14:paraId="23FFD9F3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差异化</w:t>
      </w:r>
      <w:r>
        <w:rPr>
          <w:rFonts w:hint="eastAsia" w:ascii="SimSun" w:hAnsi="SimSun" w:eastAsia="SimSun" w:cs="SimSun"/>
          <w:color w:val="1f2328"/>
          <w:sz w:val="24"/>
        </w:rPr>
        <w:t>：服务聚合密度高（38 项）+ AI 安全护栏 + 老人友好（关怀模式大字 / 一键拨号）。</w:t>
      </w:r>
    </w:p>
    <w:p w14:paraId="3B0061AE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目标用户</w:t>
      </w:r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eef2f8"/>
            <w:vAlign w:val="center"/>
          </w:tcPr>
          <w:p w14:paraId="502EED1E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用户群</w:t>
            </w:r>
          </w:p>
        </w:tc>
        <w:tc>
          <w:tcPr>
            <w:tcW w:w="2768" w:type="dxa"/>
            <w:shd w:val="clear" w:fill="eef2f8"/>
            <w:vAlign w:val="center"/>
          </w:tcPr>
          <w:p w14:paraId="48EE6ADC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画像</w:t>
            </w:r>
          </w:p>
        </w:tc>
        <w:tc>
          <w:tcPr>
            <w:tcW w:w="2768" w:type="dxa"/>
            <w:shd w:val="clear" w:fill="eef2f8"/>
            <w:vAlign w:val="center"/>
          </w:tcPr>
          <w:p w14:paraId="7E590235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核心诉求</w:t>
            </w:r>
          </w:p>
        </w:tc>
      </w:tr>
      <w:tr>
        <w:trPr/>
        <w:tc>
          <w:tcPr>
            <w:tcW w:w="2768" w:type="dxa"/>
            <w:vAlign w:val="center"/>
          </w:tcPr>
          <w:p w14:paraId="4AB2F3C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社区居民（主力）</w:t>
            </w:r>
          </w:p>
        </w:tc>
        <w:tc>
          <w:tcPr>
            <w:tcW w:w="2768" w:type="dxa"/>
            <w:vAlign w:val="center"/>
          </w:tcPr>
          <w:p w14:paraId="18ED916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25–70 岁，含大量不熟悉 App 操作的中老年人</w:t>
            </w:r>
          </w:p>
        </w:tc>
        <w:tc>
          <w:tcPr>
            <w:tcW w:w="2768" w:type="dxa"/>
            <w:vAlign w:val="center"/>
          </w:tcPr>
          <w:p w14:paraId="2880799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一件事只跑一趟</w:t>
            </w:r>
          </w:p>
        </w:tc>
      </w:tr>
      <w:tr>
        <w:trPr/>
        <w:tc>
          <w:tcPr>
            <w:tcW w:w="2768" w:type="dxa"/>
            <w:vAlign w:val="center"/>
          </w:tcPr>
          <w:p w14:paraId="6FCF1CF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独居老人 / 行动不便者</w:t>
            </w:r>
          </w:p>
        </w:tc>
        <w:tc>
          <w:tcPr>
            <w:tcW w:w="2768" w:type="dxa"/>
            <w:vAlign w:val="center"/>
          </w:tcPr>
          <w:p w14:paraId="0F9D8FD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60 岁以上，视力与操作能力下降</w:t>
            </w:r>
          </w:p>
        </w:tc>
        <w:tc>
          <w:tcPr>
            <w:tcW w:w="2768" w:type="dxa"/>
            <w:vAlign w:val="center"/>
          </w:tcPr>
          <w:p w14:paraId="7300EEC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大字、少层级、一键打电话给人</w:t>
            </w:r>
          </w:p>
        </w:tc>
      </w:tr>
      <w:tr>
        <w:trPr/>
        <w:tc>
          <w:tcPr>
            <w:tcW w:w="2768" w:type="dxa"/>
            <w:vAlign w:val="center"/>
          </w:tcPr>
          <w:p w14:paraId="0313E657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物业维修人员</w:t>
            </w:r>
          </w:p>
        </w:tc>
        <w:tc>
          <w:tcPr>
            <w:tcW w:w="2768" w:type="dxa"/>
            <w:vAlign w:val="center"/>
          </w:tcPr>
          <w:p w14:paraId="0A49196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现场作业，手机操作为主</w:t>
            </w:r>
          </w:p>
        </w:tc>
        <w:tc>
          <w:tcPr>
            <w:tcW w:w="2768" w:type="dxa"/>
            <w:vAlign w:val="center"/>
          </w:tcPr>
          <w:p w14:paraId="3379088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快速接单、看单、回报进度</w:t>
            </w:r>
          </w:p>
        </w:tc>
      </w:tr>
      <w:tr>
        <w:trPr/>
        <w:tc>
          <w:tcPr>
            <w:tcW w:w="2768" w:type="dxa"/>
            <w:vAlign w:val="center"/>
          </w:tcPr>
          <w:p w14:paraId="58573B9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社区居委会 / 管理员</w:t>
            </w:r>
          </w:p>
        </w:tc>
        <w:tc>
          <w:tcPr>
            <w:tcW w:w="2768" w:type="dxa"/>
            <w:vAlign w:val="center"/>
          </w:tcPr>
          <w:p w14:paraId="42B6D4A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兼职管理，非技术人员</w:t>
            </w:r>
          </w:p>
        </w:tc>
        <w:tc>
          <w:tcPr>
            <w:tcW w:w="2768" w:type="dxa"/>
            <w:vAlign w:val="center"/>
          </w:tcPr>
          <w:p w14:paraId="3FCAADC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发通知、看统计、改服务分类（不改代码）</w:t>
            </w:r>
          </w:p>
        </w:tc>
      </w:tr>
    </w:tbl>
    <w:p w14:paraId="6DF238BF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2 功能全景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205DDA3D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21"/>
              </w:rPr>
              <w:t>四大主板块（tab） 四大能力层 服务生态（第二梯队） ───────────────── ───────────────── ───────────────────────── 首页 · 社区信息中枢 AI 管家 · RAG 问答 生鲜零售 · 智慧配餐 办事大厅 · 38 项服务 报修工单 · 闭环流转 房屋租售 · 快递代取 社区圈子 · 邻里互动 社区地图 · 定位点位 健康档案 · 账单代缴 我的 · 适老设置 便民电话簿 · 一键拨号 工具借用 · 文化服务</w:t>
            </w:r>
          </w:p>
        </w:tc>
      </w:tr>
    </w:tbl>
    <w:p w14:paraId="29320DF7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3 核心功能与特点</w:t>
      </w:r>
    </w:p>
    <w:p w14:paraId="279206B1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3.1 首页 —— 社区"今日信息中枢"</w:t>
      </w:r>
    </w:p>
    <w:p w14:paraId="6549B140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顶部实时定位 + 搜索 + 四个快捷入口（报修/缴费/挂号/助餐），向下依次是服务分类 → 常用服务 →</w:t>
      </w:r>
    </w:p>
    <w:p w14:paraId="1C7B5BE5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附近服务 → AI 管家提醒 → 社区动态。</w:t>
      </w:r>
    </w:p>
    <w:p w14:paraId="6438F4DD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特点</w:t>
      </w:r>
      <w:r>
        <w:rPr>
          <w:rFonts w:hint="eastAsia" w:ascii="SimSun" w:hAnsi="SimSun" w:eastAsia="SimSun" w:cs="SimSun"/>
          <w:color w:val="1f2328"/>
          <w:sz w:val="24"/>
        </w:rPr>
        <w:t>：定位文案、地图距离均按真实 GPS 动态计算，不写死；AI 提醒来自工单与通知的真实关联。</w:t>
      </w:r>
    </w:p>
    <w:p w14:paraId="3964C056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3.2 办事大厅 —— 38 项服务的统一入口</w:t>
      </w:r>
    </w:p>
    <w:p w14:paraId="64FF283F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4 大类（生活基础 / 健康养老 / 便民配套 / 社区文化）· 8 板块 · 38 项服务。</w:t>
      </w:r>
    </w:p>
    <w:p w14:paraId="6B72114F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特点一：统一预约收口</w:t>
      </w:r>
      <w:r>
        <w:rPr>
          <w:rFonts w:hint="eastAsia" w:ascii="SimSun" w:hAnsi="SimSun" w:eastAsia="SimSun" w:cs="SimSun"/>
          <w:color w:val="1f2328"/>
          <w:sz w:val="24"/>
        </w:rPr>
        <w:t>。所有「预约登记类」服务指向</w:t>
      </w:r>
      <w:r>
        <w:rPr>
          <w:rFonts w:hint="eastAsia" w:ascii="SimSun" w:hAnsi="SimSun" w:eastAsia="SimSun" w:cs="SimSun"/>
          <w:b w:val="1"/>
          <w:color w:val="1f2328"/>
          <w:sz w:val="24"/>
        </w:rPr>
        <w:t>同一个三步式预约页</w:t>
      </w:r>
    </w:p>
    <w:p w14:paraId="5C162F93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 xml:space="preserve"> （服务名/选项/分类用参数传入），避免为几十个服务各写页面，是它可维护性的关键。</w:t>
      </w:r>
    </w:p>
    <w:p w14:paraId="4E3A9C55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特点二：配置化驱动</w:t>
      </w:r>
      <w:r>
        <w:rPr>
          <w:rFonts w:hint="eastAsia" w:ascii="SimSun" w:hAnsi="SimSun" w:eastAsia="SimSun" w:cs="SimSun"/>
          <w:color w:val="1f2328"/>
          <w:sz w:val="24"/>
        </w:rPr>
        <w:t>。服务项名称、图标、跳转目标全部集中在 service-grid.ts，</w:t>
      </w:r>
    </w:p>
    <w:p w14:paraId="333B5C1E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 xml:space="preserve"> 增删改服务不动任何页面代码。</w:t>
      </w:r>
    </w:p>
    <w:p w14:paraId="4BEE2AF3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3.3 AI 管家 —— 最大的差异化亮点</w:t>
      </w:r>
    </w:p>
    <w:p w14:paraId="79AC375E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本地知识库优先 + DeepSeek 大模型 RAG 兜底，多轮对话，回答带来源标注。</w:t>
      </w:r>
    </w:p>
    <w:p w14:paraId="27A70467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安全护栏</w:t>
      </w:r>
      <w:r>
        <w:rPr>
          <w:rFonts w:hint="eastAsia" w:ascii="SimSun" w:hAnsi="SimSun" w:eastAsia="SimSun" w:cs="SimSun"/>
          <w:color w:val="1f2328"/>
          <w:sz w:val="24"/>
        </w:rPr>
        <w:t>：涉医/涉法/紧急求助自动拦截（问"胸痛怎么办"→ 引导拨打 120），绝不越界作答；</w:t>
      </w:r>
    </w:p>
    <w:p w14:paraId="0192BAB4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场景集群</w:t>
      </w:r>
      <w:r>
        <w:rPr>
          <w:rFonts w:hint="eastAsia" w:ascii="SimSun" w:hAnsi="SimSun" w:eastAsia="SimSun" w:cs="SimSun"/>
          <w:color w:val="1f2328"/>
          <w:sz w:val="24"/>
        </w:rPr>
        <w:t>：8 个场景卡片"点卡即带好预设问题"，降低老人组织语言的负担；</w:t>
      </w:r>
    </w:p>
    <w:p w14:paraId="6381B0F4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降级不裸奔</w:t>
      </w:r>
      <w:r>
        <w:rPr>
          <w:rFonts w:hint="eastAsia" w:ascii="SimSun" w:hAnsi="SimSun" w:eastAsia="SimSun" w:cs="SimSun"/>
          <w:color w:val="1f2328"/>
          <w:sz w:val="24"/>
        </w:rPr>
        <w:t>：AI 不可用时回退本地知识库 + 引导电话，回答永远有着落。</w:t>
      </w:r>
    </w:p>
    <w:p w14:paraId="612707EA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3.4 报修工单 —— 完整闭环</w:t>
      </w:r>
    </w:p>
    <w:p w14:paraId="6332EC9A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创建（可拍照、AI 自动生成摘要）→ 列表 → 详情 → 状态流转（待派单/已派单/处理中/已完工/取消），</w:t>
      </w:r>
    </w:p>
    <w:p w14:paraId="1D008A69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每步可查，完成时订阅消息通知报修人。</w:t>
      </w:r>
    </w:p>
    <w:p w14:paraId="34C8BDD8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3.5 社区地图 —— 真定位 + 真距离</w:t>
      </w:r>
    </w:p>
    <w:p w14:paraId="2DDC3672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原生 &lt;map&gt; + 高精度定位（GCJ-02），9 个服务点位；距离按用户真实位置 Haversine 实时计算、</w:t>
      </w:r>
    </w:p>
    <w:p w14:paraId="56AC1528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按近远排序，可跳系统导航。</w:t>
      </w:r>
    </w:p>
    <w:p w14:paraId="0FB9BC4D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3.6 便民电话簿 —— 分类 + 一键拨号</w:t>
      </w:r>
    </w:p>
    <w:p w14:paraId="0C7249FF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5 类，110/119/120 真号保留并突出显示，一键拨号（老人友好）。</w:t>
      </w:r>
    </w:p>
    <w:p w14:paraId="49A52EE4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3.7 服务生态（第二梯队）</w:t>
      </w:r>
    </w:p>
    <w:p w14:paraId="5DD8E5BD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生鲜零售（购物车预订）、智慧配餐（换菜/控糖）、房屋租售（筛选/登记）、快递代取、健康档案、</w:t>
      </w:r>
    </w:p>
    <w:p w14:paraId="696EC35D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账单代缴、工具借用、文化服务等专题页，各自有专属交互，且均遵守「社区只做信息与登记、</w:t>
      </w:r>
    </w:p>
    <w:p w14:paraId="101E42C6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不撮合不代收资金」的红线。</w:t>
      </w:r>
    </w:p>
    <w:p w14:paraId="7A8175CC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4 技术架构与工程特点</w:t>
      </w:r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eef2f8"/>
            <w:vAlign w:val="center"/>
          </w:tcPr>
          <w:p w14:paraId="73DC05AF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维度</w:t>
            </w:r>
          </w:p>
        </w:tc>
        <w:tc>
          <w:tcPr>
            <w:tcW w:w="2768" w:type="dxa"/>
            <w:shd w:val="clear" w:fill="eef2f8"/>
            <w:vAlign w:val="center"/>
          </w:tcPr>
          <w:p w14:paraId="74F9A869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做法</w:t>
            </w:r>
          </w:p>
        </w:tc>
        <w:tc>
          <w:tcPr>
            <w:tcW w:w="2768" w:type="dxa"/>
            <w:shd w:val="clear" w:fill="eef2f8"/>
            <w:vAlign w:val="center"/>
          </w:tcPr>
          <w:p w14:paraId="6D1D56A3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价值</w:t>
            </w:r>
          </w:p>
        </w:tc>
      </w:tr>
      <w:tr>
        <w:trPr/>
        <w:tc>
          <w:tcPr>
            <w:tcW w:w="2768" w:type="dxa"/>
            <w:vAlign w:val="center"/>
          </w:tcPr>
          <w:p w14:paraId="1AAC04E8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技术栈</w:t>
            </w:r>
          </w:p>
        </w:tc>
        <w:tc>
          <w:tcPr>
            <w:tcW w:w="2768" w:type="dxa"/>
            <w:vAlign w:val="center"/>
          </w:tcPr>
          <w:p w14:paraId="68A406B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原生小程序 + TypeScript + 微信云开发</w:t>
            </w:r>
          </w:p>
        </w:tc>
        <w:tc>
          <w:tcPr>
            <w:tcW w:w="2768" w:type="dxa"/>
            <w:vAlign w:val="center"/>
          </w:tcPr>
          <w:p w14:paraId="369F3E5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轻量、无跨端包袱、随云弹性</w:t>
            </w:r>
          </w:p>
        </w:tc>
      </w:tr>
      <w:tr>
        <w:trPr/>
        <w:tc>
          <w:tcPr>
            <w:tcW w:w="2768" w:type="dxa"/>
            <w:vAlign w:val="center"/>
          </w:tcPr>
          <w:p w14:paraId="0117E5CC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后端形态</w:t>
            </w:r>
          </w:p>
        </w:tc>
        <w:tc>
          <w:tcPr>
            <w:tcW w:w="2768" w:type="dxa"/>
            <w:vAlign w:val="center"/>
          </w:tcPr>
          <w:p w14:paraId="057B701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8 个云函数，统一 name='资源' + data.action 调用</w:t>
            </w:r>
          </w:p>
        </w:tc>
        <w:tc>
          <w:tcPr>
            <w:tcW w:w="2768" w:type="dxa"/>
            <w:vAlign w:val="center"/>
          </w:tcPr>
          <w:p w14:paraId="4A93628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契约与实现一一对应</w:t>
            </w:r>
          </w:p>
        </w:tc>
      </w:tr>
      <w:tr>
        <w:trPr/>
        <w:tc>
          <w:tcPr>
            <w:tcW w:w="2768" w:type="dxa"/>
            <w:vAlign w:val="center"/>
          </w:tcPr>
          <w:p w14:paraId="256D210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契约驱动</w:t>
            </w:r>
          </w:p>
        </w:tc>
        <w:tc>
          <w:tcPr>
            <w:tcW w:w="2768" w:type="dxa"/>
            <w:vAlign w:val="center"/>
          </w:tcPr>
          <w:p w14:paraId="0227374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contracts/ 为单一事实源（API/数据模型/任务卡）</w:t>
            </w:r>
          </w:p>
        </w:tc>
        <w:tc>
          <w:tcPr>
            <w:tcW w:w="2768" w:type="dxa"/>
            <w:vAlign w:val="center"/>
          </w:tcPr>
          <w:p w14:paraId="2925742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前后端、多角色对齐不漂移</w:t>
            </w:r>
          </w:p>
        </w:tc>
      </w:tr>
      <w:tr>
        <w:trPr/>
        <w:tc>
          <w:tcPr>
            <w:tcW w:w="2768" w:type="dxa"/>
            <w:vAlign w:val="center"/>
          </w:tcPr>
          <w:p w14:paraId="67F1D72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双通道</w:t>
            </w:r>
          </w:p>
        </w:tc>
        <w:tc>
          <w:tcPr>
            <w:tcW w:w="2768" w:type="dxa"/>
            <w:vAlign w:val="center"/>
          </w:tcPr>
          <w:p w14:paraId="527A418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USE_MOCK 一键切「本地演示 / 真云」</w:t>
            </w:r>
          </w:p>
        </w:tc>
        <w:tc>
          <w:tcPr>
            <w:tcW w:w="2768" w:type="dxa"/>
            <w:vAlign w:val="center"/>
          </w:tcPr>
          <w:p w14:paraId="1F01A31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演示不依赖后端，联调不重写</w:t>
            </w:r>
          </w:p>
        </w:tc>
      </w:tr>
      <w:tr>
        <w:trPr/>
        <w:tc>
          <w:tcPr>
            <w:tcW w:w="2768" w:type="dxa"/>
            <w:vAlign w:val="center"/>
          </w:tcPr>
          <w:p w14:paraId="6B816266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样式工程</w:t>
            </w:r>
          </w:p>
        </w:tc>
        <w:tc>
          <w:tcPr>
            <w:tcW w:w="2768" w:type="dxa"/>
            <w:vAlign w:val="center"/>
          </w:tcPr>
          <w:p w14:paraId="6D0F60C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设计 token + 图标/布局生成器</w:t>
            </w:r>
          </w:p>
        </w:tc>
        <w:tc>
          <w:tcPr>
            <w:tcW w:w="2768" w:type="dxa"/>
            <w:vAlign w:val="center"/>
          </w:tcPr>
          <w:p w14:paraId="6EA5F524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改原型重跑脚本，杜绝手改生成物</w:t>
            </w:r>
          </w:p>
        </w:tc>
      </w:tr>
      <w:tr>
        <w:trPr/>
        <w:tc>
          <w:tcPr>
            <w:tcW w:w="2768" w:type="dxa"/>
            <w:vAlign w:val="center"/>
          </w:tcPr>
          <w:p w14:paraId="3A2D4DB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版本守卫</w:t>
            </w:r>
          </w:p>
        </w:tc>
        <w:tc>
          <w:tcPr>
            <w:tcW w:w="2768" w:type="dxa"/>
            <w:vAlign w:val="center"/>
          </w:tcPr>
          <w:p w14:paraId="55D89F9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version.test.ts 全仓版本号强一致</w:t>
            </w:r>
          </w:p>
        </w:tc>
        <w:tc>
          <w:tcPr>
            <w:tcW w:w="2768" w:type="dxa"/>
            <w:vAlign w:val="center"/>
          </w:tcPr>
          <w:p w14:paraId="5C81A45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改版本漏一处即测试失败</w:t>
            </w:r>
          </w:p>
        </w:tc>
      </w:tr>
      <w:tr>
        <w:trPr/>
        <w:tc>
          <w:tcPr>
            <w:tcW w:w="2768" w:type="dxa"/>
            <w:vAlign w:val="center"/>
          </w:tcPr>
          <w:p w14:paraId="4E7880D2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云函数打包</w:t>
            </w:r>
          </w:p>
        </w:tc>
        <w:tc>
          <w:tcPr>
            <w:tcW w:w="2768" w:type="dxa"/>
            <w:vAlign w:val="center"/>
          </w:tcPr>
          <w:p w14:paraId="30DE35C0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共享模块平铺进各函数</w:t>
            </w:r>
          </w:p>
        </w:tc>
        <w:tc>
          <w:tcPr>
            <w:tcW w:w="2768" w:type="dxa"/>
            <w:vAlign w:val="center"/>
          </w:tcPr>
          <w:p w14:paraId="2C654A1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规避 MODULE_NOT_FOUND 经典坑</w:t>
            </w:r>
          </w:p>
        </w:tc>
      </w:tr>
      <w:tr>
        <w:trPr/>
        <w:tc>
          <w:tcPr>
            <w:tcW w:w="2768" w:type="dxa"/>
            <w:vAlign w:val="center"/>
          </w:tcPr>
          <w:p w14:paraId="79DACBB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安全合规</w:t>
            </w:r>
          </w:p>
        </w:tc>
        <w:tc>
          <w:tcPr>
            <w:tcW w:w="2768" w:type="dxa"/>
            <w:vAlign w:val="center"/>
          </w:tcPr>
          <w:p w14:paraId="0BC99A9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密钥只进环境变量、手机号 AES 加密、隐私声明</w:t>
            </w:r>
          </w:p>
        </w:tc>
        <w:tc>
          <w:tcPr>
            <w:tcW w:w="2768" w:type="dxa"/>
            <w:vAlign w:val="center"/>
          </w:tcPr>
          <w:p w14:paraId="5FBD15F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过审与数据安全有底</w:t>
            </w:r>
          </w:p>
        </w:tc>
      </w:tr>
    </w:tbl>
    <w:p w14:paraId="0C4F995F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目录结构速览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6EB2B4AD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21"/>
              </w:rPr>
              <w:t>miniprogram/ 前端源码（TS）：pages 32 页 / components / services / config / utils / mock cloudfunctions/ 8 个云函数 + shared/ 共享模块 contracts/ 契约（api-contract.md / db-schema.md 是唯一事实源） scripts/ 构建 / 自检 / 生成器 / 种子导入 docs/ 30+ 篇文档 tests/ 340 条测试</w:t>
            </w:r>
          </w:p>
        </w:tc>
      </w:tr>
    </w:tbl>
    <w:p w14:paraId="71D87A72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5 差异化亮点总结</w:t>
      </w:r>
    </w:p>
    <w:p w14:paraId="5425F439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高密度服务聚合</w:t>
      </w:r>
      <w:r>
        <w:rPr>
          <w:rFonts w:hint="eastAsia" w:ascii="SimSun" w:hAnsi="SimSun" w:eastAsia="SimSun" w:cs="SimSun"/>
          <w:color w:val="1f2328"/>
          <w:sz w:val="24"/>
        </w:rPr>
        <w:t>：38 项高频刚需 + 统一预约，不做单点花哨、做全做稳；</w:t>
      </w:r>
    </w:p>
    <w:p w14:paraId="416DD939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AI 降低门槛</w:t>
      </w:r>
      <w:r>
        <w:rPr>
          <w:rFonts w:hint="eastAsia" w:ascii="SimSun" w:hAnsi="SimSun" w:eastAsia="SimSun" w:cs="SimSun"/>
          <w:color w:val="1f2328"/>
          <w:sz w:val="24"/>
        </w:rPr>
        <w:t>：RAG 问答 + 场景直达 + 安全护栏，让不会打字的老人也能用；</w:t>
      </w:r>
    </w:p>
    <w:p w14:paraId="35A45BF7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老人友好</w:t>
      </w:r>
      <w:r>
        <w:rPr>
          <w:rFonts w:hint="eastAsia" w:ascii="SimSun" w:hAnsi="SimSun" w:eastAsia="SimSun" w:cs="SimSun"/>
          <w:color w:val="1f2328"/>
          <w:sz w:val="24"/>
        </w:rPr>
        <w:t>：关怀模式全局大字、一键拨号、明码标价、少层级；</w:t>
      </w:r>
    </w:p>
    <w:p w14:paraId="3ECA10DF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工程规范度极高</w:t>
      </w:r>
      <w:r>
        <w:rPr>
          <w:rFonts w:hint="eastAsia" w:ascii="SimSun" w:hAnsi="SimSun" w:eastAsia="SimSun" w:cs="SimSun"/>
          <w:color w:val="1f2328"/>
          <w:sz w:val="24"/>
        </w:rPr>
        <w:t>：契约驱动、版本守卫、生成器、340 条测试，是可长期维护的作品而非一次性 Demo。</w:t>
      </w:r>
    </w:p>
    <w:p w14:paraId="2C01DC53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6 怎么跑起来</w:t>
      </w:r>
    </w:p>
    <w:p w14:paraId="354E1741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6.1 本地预览（最简）</w:t>
      </w:r>
    </w:p>
    <w:p w14:paraId="2E3A3481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微信开发者工具导入仓库根目录（AppID wx6af52092db32a671）；</w:t>
      </w:r>
    </w:p>
    <w:p w14:paraId="1BF60841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默认 USE_MOCK=true，编译即可看到全部页面（本地演示数据，无需后端）。</w:t>
      </w:r>
    </w:p>
    <w:p w14:paraId="3BE69964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6.2 全量校验（提交前必须全绿）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6f8fa"/>
            <w:vAlign w:val="center"/>
          </w:tcPr>
          <w:p w14:paraId="3FF8C8BC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21"/>
              </w:rPr>
              <w:t>npm ci npm run verify # 类型 + lint + 测试 npx vitest run # 340 条测试 node scripts/check-pages.mjs # 页面四件套/死链/图标自检</w:t>
            </w:r>
          </w:p>
        </w:tc>
      </w:tr>
    </w:tbl>
    <w:p w14:paraId="5FF4D9A7">
      <w:pPr>
        <w:pStyle w:val="000006"/>
        <w:keepNext w:val="1"/>
        <w:keepLines w:val="1"/>
        <w:spacing w:before="240" w:beforeAutospacing="1" w:after="100" w:afterAutospacing="1" w:line="408"/>
        <w:outlineLvl w:val="2"/>
        <w:rPr>
          <w:color w:val="24292f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24292f"/>
          <w:sz w:val="24"/>
        </w:rPr>
        <w:t>6.3 上真云（联调/上线）</w:t>
      </w:r>
    </w:p>
    <w:p w14:paraId="691169FB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miniprogram/config/env.ts：USE_MOCK 改 false、核对 CLOUD_ENV_ID；</w:t>
      </w:r>
    </w:p>
    <w:p w14:paraId="2D4E1D74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云函数打包（共享模块平铺）+ 部署：node scripts/build-cf.mjs --clean → 用开发者工具 CLI 部署到指定环境；</w:t>
      </w:r>
    </w:p>
    <w:p w14:paraId="73376D70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数据库：按 contracts/db-schema.md 建 8 个集合，node scripts/seed.mjs 导种子数据；</w:t>
      </w:r>
    </w:p>
    <w:p w14:paraId="2A833315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⚠ 云函数超时改 20s（控制台逐个改，CLI 改不了，见 docs/26）；</w:t>
      </w:r>
    </w:p>
    <w:p w14:paraId="1ED9F146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qa 函数配环境变量 DEEPSEEK_API_KEY。</w:t>
      </w:r>
    </w:p>
    <w:p w14:paraId="7B667F5E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7 关键约定与坑（接手前必看）</w:t>
      </w:r>
    </w:p>
    <w:p w14:paraId="17AC65BC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契约是唯一事实源</w:t>
      </w:r>
      <w:r>
        <w:rPr>
          <w:rFonts w:hint="eastAsia" w:ascii="SimSun" w:hAnsi="SimSun" w:eastAsia="SimSun" w:cs="SimSun"/>
          <w:color w:val="1f2328"/>
          <w:sz w:val="24"/>
        </w:rPr>
        <w:t>：接口以 contracts/api-contract.md 为准。</w:t>
      </w:r>
    </w:p>
    <w:p w14:paraId="5F6F9AA2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云函数共享模块必须平铺</w:t>
      </w:r>
      <w:r>
        <w:rPr>
          <w:rFonts w:hint="eastAsia" w:ascii="SimSun" w:hAnsi="SimSun" w:eastAsia="SimSun" w:cs="SimSun"/>
          <w:color w:val="1f2328"/>
          <w:sz w:val="24"/>
        </w:rPr>
        <w:t>：shared/ 里的模块用 build-cf.mjs 拷进各函数根目录，</w:t>
      </w:r>
    </w:p>
    <w:p w14:paraId="3874B7BA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 xml:space="preserve"> 目录绝不能叫 shared 或 lib（会被运行时架空 → MODULE_NOT_FOUND）。</w:t>
      </w:r>
    </w:p>
    <w:p w14:paraId="2596CAF7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样式只改原型再重跑生成器</w:t>
      </w:r>
      <w:r>
        <w:rPr>
          <w:rFonts w:hint="eastAsia" w:ascii="SimSun" w:hAnsi="SimSun" w:eastAsia="SimSun" w:cs="SimSun"/>
          <w:color w:val="1f2328"/>
          <w:sz w:val="24"/>
        </w:rPr>
        <w:t>：layout.wxss/icons.wxss 是生成物，别手改；</w:t>
      </w:r>
    </w:p>
    <w:p w14:paraId="6735F5C1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 xml:space="preserve"> 页面类名别与全局类撞名（已踩过 .ib/.aibar/.hd/.aig 四连坑，见 docs/31）。</w:t>
      </w:r>
    </w:p>
    <w:p w14:paraId="3FCA50B4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版本规范</w:t>
      </w:r>
      <w:r>
        <w:rPr>
          <w:rFonts w:hint="eastAsia" w:ascii="SimSun" w:hAnsi="SimSun" w:eastAsia="SimSun" w:cs="SimSun"/>
          <w:color w:val="1f2328"/>
          <w:sz w:val="24"/>
        </w:rPr>
        <w:t>：MAJOR.MINOR.PATCH = 正式上传次数 / 开发功能次数 / 提交次数，</w:t>
      </w:r>
    </w:p>
    <w:p w14:paraId="2B8112F8">
      <w:p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 xml:space="preserve"> 唯一真源在 env.ts 的 APP_VERSION。</w:t>
      </w:r>
    </w:p>
    <w:p w14:paraId="261FDAAA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密钥零明文</w:t>
      </w:r>
      <w:r>
        <w:rPr>
          <w:rFonts w:hint="eastAsia" w:ascii="SimSun" w:hAnsi="SimSun" w:eastAsia="SimSun" w:cs="SimSun"/>
          <w:color w:val="1f2328"/>
          <w:sz w:val="24"/>
        </w:rPr>
        <w:t>：只进云函数环境变量；手机号 AES 加密存储。</w:t>
      </w:r>
    </w:p>
    <w:p w14:paraId="24C837DE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分支纪律</w:t>
      </w:r>
      <w:r>
        <w:rPr>
          <w:rFonts w:hint="eastAsia" w:ascii="SimSun" w:hAnsi="SimSun" w:eastAsia="SimSun" w:cs="SimSun"/>
          <w:color w:val="1f2328"/>
          <w:sz w:val="24"/>
        </w:rPr>
        <w:t>：前端 feature/frontend、后端 feature/backend，禁止直推 main。</w:t>
      </w:r>
    </w:p>
    <w:p w14:paraId="5E013885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b w:val="1"/>
          <w:color w:val="1f2328"/>
          <w:sz w:val="24"/>
        </w:rPr>
        <w:t>备案红线</w:t>
      </w:r>
      <w:r>
        <w:rPr>
          <w:rFonts w:hint="eastAsia" w:ascii="SimSun" w:hAnsi="SimSun" w:eastAsia="SimSun" w:cs="SimSun"/>
          <w:color w:val="1f2328"/>
          <w:sz w:val="24"/>
        </w:rPr>
        <w:t>：房屋租售/生鲜/缴费属经营类，与「个人主体+工具类目」可能冲突，见 docs/28。</w:t>
      </w:r>
    </w:p>
    <w:p w14:paraId="0C5AAB92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8 当前状态与待办</w:t>
      </w:r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shd w:val="clear" w:fill="eef2f8"/>
            <w:vAlign w:val="center"/>
          </w:tcPr>
          <w:p w14:paraId="574AC32B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项</w:t>
            </w:r>
          </w:p>
        </w:tc>
        <w:tc>
          <w:tcPr>
            <w:tcW w:w="4153" w:type="dxa"/>
            <w:shd w:val="clear" w:fill="eef2f8"/>
            <w:vAlign w:val="center"/>
          </w:tcPr>
          <w:p w14:paraId="50AA5BED">
            <w:pPr>
              <w:jc w:val="left"/>
              <w:rPr>
                <w:b w:val="1"/>
                <w:bCs w:val="1"/>
                <w:color w:val="1f2328"/>
              </w:rPr>
            </w:pPr>
            <w:r>
              <w:rPr>
                <w:rFonts w:hint="eastAsia" w:ascii="SimSun" w:hAnsi="SimSun" w:eastAsia="SimSun" w:cs="SimSun"/>
                <w:b w:val="1"/>
                <w:color w:val="1f2328"/>
                <w:sz w:val="23"/>
              </w:rPr>
              <w:t>状态</w:t>
            </w:r>
          </w:p>
        </w:tc>
      </w:tr>
      <w:tr>
        <w:trPr/>
        <w:tc>
          <w:tcPr>
            <w:tcW w:w="4153" w:type="dxa"/>
            <w:vAlign w:val="center"/>
          </w:tcPr>
          <w:p w14:paraId="67B80B5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备案</w:t>
            </w:r>
          </w:p>
        </w:tc>
        <w:tc>
          <w:tcPr>
            <w:tcW w:w="4153" w:type="dxa"/>
            <w:vAlign w:val="center"/>
          </w:tcPr>
          <w:p w14:paraId="4BC87B3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✅ 已通过</w:t>
            </w:r>
          </w:p>
        </w:tc>
      </w:tr>
      <w:tr>
        <w:trPr/>
        <w:tc>
          <w:tcPr>
            <w:tcW w:w="4153" w:type="dxa"/>
            <w:vAlign w:val="center"/>
          </w:tcPr>
          <w:p w14:paraId="0091D24A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云环境身份 openid</w:t>
            </w:r>
          </w:p>
        </w:tc>
        <w:tc>
          <w:tcPr>
            <w:tcW w:w="4153" w:type="dxa"/>
            <w:vAlign w:val="center"/>
          </w:tcPr>
          <w:p w14:paraId="531175D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✅ 已解决</w:t>
            </w:r>
          </w:p>
        </w:tc>
      </w:tr>
      <w:tr>
        <w:trPr/>
        <w:tc>
          <w:tcPr>
            <w:tcW w:w="4153" w:type="dxa"/>
            <w:vAlign w:val="center"/>
          </w:tcPr>
          <w:p w14:paraId="455EB65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8 云函数</w:t>
            </w:r>
          </w:p>
        </w:tc>
        <w:tc>
          <w:tcPr>
            <w:tcW w:w="4153" w:type="dxa"/>
            <w:vAlign w:val="center"/>
          </w:tcPr>
          <w:p w14:paraId="6EAC978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✅ 已部署（Active，超时 20s）</w:t>
            </w:r>
          </w:p>
        </w:tc>
      </w:tr>
      <w:tr>
        <w:trPr/>
        <w:tc>
          <w:tcPr>
            <w:tcW w:w="4153" w:type="dxa"/>
            <w:vAlign w:val="center"/>
          </w:tcPr>
          <w:p w14:paraId="2374B81B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测试 / 自检 / 编译</w:t>
            </w:r>
          </w:p>
        </w:tc>
        <w:tc>
          <w:tcPr>
            <w:tcW w:w="4153" w:type="dxa"/>
            <w:vAlign w:val="center"/>
          </w:tcPr>
          <w:p w14:paraId="5A73E935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✅ 340/340、全绿</w:t>
            </w:r>
          </w:p>
        </w:tc>
      </w:tr>
      <w:tr>
        <w:trPr/>
        <w:tc>
          <w:tcPr>
            <w:tcW w:w="4153" w:type="dxa"/>
            <w:vAlign w:val="center"/>
          </w:tcPr>
          <w:p w14:paraId="2F14A9DD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数据通道</w:t>
            </w:r>
          </w:p>
        </w:tc>
        <w:tc>
          <w:tcPr>
            <w:tcW w:w="4153" w:type="dxa"/>
            <w:vAlign w:val="center"/>
          </w:tcPr>
          <w:p w14:paraId="0D0F239E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⚠ 当前 USE_MOCK=true，上线前切 false 并真机回归</w:t>
            </w:r>
          </w:p>
        </w:tc>
      </w:tr>
      <w:tr>
        <w:trPr/>
        <w:tc>
          <w:tcPr>
            <w:tcW w:w="4153" w:type="dxa"/>
            <w:vAlign w:val="center"/>
          </w:tcPr>
          <w:p w14:paraId="307EB8B9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电话簿</w:t>
            </w:r>
          </w:p>
        </w:tc>
        <w:tc>
          <w:tcPr>
            <w:tcW w:w="4153" w:type="dxa"/>
            <w:vAlign w:val="center"/>
          </w:tcPr>
          <w:p w14:paraId="4AC8066F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⚠ 占位号（020-8888xxxx 段）待替换真实号码</w:t>
            </w:r>
          </w:p>
        </w:tc>
      </w:tr>
      <w:tr>
        <w:trPr/>
        <w:tc>
          <w:tcPr>
            <w:tcW w:w="4153" w:type="dxa"/>
            <w:vAlign w:val="center"/>
          </w:tcPr>
          <w:p w14:paraId="3C9326F3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房屋租售图</w:t>
            </w:r>
          </w:p>
        </w:tc>
        <w:tc>
          <w:tcPr>
            <w:tcW w:w="4153" w:type="dxa"/>
            <w:vAlign w:val="center"/>
          </w:tcPr>
          <w:p w14:paraId="18C80431">
            <w:pPr>
              <w:rPr>
                <w:color w:val="1f2328"/>
              </w:rPr>
            </w:pPr>
            <w:r>
              <w:rPr>
                <w:rFonts w:hint="eastAsia" w:ascii="SimSun" w:hAnsi="SimSun" w:eastAsia="SimSun" w:cs="SimSun"/>
                <w:color w:val="1f2328"/>
                <w:sz w:val="23"/>
              </w:rPr>
              <w:t>⚠ 当前为示例实拍图，上线换真实房源</w:t>
            </w:r>
          </w:p>
        </w:tc>
      </w:tr>
    </w:tbl>
    <w:p w14:paraId="75D6B6E2">
      <w:pPr>
        <w:pStyle w:val="000003"/>
        <w:keepNext w:val="1"/>
        <w:keepLines w:val="1"/>
        <w:spacing w:before="300" w:beforeAutospacing="1" w:after="100" w:afterAutospacing="1" w:line="408"/>
        <w:outlineLvl w:val="1"/>
        <w:rPr>
          <w:color w:val="185fa5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85fa5"/>
          <w:sz w:val="24"/>
        </w:rPr>
        <w:t>9 建议阅读顺序</w:t>
      </w:r>
    </w:p>
    <w:p w14:paraId="36CDACB4">
      <w:pPr>
        <w:numPr>
          <w:ilvl w:val="0"/>
          <w:numId w:val="1"/>
        </w:numPr>
        <w:spacing w:line="408"/>
        <w:rPr>
          <w:color w:val="1f2328"/>
        </w:rPr>
      </w:pPr>
      <w:r>
        <w:rPr>
          <w:rFonts w:hint="eastAsia" w:ascii="SimSun" w:hAnsi="SimSun" w:eastAsia="SimSun" w:cs="SimSun"/>
          <w:color w:val="1f2328"/>
          <w:sz w:val="24"/>
        </w:rPr>
        <w:t>本综合说明 → 2. docs/02-产品方案PRD.md → 3. contracts/ → 4. docs/32-程序设计说明书.md</w:t>
      </w:r>
    </w:p>
    <w:p w14:paraId="5481D132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 3" w:semiHidden="1" w:unhideWhenUsed="1"/>
    <w:lsdException w:name="heading 9" w:uiPriority="9" w:semiHidden="1" w:unhideWhenUsed="1" w:qFormat="1"/>
    <w:lsdException w:name="Body Text First Indent 2" w:semiHidden="1" w:unhideWhenUsed="1"/>
    <w:lsdException w:name="heading 6" w:uiPriority="9" w:semiHidden="1" w:unhideWhenUsed="1" w:qFormat="1"/>
    <w:lsdException w:name="envelope address" w:semiHidden="1" w:unhideWhenUsed="1"/>
    <w:lsdException w:name="index 8" w:semiHidden="1" w:unhideWhenUsed="1"/>
    <w:lsdException w:name="footnote text" w:semiHidden="1" w:unhideWhenUsed="1"/>
    <w:lsdException w:name="footer" w:semiHidden="1" w:unhideWhenUsed="1"/>
    <w:lsdException w:name="Note Heading" w:semiHidden="1" w:unhideWhenUsed="1"/>
    <w:lsdException w:name="Closing" w:semiHidden="1" w:unhideWhenUsed="1"/>
    <w:lsdException w:name="List Bullet" w:semiHidden="1" w:unhideWhenUsed="1"/>
    <w:lsdException w:name="annotation text" w:semiHidden="1" w:unhideWhenUsed="1"/>
    <w:lsdException w:name="List Number 4" w:semiHidden="1" w:unhideWhenUsed="1"/>
    <w:lsdException w:name="index heading" w:semiHidden="1" w:unhideWhenUsed="1"/>
    <w:lsdException w:name="List Number 3" w:semiHidden="1" w:unhideWhenUsed="1"/>
    <w:lsdException w:name="table of authorities" w:semiHidden="1" w:unhideWhenUsed="1"/>
    <w:lsdException w:name="heading 2" w:uiPriority="9" w:semiHidden="1" w:unhideWhenUsed="1" w:qFormat="1"/>
    <w:lsdException w:name="Title" w:uiPriority="10" w:qFormat="1"/>
    <w:lsdException w:name="heading 7" w:uiPriority="9" w:semiHidden="1" w:unhideWhenUsed="1" w:qFormat="1"/>
    <w:lsdException w:name="List" w:semiHidden="1" w:unhideWhenUsed="1"/>
    <w:lsdException w:name="heading 1" w:uiPriority="9" w:qFormat="1"/>
    <w:lsdException w:name="List Bullet 2" w:semiHidden="1" w:unhideWhenUsed="1"/>
    <w:lsdException w:name="line number" w:semiHidden="1" w:unhideWhenUsed="1"/>
    <w:lsdException w:name="Subtitle" w:uiPriority="11" w:qFormat="1"/>
    <w:lsdException w:name="List Bullet 3" w:semiHidden="1" w:unhideWhenUsed="1"/>
    <w:lsdException w:name="index 1" w:semiHidden="1" w:unhideWhenUsed="1"/>
    <w:lsdException w:name="index 5" w:semiHidden="1" w:unhideWhenUsed="1"/>
    <w:lsdException w:name="List Number 2" w:semiHidden="1" w:unhideWhenUsed="1"/>
    <w:lsdException w:name="Date" w:semiHidden="1" w:unhideWhenUsed="1"/>
    <w:lsdException w:name="List 4" w:semiHidden="1" w:unhideWhenUsed="1"/>
    <w:lsdException w:name="toc 3" w:uiPriority="39" w:semiHidden="1" w:unhideWhenUsed="1"/>
    <w:lsdException w:name="toc 8" w:uiPriority="39" w:semiHidden="1" w:unhideWhenUsed="1"/>
    <w:lsdException w:name="List Continue 3" w:semiHidden="1" w:unhideWhenUsed="1"/>
    <w:lsdException w:name="header" w:semiHidden="1" w:unhideWhenUsed="1"/>
    <w:lsdException w:name="heading 8" w:uiPriority="9" w:semiHidden="1" w:unhideWhenUsed="1" w:qFormat="1"/>
    <w:lsdException w:name="index 6" w:semiHidden="1" w:unhideWhenUsed="1"/>
    <w:lsdException w:name="List Bullet 4" w:semiHidden="1" w:unhideWhenUsed="1"/>
    <w:lsdException w:name="index 3" w:semiHidden="1" w:unhideWhenUsed="1"/>
    <w:lsdException w:name="Block Text" w:semiHidden="1" w:unhideWhenUsed="1"/>
    <w:lsdException w:name="Message Header" w:semiHidden="1" w:unhideWhenUsed="1"/>
    <w:lsdException w:name="Salutation" w:semiHidden="1" w:unhideWhenUsed="1"/>
    <w:lsdException w:name="Body Text First Indent" w:semiHidden="1" w:unhideWhenUsed="1"/>
    <w:lsdException w:name="index 9" w:semiHidden="1" w:unhideWhenUsed="1"/>
    <w:lsdException w:name="index 2" w:semiHidden="1" w:unhideWhenUsed="1"/>
    <w:lsdException w:name="List Number 5" w:semiHidden="1" w:unhideWhenUsed="1"/>
    <w:lsdException w:name="Normal Indent" w:semiHidden="1" w:unhideWhenUsed="1"/>
    <w:lsdException w:name="List Continue 2" w:semiHidden="1" w:unhideWhenUsed="1"/>
    <w:lsdException w:name="toc 6" w:uiPriority="39" w:semiHidden="1" w:unhideWhenUsed="1"/>
    <w:lsdException w:name="annotation reference" w:semiHidden="1" w:unhideWhenUsed="1"/>
    <w:lsdException w:name="toc 1" w:uiPriority="39" w:semiHidden="1" w:unhideWhenUsed="1"/>
    <w:lsdException w:name="Body Text" w:semiHidden="1" w:unhideWhenUsed="1"/>
    <w:lsdException w:name="toc 4" w:uiPriority="39" w:semiHidden="1" w:unhideWhenUsed="1"/>
    <w:lsdException w:name="toc 5" w:uiPriority="39" w:semiHidden="1" w:unhideWhenUsed="1"/>
    <w:lsdException w:name="page number" w:semiHidden="1" w:unhideWhenUsed="1"/>
    <w:lsdException w:name="Strong" w:uiPriority="22" w:qFormat="1"/>
    <w:lsdException w:name="List Number" w:semiHidden="1" w:unhideWhenUsed="1"/>
    <w:lsdException w:name="Body Text Indent 2" w:semiHidden="1" w:unhideWhenUsed="1"/>
    <w:lsdException w:name="heading 3" w:uiPriority="9" w:semiHidden="1" w:unhideWhenUsed="1" w:qFormat="1"/>
    <w:lsdException w:name="endnote text" w:semiHidden="1" w:unhideWhenUsed="1"/>
    <w:lsdException w:name="index 4" w:semiHidden="1" w:unhideWhenUsed="1"/>
    <w:lsdException w:name="Normal" w:uiPriority="0" w:qFormat="1"/>
    <w:lsdException w:name="footnote reference" w:semiHidden="1" w:unhideWhenUsed="1"/>
    <w:lsdException w:name="List Continue 5" w:semiHidden="1" w:unhideWhenUsed="1"/>
    <w:lsdException w:name="List Continue 4" w:semiHidden="1" w:unhideWhenUsed="1"/>
    <w:lsdException w:name="List Continue" w:semiHidden="1" w:unhideWhenUsed="1"/>
    <w:lsdException w:name="toc 2" w:uiPriority="39" w:semiHidden="1" w:unhideWhenUsed="1"/>
    <w:lsdException w:name="Body Text Indent" w:semiHidden="1" w:unhideWhenUsed="1"/>
    <w:lsdException w:name="toc 9" w:uiPriority="39" w:semiHidden="1" w:unhideWhenUsed="1"/>
    <w:lsdException w:name="index 7" w:semiHidden="1" w:unhideWhenUsed="1"/>
    <w:lsdException w:name="List Bullet 5" w:semiHidden="1" w:unhideWhenUsed="1"/>
    <w:lsdException w:name="Hyperlink" w:semiHidden="1" w:unhideWhenUsed="1"/>
    <w:lsdException w:name="caption" w:uiPriority="35" w:semiHidden="1" w:unhideWhenUsed="1" w:qFormat="1"/>
    <w:lsdException w:name="Body Text 3" w:semiHidden="1" w:unhideWhenUsed="1"/>
    <w:lsdException w:name="envelope return" w:semiHidden="1" w:unhideWhenUsed="1"/>
    <w:lsdException w:name="Body Text 2" w:semiHidden="1" w:unhideWhenUsed="1"/>
    <w:lsdException w:name="heading 5" w:uiPriority="9" w:semiHidden="1" w:unhideWhenUsed="1" w:qFormat="1"/>
    <w:lsdException w:name="List 2" w:semiHidden="1" w:unhideWhenUsed="1"/>
    <w:lsdException w:name="List 5" w:semiHidden="1" w:unhideWhenUsed="1"/>
    <w:lsdException w:name="toc 7" w:uiPriority="39" w:semiHidden="1" w:unhideWhenUsed="1"/>
    <w:lsdException w:name="Default Paragraph Font" w:uiPriority="1" w:semiHidden="1" w:unhideWhenUsed="1"/>
    <w:lsdException w:name="FollowedHyperlink" w:semiHidden="1" w:unhideWhenUsed="1"/>
    <w:lsdException w:name="toa heading" w:semiHidden="1" w:unhideWhenUsed="1"/>
    <w:lsdException w:name="table of figures" w:semiHidden="1" w:unhideWhenUsed="1"/>
    <w:lsdException w:name="macro" w:semiHidden="1" w:unhideWhenUsed="1"/>
    <w:lsdException w:name="Signature" w:semiHidden="1" w:unhideWhenUsed="1"/>
    <w:lsdException w:name="endnote reference" w:semiHidden="1" w:unhideWhenUsed="1"/>
    <w:lsdException w:name="heading 4" w:uiPriority="9" w:semiHidden="1" w:unhideWhenUsed="1" w:qFormat="1"/>
    <w:lsdException w:name="List 3" w:semiHidden="1" w:unhideWhenUsed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2026-10-23T23:51:12Z</dcterms:created>
  <dcterms:modified xsi:type="dcterms:W3CDTF">2026-10-23T23:51:12Z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"01a16974f11575d889f0257d75e39ed2", "ReservedCode1": "", "ContentPropagator": "00119111010856365494821B355", "PropagateID": "01a16974f11575d889f0257d75e39ed2", "ReservedCode2": ""}}</vt:lpwstr>
  </property>
</Properties>
</file>