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3219B" w14:textId="77777777" w:rsidR="00176D93" w:rsidRDefault="00176D93" w:rsidP="00176D93">
      <w:pPr>
        <w:jc w:val="center"/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7110417D" wp14:editId="17AD57DE">
            <wp:extent cx="4911090" cy="1933184"/>
            <wp:effectExtent l="0" t="0" r="0" b="0"/>
            <wp:docPr id="2099684831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84831" name="Picture 1" descr="A logo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44" cy="1942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2CF67A" w14:textId="77777777" w:rsidR="00176D93" w:rsidRDefault="00176D93" w:rsidP="00176D93">
      <w:pPr>
        <w:jc w:val="center"/>
        <w:rPr>
          <w:rFonts w:eastAsia="DengXian"/>
          <w:sz w:val="24"/>
          <w:szCs w:val="24"/>
          <w:lang w:eastAsia="zh-CN"/>
        </w:rPr>
      </w:pPr>
    </w:p>
    <w:p w14:paraId="5A927CAF" w14:textId="77777777" w:rsidR="00A87FA2" w:rsidRPr="00A87FA2" w:rsidRDefault="00A87FA2" w:rsidP="00A87FA2">
      <w:pPr>
        <w:jc w:val="center"/>
        <w:rPr>
          <w:rFonts w:ascii="Times New Roman" w:eastAsia="DengXian" w:hAnsi="Times New Roman" w:cs="Arial"/>
          <w:sz w:val="28"/>
          <w:szCs w:val="28"/>
          <w:lang w:eastAsia="zh-CN"/>
        </w:rPr>
      </w:pPr>
      <w:r w:rsidRPr="00A87FA2">
        <w:rPr>
          <w:rFonts w:ascii="Times New Roman" w:eastAsia="DengXian" w:hAnsi="Times New Roman" w:cs="Arial"/>
          <w:sz w:val="28"/>
          <w:szCs w:val="28"/>
          <w:lang w:eastAsia="zh-CN"/>
        </w:rPr>
        <w:t>CEE 609 Environmental Data Science</w:t>
      </w:r>
    </w:p>
    <w:p w14:paraId="40C62230" w14:textId="77777777" w:rsidR="00A87FA2" w:rsidRPr="00A87FA2" w:rsidRDefault="00A87FA2" w:rsidP="00A87FA2">
      <w:pPr>
        <w:jc w:val="center"/>
        <w:rPr>
          <w:rFonts w:ascii="Times New Roman" w:eastAsia="DengXian" w:hAnsi="Times New Roman" w:cs="Arial"/>
          <w:lang w:eastAsia="zh-CN"/>
        </w:rPr>
      </w:pPr>
    </w:p>
    <w:p w14:paraId="0C1A5266" w14:textId="77777777" w:rsidR="00A87FA2" w:rsidRPr="00A87FA2" w:rsidRDefault="00A87FA2" w:rsidP="00A87FA2">
      <w:pPr>
        <w:jc w:val="center"/>
        <w:rPr>
          <w:rFonts w:ascii="Times New Roman" w:eastAsia="DengXian" w:hAnsi="Times New Roman" w:cs="Arial"/>
          <w:b/>
          <w:bCs/>
          <w:sz w:val="32"/>
          <w:szCs w:val="32"/>
          <w:lang w:eastAsia="zh-CN"/>
        </w:rPr>
      </w:pPr>
      <w:r w:rsidRPr="00A87FA2">
        <w:rPr>
          <w:rFonts w:ascii="Times New Roman" w:eastAsia="DengXian" w:hAnsi="Times New Roman" w:cs="Arial"/>
          <w:b/>
          <w:bCs/>
          <w:sz w:val="32"/>
          <w:szCs w:val="32"/>
          <w:lang w:eastAsia="zh-CN"/>
        </w:rPr>
        <w:t>Finding safety margin of co-registering the optical and thermal camera field of view</w:t>
      </w:r>
    </w:p>
    <w:p w14:paraId="68D7C70E" w14:textId="77777777" w:rsidR="00A87FA2" w:rsidRPr="00A87FA2" w:rsidRDefault="00A87FA2" w:rsidP="00A87FA2">
      <w:pPr>
        <w:jc w:val="center"/>
        <w:rPr>
          <w:rFonts w:ascii="Times New Roman" w:eastAsia="DengXian" w:hAnsi="Times New Roman" w:cs="Arial"/>
          <w:lang w:eastAsia="zh-CN"/>
        </w:rPr>
      </w:pPr>
    </w:p>
    <w:p w14:paraId="734BB290" w14:textId="77777777" w:rsidR="00176D93" w:rsidRDefault="00176D93" w:rsidP="00176D93">
      <w:pPr>
        <w:jc w:val="center"/>
        <w:rPr>
          <w:rFonts w:eastAsia="DengXian"/>
          <w:lang w:eastAsia="zh-CN"/>
        </w:rPr>
      </w:pPr>
    </w:p>
    <w:p w14:paraId="3A0E3DD7" w14:textId="77777777" w:rsidR="00176D93" w:rsidRDefault="00176D93" w:rsidP="00176D93">
      <w:pPr>
        <w:jc w:val="center"/>
        <w:rPr>
          <w:rFonts w:eastAsia="DengXian"/>
          <w:lang w:eastAsia="zh-CN"/>
        </w:rPr>
      </w:pPr>
    </w:p>
    <w:p w14:paraId="4F6740F0" w14:textId="77777777" w:rsidR="00176D93" w:rsidRDefault="00176D93" w:rsidP="00176D93">
      <w:pPr>
        <w:jc w:val="center"/>
        <w:rPr>
          <w:rFonts w:eastAsia="DengXian"/>
          <w:lang w:eastAsia="zh-CN"/>
        </w:rPr>
      </w:pPr>
    </w:p>
    <w:p w14:paraId="47331D3D" w14:textId="77777777" w:rsidR="00176D93" w:rsidRDefault="00176D93" w:rsidP="00176D93">
      <w:pPr>
        <w:jc w:val="center"/>
        <w:rPr>
          <w:rFonts w:eastAsia="DengXian"/>
          <w:lang w:eastAsia="zh-CN"/>
        </w:rPr>
      </w:pPr>
    </w:p>
    <w:p w14:paraId="0EF59623" w14:textId="77777777" w:rsidR="00176D93" w:rsidRPr="00B6242F" w:rsidRDefault="00176D93" w:rsidP="00176D93">
      <w:pPr>
        <w:jc w:val="center"/>
        <w:rPr>
          <w:rFonts w:eastAsia="DengXian"/>
          <w:sz w:val="28"/>
          <w:szCs w:val="28"/>
          <w:lang w:eastAsia="zh-CN"/>
        </w:rPr>
      </w:pPr>
      <w:r w:rsidRPr="00B6242F">
        <w:rPr>
          <w:rFonts w:eastAsia="DengXian"/>
          <w:sz w:val="28"/>
          <w:szCs w:val="28"/>
          <w:lang w:eastAsia="zh-CN"/>
        </w:rPr>
        <w:t>Provided by:</w:t>
      </w:r>
    </w:p>
    <w:p w14:paraId="7E8D828B" w14:textId="77777777" w:rsidR="00176D93" w:rsidRPr="00B61293" w:rsidRDefault="00176D93" w:rsidP="00176D93">
      <w:pPr>
        <w:jc w:val="center"/>
        <w:rPr>
          <w:rFonts w:eastAsia="DengXian"/>
          <w:b/>
          <w:bCs/>
          <w:sz w:val="28"/>
          <w:szCs w:val="28"/>
          <w:lang w:eastAsia="zh-CN"/>
        </w:rPr>
      </w:pPr>
      <w:r>
        <w:rPr>
          <w:rFonts w:eastAsia="DengXian"/>
          <w:b/>
          <w:bCs/>
          <w:sz w:val="28"/>
          <w:szCs w:val="28"/>
          <w:lang w:eastAsia="zh-CN"/>
        </w:rPr>
        <w:t>Fatemeh Rezaei</w:t>
      </w:r>
    </w:p>
    <w:p w14:paraId="15D619CA" w14:textId="77777777" w:rsidR="00176D93" w:rsidRDefault="00176D93" w:rsidP="00176D93">
      <w:pPr>
        <w:rPr>
          <w:rFonts w:eastAsia="DengXian"/>
          <w:lang w:eastAsia="zh-CN"/>
        </w:rPr>
      </w:pPr>
    </w:p>
    <w:p w14:paraId="51A827A2" w14:textId="77777777" w:rsidR="00176D93" w:rsidRDefault="00176D93" w:rsidP="00176D93">
      <w:pPr>
        <w:rPr>
          <w:rFonts w:eastAsia="DengXian"/>
          <w:lang w:eastAsia="zh-CN"/>
        </w:rPr>
      </w:pPr>
    </w:p>
    <w:p w14:paraId="3B05561B" w14:textId="77777777" w:rsidR="00176D93" w:rsidRDefault="00176D93" w:rsidP="00176D93">
      <w:pPr>
        <w:rPr>
          <w:rFonts w:eastAsia="DengXian"/>
          <w:lang w:eastAsia="zh-CN"/>
        </w:rPr>
      </w:pPr>
    </w:p>
    <w:p w14:paraId="56C524FF" w14:textId="77777777" w:rsidR="00176D93" w:rsidRDefault="00176D93" w:rsidP="00176D93">
      <w:pPr>
        <w:jc w:val="center"/>
        <w:rPr>
          <w:rFonts w:eastAsia="DengXian"/>
          <w:b/>
          <w:bCs/>
          <w:sz w:val="24"/>
          <w:szCs w:val="24"/>
          <w:lang w:eastAsia="zh-CN"/>
        </w:rPr>
      </w:pPr>
      <w:r>
        <w:rPr>
          <w:rFonts w:eastAsia="DengXian"/>
          <w:b/>
          <w:bCs/>
          <w:sz w:val="24"/>
          <w:szCs w:val="24"/>
          <w:lang w:eastAsia="zh-CN"/>
        </w:rPr>
        <w:t>Fall</w:t>
      </w:r>
      <w:r w:rsidRPr="0027170D">
        <w:rPr>
          <w:rFonts w:eastAsia="DengXian"/>
          <w:b/>
          <w:bCs/>
          <w:sz w:val="24"/>
          <w:szCs w:val="24"/>
          <w:lang w:eastAsia="zh-CN"/>
        </w:rPr>
        <w:t xml:space="preserve"> 202</w:t>
      </w:r>
      <w:r>
        <w:rPr>
          <w:rFonts w:eastAsia="DengXian"/>
          <w:b/>
          <w:bCs/>
          <w:sz w:val="24"/>
          <w:szCs w:val="24"/>
          <w:lang w:eastAsia="zh-CN"/>
        </w:rPr>
        <w:t>4</w:t>
      </w:r>
    </w:p>
    <w:p w14:paraId="642926A6" w14:textId="77777777" w:rsidR="00176D93" w:rsidRDefault="00176D93" w:rsidP="00176D93">
      <w:pPr>
        <w:sectPr w:rsidR="00176D93" w:rsidSect="00176D93"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779C75F2" w14:textId="2B1191F3" w:rsidR="00C5468A" w:rsidRDefault="00176D93" w:rsidP="00057DD3">
      <w:r>
        <w:lastRenderedPageBreak/>
        <w:t xml:space="preserve"> For collecting our dataset and t</w:t>
      </w:r>
      <w:r w:rsidRPr="00D00C39">
        <w:t xml:space="preserve">o capture the unique spectral signature of water and allow for day/night water detection, the Flood Viz node is equipped with two cameras: a </w:t>
      </w:r>
      <w:proofErr w:type="spellStart"/>
      <w:r w:rsidRPr="00D00C39">
        <w:t>Dorhea</w:t>
      </w:r>
      <w:proofErr w:type="spellEnd"/>
      <w:r w:rsidRPr="00D00C39">
        <w:t xml:space="preserve"> multispectral camera (capturing red, green, blue, and near-infrared radiation) and a FLIR Lepton long-wave infrared, or thermal, camera.</w:t>
      </w:r>
      <w:r>
        <w:t xml:space="preserve"> A</w:t>
      </w:r>
      <w:r w:rsidRPr="004B0C3B">
        <w:t xml:space="preserve"> </w:t>
      </w:r>
      <w:r>
        <w:t>typi</w:t>
      </w:r>
      <w:r w:rsidRPr="004B0C3B">
        <w:t>c</w:t>
      </w:r>
      <w:r>
        <w:t>al</w:t>
      </w:r>
      <w:r w:rsidRPr="004B0C3B">
        <w:t xml:space="preserve"> image type is a three</w:t>
      </w:r>
      <w:r>
        <w:t>-</w:t>
      </w:r>
      <w:r w:rsidRPr="004B0C3B">
        <w:t>channel image where each channel has scalar values in [0,255]</w:t>
      </w:r>
      <w:r>
        <w:t>;</w:t>
      </w:r>
      <w:r w:rsidRPr="004B0C3B">
        <w:t xml:space="preserve"> often</w:t>
      </w:r>
      <w:r>
        <w:t>,</w:t>
      </w:r>
      <w:r w:rsidRPr="004B0C3B">
        <w:t xml:space="preserve"> people refer to such an image as an RGB image.</w:t>
      </w:r>
      <w:r>
        <w:t xml:space="preserve">  </w:t>
      </w:r>
      <w:r w:rsidRPr="00447947">
        <w:t xml:space="preserve">This terminology implies that the three channels should be interpreted using RGB color space. </w:t>
      </w:r>
      <w:r>
        <w:t>We have two extra bands containing N</w:t>
      </w:r>
      <w:r w:rsidRPr="001028A8">
        <w:t>ear</w:t>
      </w:r>
      <w:r>
        <w:t>-I</w:t>
      </w:r>
      <w:r w:rsidRPr="001028A8">
        <w:t>nfrared</w:t>
      </w:r>
      <w:r>
        <w:t xml:space="preserve"> (NIR) and </w:t>
      </w:r>
      <w:r w:rsidRPr="00D23770">
        <w:t>Long-</w:t>
      </w:r>
      <w:r>
        <w:t>W</w:t>
      </w:r>
      <w:r w:rsidRPr="00D23770">
        <w:t xml:space="preserve">ave </w:t>
      </w:r>
      <w:r>
        <w:t>I</w:t>
      </w:r>
      <w:r w:rsidRPr="00D23770">
        <w:t xml:space="preserve">nfrared </w:t>
      </w:r>
      <w:r>
        <w:t>(</w:t>
      </w:r>
      <w:r w:rsidRPr="00D23770">
        <w:t>LWIR</w:t>
      </w:r>
      <w:r>
        <w:t xml:space="preserve">). </w:t>
      </w:r>
      <w:r w:rsidRPr="001028A8">
        <w:t xml:space="preserve">A </w:t>
      </w:r>
      <w:r>
        <w:t>N</w:t>
      </w:r>
      <w:r w:rsidRPr="001028A8">
        <w:t>ear</w:t>
      </w:r>
      <w:r>
        <w:t>-I</w:t>
      </w:r>
      <w:r w:rsidRPr="001028A8">
        <w:t>nfrared (NIR) image band is a spectral region of the electromagnetic spectrum just outside the range of human vision</w:t>
      </w:r>
      <w:r>
        <w:t xml:space="preserve">. </w:t>
      </w:r>
      <w:r w:rsidRPr="00D963DF">
        <w:t>NIR bands are used in image analysis and change detection, especially for vegetation and wetlands</w:t>
      </w:r>
      <w:r>
        <w:t xml:space="preserve">. </w:t>
      </w:r>
      <w:r w:rsidRPr="00D23770">
        <w:t>Long-</w:t>
      </w:r>
      <w:r>
        <w:t>W</w:t>
      </w:r>
      <w:r w:rsidRPr="00D23770">
        <w:t xml:space="preserve">ave </w:t>
      </w:r>
      <w:r>
        <w:t>I</w:t>
      </w:r>
      <w:r w:rsidRPr="00D23770">
        <w:t>nfrared</w:t>
      </w:r>
      <w:r w:rsidRPr="00AA6135">
        <w:t>, or LWIR, is a subset of the infrared band of the electromagnetic spectrum, covering </w:t>
      </w:r>
      <w:r w:rsidRPr="00D23770">
        <w:t>wavelengths ranging from 8</w:t>
      </w:r>
      <w:hyperlink r:id="rId5" w:history="1">
        <w:r w:rsidRPr="00D23770">
          <w:rPr>
            <w:rStyle w:val="Hyperlink"/>
          </w:rPr>
          <w:t>µm</w:t>
        </w:r>
      </w:hyperlink>
      <w:r w:rsidRPr="00D23770">
        <w:t> to 14µm (8,000 to 14,000nm). This is the radiant heat that uncooled thermal imaging cameras see</w:t>
      </w:r>
      <w:r>
        <w:t xml:space="preserve"> and </w:t>
      </w:r>
      <w:r w:rsidRPr="007F326A">
        <w:t>detect distinct temperature differences</w:t>
      </w:r>
      <w:r>
        <w:t xml:space="preserve">. </w:t>
      </w:r>
      <w:r w:rsidR="00610643">
        <w:t>We went into the field t</w:t>
      </w:r>
      <w:r w:rsidRPr="008011A4">
        <w:t>o gain data to start calibration</w:t>
      </w:r>
      <w:r w:rsidR="00F47BEA">
        <w:t>,</w:t>
      </w:r>
      <w:r w:rsidRPr="001013E5">
        <w:t xml:space="preserve"> t</w:t>
      </w:r>
      <w:r w:rsidR="00F47BEA">
        <w:t>oo</w:t>
      </w:r>
      <w:r w:rsidRPr="001013E5">
        <w:t xml:space="preserve">k pictures with both </w:t>
      </w:r>
      <w:r w:rsidR="00D6462D" w:rsidRPr="001013E5">
        <w:t xml:space="preserve">cameras </w:t>
      </w:r>
      <w:r w:rsidR="00D6462D">
        <w:t>from</w:t>
      </w:r>
      <w:r w:rsidR="00573F77">
        <w:t xml:space="preserve"> water bodies</w:t>
      </w:r>
      <w:r w:rsidR="00F47BEA">
        <w:t>,</w:t>
      </w:r>
      <w:r w:rsidR="00573F77">
        <w:t xml:space="preserve"> </w:t>
      </w:r>
      <w:r w:rsidRPr="001013E5">
        <w:t>and store</w:t>
      </w:r>
      <w:r w:rsidR="00F47BEA">
        <w:t>d</w:t>
      </w:r>
      <w:r w:rsidRPr="00D00C39">
        <w:t xml:space="preserve"> our data </w:t>
      </w:r>
      <w:r w:rsidR="00610643">
        <w:t>as jpg images</w:t>
      </w:r>
      <w:r w:rsidRPr="00D00C39">
        <w:t>.</w:t>
      </w:r>
      <w:r>
        <w:t xml:space="preserve">  Later, we can store our data in NumPy arrays, </w:t>
      </w:r>
      <w:r w:rsidRPr="004A3730">
        <w:t>a grid of values</w:t>
      </w:r>
      <w:r>
        <w:t xml:space="preserve"> representing each pixel of images that are</w:t>
      </w:r>
      <w:r w:rsidRPr="004A3730">
        <w:t xml:space="preserve"> all the same type</w:t>
      </w:r>
      <w:r>
        <w:t>.</w:t>
      </w:r>
      <w:r w:rsidR="000D66ED">
        <w:t xml:space="preserve"> </w:t>
      </w:r>
      <w:r w:rsidR="008A4B3E">
        <w:t xml:space="preserve">In our case, the goal is to find points with the same pixel data in the two </w:t>
      </w:r>
      <w:r w:rsidR="00C1678F">
        <w:t>thermal and multispectral</w:t>
      </w:r>
      <w:r w:rsidR="008A4B3E">
        <w:t xml:space="preserve"> images and try to align </w:t>
      </w:r>
      <w:r w:rsidR="00FA12FD">
        <w:t>them</w:t>
      </w:r>
      <w:r w:rsidR="008A4B3E">
        <w:t xml:space="preserve"> </w:t>
      </w:r>
      <w:r w:rsidR="00C1678F">
        <w:t>t</w:t>
      </w:r>
      <w:r w:rsidR="008A4B3E">
        <w:t>o get the same location and spacing for the points.</w:t>
      </w:r>
      <w:r w:rsidR="008A4B3E" w:rsidRPr="000449E3">
        <w:t> </w:t>
      </w:r>
      <w:r w:rsidR="008A4B3E">
        <w:t>T</w:t>
      </w:r>
      <w:r w:rsidR="008A4B3E" w:rsidRPr="000449E3">
        <w:t>hat way, we could merge the two images and read all necessary</w:t>
      </w:r>
      <w:r w:rsidR="008A4B3E">
        <w:t xml:space="preserve"> data simultaneously from a combined 5-band image. For this matter, we </w:t>
      </w:r>
      <w:r w:rsidR="00687F54">
        <w:t xml:space="preserve">developed a </w:t>
      </w:r>
      <w:r w:rsidR="0039188B">
        <w:t>Python script using the </w:t>
      </w:r>
      <w:proofErr w:type="spellStart"/>
      <w:r w:rsidR="00687F54" w:rsidRPr="002C2274">
        <w:t>SimpleITK</w:t>
      </w:r>
      <w:proofErr w:type="spellEnd"/>
      <w:r w:rsidR="00687F54" w:rsidRPr="002C2274">
        <w:t xml:space="preserve"> </w:t>
      </w:r>
      <w:r w:rsidR="0039188B">
        <w:t>toolkit.</w:t>
      </w:r>
      <w:r w:rsidR="00D37838">
        <w:t xml:space="preserve"> Finally, our dataset is </w:t>
      </w:r>
      <w:r w:rsidR="00C37F2F">
        <w:t xml:space="preserve">a pair of </w:t>
      </w:r>
      <w:r w:rsidR="00D37838">
        <w:t>thermal and multispectral image</w:t>
      </w:r>
      <w:r w:rsidR="00C37F2F">
        <w:t>s and a 5-band image for each scene.</w:t>
      </w:r>
      <w:r w:rsidR="00057DD3">
        <w:t xml:space="preserve"> </w:t>
      </w:r>
      <w:r w:rsidR="00F47BEA">
        <w:t>W</w:t>
      </w:r>
      <w:r w:rsidR="00C5468A">
        <w:t xml:space="preserve">e </w:t>
      </w:r>
      <w:r w:rsidR="00C37F2F">
        <w:t xml:space="preserve">also </w:t>
      </w:r>
      <w:r w:rsidR="00C5468A">
        <w:t xml:space="preserve">have </w:t>
      </w:r>
      <w:r w:rsidR="00187929">
        <w:t xml:space="preserve">an </w:t>
      </w:r>
      <w:r w:rsidR="00F47BEA">
        <w:t>E</w:t>
      </w:r>
      <w:r w:rsidR="00187929">
        <w:t xml:space="preserve">xcel file </w:t>
      </w:r>
      <w:r w:rsidR="00DF46C9">
        <w:t>containing</w:t>
      </w:r>
      <w:r w:rsidR="00187929">
        <w:t xml:space="preserve"> each pixel tempera</w:t>
      </w:r>
      <w:r w:rsidR="00F47BEA">
        <w:t>ture for each thermal pic</w:t>
      </w:r>
      <w:r w:rsidR="00187929">
        <w:t>ture</w:t>
      </w:r>
      <w:r w:rsidR="008828D5">
        <w:t xml:space="preserve">. </w:t>
      </w:r>
      <w:r w:rsidR="008828D5" w:rsidRPr="008828D5">
        <w:t>After processing, these are transformed into matrices for further analysis.</w:t>
      </w:r>
      <w:r w:rsidR="008828D5">
        <w:t xml:space="preserve"> This data has been used </w:t>
      </w:r>
      <w:r w:rsidR="00F47BEA">
        <w:t>t</w:t>
      </w:r>
      <w:r w:rsidR="008828D5">
        <w:t>o creat</w:t>
      </w:r>
      <w:r w:rsidR="00F47BEA">
        <w:t>e a</w:t>
      </w:r>
      <w:r w:rsidR="008828D5">
        <w:t xml:space="preserve"> histogram</w:t>
      </w:r>
      <w:r w:rsidR="000300FF">
        <w:t xml:space="preserve"> for temperature distribution.</w:t>
      </w:r>
      <w:r w:rsidR="00847450">
        <w:t xml:space="preserve"> </w:t>
      </w:r>
      <w:r w:rsidR="00847450" w:rsidRPr="00847450">
        <w:t>This histogram visualizes the distribution of average temperature values calculated from 10 submatrices within each thermal image matrix.</w:t>
      </w:r>
    </w:p>
    <w:p w14:paraId="4A03A340" w14:textId="77777777" w:rsidR="00057DD3" w:rsidRDefault="004F5994" w:rsidP="00057DD3">
      <w:pPr>
        <w:keepNext/>
        <w:jc w:val="center"/>
      </w:pPr>
      <w:r>
        <w:rPr>
          <w:noProof/>
        </w:rPr>
        <w:drawing>
          <wp:inline distT="0" distB="0" distL="0" distR="0" wp14:anchorId="5EE16BD1" wp14:editId="749F9784">
            <wp:extent cx="4316021" cy="2447925"/>
            <wp:effectExtent l="0" t="0" r="8890" b="0"/>
            <wp:docPr id="181625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027" cy="246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A9520" w14:textId="3B6AB0B9" w:rsidR="003559BD" w:rsidRDefault="00057DD3" w:rsidP="00057DD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Frequency of temperature in thermal images</w:t>
      </w:r>
    </w:p>
    <w:p w14:paraId="76BB514D" w14:textId="73DD801C" w:rsidR="00EA07A9" w:rsidRDefault="00573F77" w:rsidP="00847450">
      <w:r w:rsidRPr="001F07AA">
        <w:lastRenderedPageBreak/>
        <w:t>Th</w:t>
      </w:r>
      <w:r>
        <w:t xml:space="preserve">e </w:t>
      </w:r>
      <w:r w:rsidRPr="001F07AA">
        <w:t>boxplot</w:t>
      </w:r>
      <w:r w:rsidR="001F07AA" w:rsidRPr="001F07AA">
        <w:t xml:space="preserve"> illustrates the range of temperature values across all thermal images. Each box represents </w:t>
      </w:r>
      <w:r w:rsidR="00F47BEA">
        <w:t>a specific imag</w:t>
      </w:r>
      <w:r w:rsidR="001F07AA" w:rsidRPr="001F07AA">
        <w:t>e</w:t>
      </w:r>
      <w:r w:rsidR="00F47BEA">
        <w:t>'s</w:t>
      </w:r>
      <w:r w:rsidR="001F07AA" w:rsidRPr="001F07AA">
        <w:t xml:space="preserve"> </w:t>
      </w:r>
      <w:r w:rsidR="00513E36">
        <w:t xml:space="preserve">statistical </w:t>
      </w:r>
      <w:r w:rsidR="00D475A8">
        <w:t>features</w:t>
      </w:r>
      <w:r w:rsidR="001F07AA" w:rsidRPr="001F07AA">
        <w:t xml:space="preserve"> of temperature values, showing the </w:t>
      </w:r>
      <w:proofErr w:type="gramStart"/>
      <w:r w:rsidR="001F07AA" w:rsidRPr="001F07AA">
        <w:t>median</w:t>
      </w:r>
      <w:proofErr w:type="gramEnd"/>
      <w:r w:rsidR="001F07AA" w:rsidRPr="001F07AA">
        <w:t xml:space="preserve">, quartiles, and potential outliers. Sorting the boxplots by average temperature allows for </w:t>
      </w:r>
      <w:r w:rsidR="00F47BEA" w:rsidRPr="00F47BEA">
        <w:t>identif</w:t>
      </w:r>
      <w:r w:rsidR="00295C30">
        <w:t>y</w:t>
      </w:r>
      <w:r w:rsidR="00F47BEA" w:rsidRPr="00F47BEA">
        <w:t>in</w:t>
      </w:r>
      <w:r w:rsidR="00295C30">
        <w:t>g</w:t>
      </w:r>
      <w:r w:rsidR="00F47BEA" w:rsidRPr="00F47BEA">
        <w:t xml:space="preserve"> which images have higher or lower temperature values, providing insights into thermal conditions across different images and the </w:t>
      </w:r>
      <w:r w:rsidR="00674A8C">
        <w:t>amount of water and flood in each scene</w:t>
      </w:r>
      <w:r w:rsidR="001F07AA" w:rsidRPr="001F07AA">
        <w:t>.</w:t>
      </w:r>
    </w:p>
    <w:p w14:paraId="5E93FEEE" w14:textId="77777777" w:rsidR="00057DD3" w:rsidRDefault="003903CF" w:rsidP="00057DD3">
      <w:pPr>
        <w:keepNext/>
        <w:jc w:val="center"/>
      </w:pPr>
      <w:r>
        <w:rPr>
          <w:noProof/>
        </w:rPr>
        <w:drawing>
          <wp:inline distT="0" distB="0" distL="0" distR="0" wp14:anchorId="47A1DBF2" wp14:editId="06A19433">
            <wp:extent cx="4013179" cy="2497441"/>
            <wp:effectExtent l="0" t="0" r="6985" b="0"/>
            <wp:docPr id="1778703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980" cy="2501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B8E51" w14:textId="4B8ED1D0" w:rsidR="004F5994" w:rsidRDefault="00057DD3" w:rsidP="00057DD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 Boxplot of thermal image’s temperature values</w:t>
      </w:r>
    </w:p>
    <w:p w14:paraId="40119983" w14:textId="29B9C31D" w:rsidR="00090E9C" w:rsidRDefault="0097224B" w:rsidP="00295C30">
      <w:r w:rsidRPr="0097224B">
        <w:t>Th</w:t>
      </w:r>
      <w:r w:rsidR="00112289">
        <w:t xml:space="preserve">e </w:t>
      </w:r>
      <w:r w:rsidRPr="0097224B">
        <w:t xml:space="preserve">correlation matrix represents the relationships between the different spectral bands in the co-registered </w:t>
      </w:r>
      <w:r w:rsidR="00112289">
        <w:t xml:space="preserve">5-band </w:t>
      </w:r>
      <w:r w:rsidRPr="0097224B">
        <w:t>images (Red, Green, Blue, NIR, and LWIR). High correlation values between bands suggest that they are capturing similar information, while lower values may indicate distinct features.</w:t>
      </w:r>
      <w:r w:rsidR="00DA58E9">
        <w:t xml:space="preserve"> This analysis </w:t>
      </w:r>
      <w:r w:rsidR="00F47BEA" w:rsidRPr="00F47BEA">
        <w:t xml:space="preserve">gives us </w:t>
      </w:r>
      <w:r w:rsidR="00F47BEA">
        <w:t>a </w:t>
      </w:r>
      <w:r w:rsidR="00F47BEA" w:rsidRPr="00F47BEA">
        <w:t>better visualization of each band's characteristics</w:t>
      </w:r>
      <w:r w:rsidR="007E0F40">
        <w:t>, the necessity of having them in our analysis,</w:t>
      </w:r>
      <w:r w:rsidR="00F47BEA" w:rsidRPr="00F47BEA">
        <w:t xml:space="preserve"> and an understanding of </w:t>
      </w:r>
      <w:r w:rsidR="004C0EA9" w:rsidRPr="004C0EA9">
        <w:t>the interplay between optical and thermal data in urban environments.</w:t>
      </w:r>
    </w:p>
    <w:p w14:paraId="5787A63B" w14:textId="77777777" w:rsidR="00057DD3" w:rsidRDefault="004E5086" w:rsidP="00057DD3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039584A4" wp14:editId="0F65D2C2">
            <wp:extent cx="2894470" cy="2347912"/>
            <wp:effectExtent l="0" t="0" r="1270" b="0"/>
            <wp:docPr id="1377138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35" cy="2353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3B60D" w14:textId="70FCCA4D" w:rsidR="003903CF" w:rsidRDefault="00057DD3" w:rsidP="00057DD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</w:t>
      </w:r>
      <w:r w:rsidRPr="00751BE5">
        <w:t>Average Correlation Matrix of Bands Across Images</w:t>
      </w:r>
    </w:p>
    <w:p w14:paraId="4975BF82" w14:textId="77777777" w:rsidR="007E0F40" w:rsidRPr="007E0F40" w:rsidRDefault="007E0F40" w:rsidP="007E0F40"/>
    <w:sectPr w:rsidR="007E0F40" w:rsidRPr="007E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03"/>
    <w:rsid w:val="000300FF"/>
    <w:rsid w:val="00057DD3"/>
    <w:rsid w:val="00090E9C"/>
    <w:rsid w:val="000D66ED"/>
    <w:rsid w:val="00112289"/>
    <w:rsid w:val="00176D93"/>
    <w:rsid w:val="00187929"/>
    <w:rsid w:val="001F07AA"/>
    <w:rsid w:val="00295C30"/>
    <w:rsid w:val="002A0F3E"/>
    <w:rsid w:val="002A318D"/>
    <w:rsid w:val="003559BD"/>
    <w:rsid w:val="00364157"/>
    <w:rsid w:val="003903CF"/>
    <w:rsid w:val="0039188B"/>
    <w:rsid w:val="003A0CEB"/>
    <w:rsid w:val="003A3903"/>
    <w:rsid w:val="00447505"/>
    <w:rsid w:val="004B4990"/>
    <w:rsid w:val="004C0EA9"/>
    <w:rsid w:val="004E5086"/>
    <w:rsid w:val="004F5994"/>
    <w:rsid w:val="00513E36"/>
    <w:rsid w:val="00573F77"/>
    <w:rsid w:val="00610643"/>
    <w:rsid w:val="00613888"/>
    <w:rsid w:val="00674A8C"/>
    <w:rsid w:val="00687F54"/>
    <w:rsid w:val="007E0F40"/>
    <w:rsid w:val="00847450"/>
    <w:rsid w:val="0086766A"/>
    <w:rsid w:val="008828D5"/>
    <w:rsid w:val="008A27E3"/>
    <w:rsid w:val="008A4B3E"/>
    <w:rsid w:val="0097224B"/>
    <w:rsid w:val="00A87FA2"/>
    <w:rsid w:val="00A96216"/>
    <w:rsid w:val="00B56C2C"/>
    <w:rsid w:val="00BE6115"/>
    <w:rsid w:val="00C1678F"/>
    <w:rsid w:val="00C37F2F"/>
    <w:rsid w:val="00C5468A"/>
    <w:rsid w:val="00D37838"/>
    <w:rsid w:val="00D475A8"/>
    <w:rsid w:val="00D6462D"/>
    <w:rsid w:val="00DA58E9"/>
    <w:rsid w:val="00DF46C9"/>
    <w:rsid w:val="00EA07A9"/>
    <w:rsid w:val="00F47BEA"/>
    <w:rsid w:val="00FA12FD"/>
    <w:rsid w:val="00F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51AD0"/>
  <w15:chartTrackingRefBased/>
  <w15:docId w15:val="{19D06802-F8CA-4021-9F51-B94644AA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D93"/>
    <w:pPr>
      <w:spacing w:line="360" w:lineRule="auto"/>
      <w:jc w:val="both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903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903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903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903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903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903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903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903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903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903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903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903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903"/>
    <w:pPr>
      <w:spacing w:line="259" w:lineRule="auto"/>
      <w:ind w:left="720"/>
      <w:contextualSpacing/>
      <w:jc w:val="left"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3A3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9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6D93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57DD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infinitioptics.com/glossary/micron-u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577</Words>
  <Characters>3154</Characters>
  <Application>Microsoft Office Word</Application>
  <DocSecurity>0</DocSecurity>
  <Lines>59</Lines>
  <Paragraphs>13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Rezaei</dc:creator>
  <cp:keywords/>
  <dc:description/>
  <cp:lastModifiedBy>Fatemeh Rezaei</cp:lastModifiedBy>
  <cp:revision>45</cp:revision>
  <dcterms:created xsi:type="dcterms:W3CDTF">2024-10-26T19:45:00Z</dcterms:created>
  <dcterms:modified xsi:type="dcterms:W3CDTF">2024-12-16T01:39:00Z</dcterms:modified>
</cp:coreProperties>
</file>