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50C6" w14:textId="77777777" w:rsidR="00FD5957" w:rsidRPr="00FD5957" w:rsidRDefault="00FD5957" w:rsidP="00FD5957">
      <w:p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Document Title:</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FDA510k_AI_New_Insights_from_Recent_Analysis_</w:t>
      </w:r>
      <w:proofErr w:type="gramStart"/>
      <w:r w:rsidRPr="00FD5957">
        <w:rPr>
          <w:rFonts w:eastAsia="Times New Roman" w:cstheme="minorHAnsi"/>
          <w:b/>
          <w:bCs/>
          <w:kern w:val="0"/>
          <w:sz w:val="24"/>
          <w:szCs w:val="24"/>
          <w14:ligatures w14:val="none"/>
        </w:rPr>
        <w:t>2024-12-19</w:t>
      </w:r>
      <w:proofErr w:type="gramEnd"/>
    </w:p>
    <w:p w14:paraId="08859194" w14:textId="77777777" w:rsidR="00FD5957" w:rsidRPr="00FD5957" w:rsidRDefault="00FD5957" w:rsidP="00FD5957">
      <w:p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Purpose:</w:t>
      </w:r>
      <w:r w:rsidRPr="00FD5957">
        <w:rPr>
          <w:rFonts w:eastAsia="Times New Roman" w:cstheme="minorHAnsi"/>
          <w:kern w:val="0"/>
          <w:sz w:val="24"/>
          <w:szCs w:val="24"/>
          <w14:ligatures w14:val="none"/>
        </w:rPr>
        <w:br/>
        <w:t>This document captures newly identified patterns and conclusions that enhance our predictive approach for evaluating cadaveric tissue usage in 510(k) devices. It highlights how category definitions, keyword interpretations, negative factors, and specific device archetypes (e.g., VR therapeutics) have been refined.</w:t>
      </w:r>
    </w:p>
    <w:p w14:paraId="072E7F7C" w14:textId="77777777" w:rsidR="00FD5957" w:rsidRPr="00FD5957" w:rsidRDefault="00FD5957" w:rsidP="00FD5957">
      <w:pPr>
        <w:spacing w:after="0" w:line="240" w:lineRule="auto"/>
        <w:rPr>
          <w:rFonts w:eastAsia="Times New Roman" w:cstheme="minorHAnsi"/>
          <w:kern w:val="0"/>
          <w:sz w:val="24"/>
          <w:szCs w:val="24"/>
          <w14:ligatures w14:val="none"/>
        </w:rPr>
      </w:pPr>
      <w:r w:rsidRPr="00FD5957">
        <w:rPr>
          <w:rFonts w:eastAsia="Times New Roman" w:cstheme="minorHAnsi"/>
          <w:kern w:val="0"/>
          <w:sz w:val="24"/>
          <w:szCs w:val="24"/>
          <w14:ligatures w14:val="none"/>
        </w:rPr>
        <w:pict w14:anchorId="7308689D">
          <v:rect id="_x0000_i1025" style="width:0;height:1.5pt" o:hralign="center" o:hrstd="t" o:hr="t" fillcolor="#a0a0a0" stroked="f"/>
        </w:pict>
      </w:r>
    </w:p>
    <w:p w14:paraId="1DDD6BAD" w14:textId="77777777" w:rsidR="00FD5957" w:rsidRPr="00FD5957" w:rsidRDefault="00FD5957" w:rsidP="00FD5957">
      <w:pPr>
        <w:spacing w:before="100" w:beforeAutospacing="1" w:after="100" w:afterAutospacing="1" w:line="240" w:lineRule="auto"/>
        <w:outlineLvl w:val="2"/>
        <w:rPr>
          <w:rFonts w:eastAsia="Times New Roman" w:cstheme="minorHAnsi"/>
          <w:b/>
          <w:bCs/>
          <w:kern w:val="0"/>
          <w:sz w:val="27"/>
          <w:szCs w:val="27"/>
          <w14:ligatures w14:val="none"/>
        </w:rPr>
      </w:pPr>
      <w:r w:rsidRPr="00FD5957">
        <w:rPr>
          <w:rFonts w:eastAsia="Times New Roman" w:cstheme="minorHAnsi"/>
          <w:b/>
          <w:bCs/>
          <w:kern w:val="0"/>
          <w:sz w:val="27"/>
          <w:szCs w:val="27"/>
          <w14:ligatures w14:val="none"/>
        </w:rPr>
        <w:t>New Insights and Key Adjustments</w:t>
      </w:r>
    </w:p>
    <w:p w14:paraId="52788518"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Differentiation within Advisory Committees: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Every device under Orthopedic, Neurology, Dental, and Cardiovascular committees had relatively high likelihood scores.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Not all devices within these committees warrant equally high scores. Simple catheters, diagnostic tools, or digital therapeutics do not receive the same cadaveric usage weight as implants or graft-based devices. As a result, top-level AC weights have been modestly reduced and the “Others” category weight significantly lowered to reflect true real-world practices.</w:t>
      </w:r>
    </w:p>
    <w:p w14:paraId="7496BADD"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Handling of Non-Invasive Digital Therapeutics (e.g., VR Devices):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If addressing a neurological condition, a device might have been placed under Neurology (NE) with a high baseline.</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VR pain management or cognitive-behavioral therapy devices typically do not rely on cadaveric testing. Such devices should be categorized under “Others” (0.20) rather than NE (0.75) to produce a more realistic low likelihood score. This prevents artificially high estimates for purely digital solutions.</w:t>
      </w:r>
    </w:p>
    <w:p w14:paraId="558BA59F"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Granular Keyword and Product Code Interpretations: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All graft/bone/implant terms were given extremely high weights (0.9–1.0).</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While allograft and graft remain top signals of tissue use, other terms like “Bone,” “Implant,” and “Spinal” are now slightly lower (around 0.85), providing a more nuanced gradient. This creates better distinctions between devices with direct human tissue involvement and those using synthetic or alternative graft materials.</w:t>
      </w:r>
    </w:p>
    <w:p w14:paraId="695DAFFB"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Introduction and Adjustment of Negative Factors: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No explicit negative factors for cosmetic, diagnostic, or software-only devices.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Assigning negative factors ensures that purely diagnostic molecular assays, imaging software, cosmetic lasers/hair removal devices, and similarly non-tissue-related products score as “Almost None” or “Low.” For instance, cosmetic devices receive a -2.00 NF, significantly lowering their score, while diagnostic-only tools get a -0.20 NF. This addition greatly improves model realism.</w:t>
      </w:r>
    </w:p>
    <w:p w14:paraId="4A352D9D"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lastRenderedPageBreak/>
        <w:t>Recalibrating Baselines for Non-Tissue Categories: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The “Others” advisory category started at 0.6.</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Setting “Others” at 0.20 ensures that general imaging tools, VR therapy devices, or simple rehab equipment do not start from an inflated baseline. Combined with neutral keywords and no tissue-related PC codes, these devices now naturally fall into Low or Very Low categories, aligning more closely with practical expectations.</w:t>
      </w:r>
    </w:p>
    <w:p w14:paraId="7523BC6B"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Balancing Submission Type, Processing Time, and Location:</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Submission types and processing times had higher weights (≥0.8–0.9).</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Submission Type now ranges from 0.50–0.70, Processing Time from 0.50–0.65, and Geographic Location from 0.50–0.60. These factors nudge the final score rather than dominate it, resulting in more subtle and realistic adjustments.</w:t>
      </w:r>
    </w:p>
    <w:p w14:paraId="770053A6" w14:textId="77777777" w:rsidR="00FD5957" w:rsidRPr="00FD5957" w:rsidRDefault="00FD5957" w:rsidP="00FD59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Applying Literature-Informed Reductions for Certain Categories: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Original Assumption:</w:t>
      </w:r>
      <w:r w:rsidRPr="00FD5957">
        <w:rPr>
          <w:rFonts w:eastAsia="Times New Roman" w:cstheme="minorHAnsi"/>
          <w:kern w:val="0"/>
          <w:sz w:val="24"/>
          <w:szCs w:val="24"/>
          <w14:ligatures w14:val="none"/>
        </w:rPr>
        <w:t xml:space="preserve"> Cardiovascular committees and product codes were initially given very high weights.</w:t>
      </w:r>
      <w:r w:rsidRPr="00FD5957">
        <w:rPr>
          <w:rFonts w:eastAsia="Times New Roman" w:cstheme="minorHAnsi"/>
          <w:kern w:val="0"/>
          <w:sz w:val="24"/>
          <w:szCs w:val="24"/>
          <w14:ligatures w14:val="none"/>
        </w:rPr>
        <w:br/>
      </w:r>
      <w:r w:rsidRPr="00FD5957">
        <w:rPr>
          <w:rFonts w:eastAsia="Times New Roman" w:cstheme="minorHAnsi"/>
          <w:b/>
          <w:bCs/>
          <w:kern w:val="0"/>
          <w:sz w:val="24"/>
          <w:szCs w:val="24"/>
          <w14:ligatures w14:val="none"/>
        </w:rPr>
        <w:t>New Insight:</w:t>
      </w:r>
      <w:r w:rsidRPr="00FD5957">
        <w:rPr>
          <w:rFonts w:eastAsia="Times New Roman" w:cstheme="minorHAnsi"/>
          <w:kern w:val="0"/>
          <w:sz w:val="24"/>
          <w:szCs w:val="24"/>
          <w14:ligatures w14:val="none"/>
        </w:rPr>
        <w:t xml:space="preserve"> Real-world practices and literature suggest that many cardiovascular devices rely more on animal models or simulations rather than human cadavers. Hence, the CV weight was reduced from 0.7 to 0.58, and related product codes were adjusted accordingly. This better reflects how simple cardiovascular catheters or guidewires should not score too high in cadaveric usage likelihood.</w:t>
      </w:r>
    </w:p>
    <w:p w14:paraId="6295EE08" w14:textId="77777777" w:rsidR="00FD5957" w:rsidRPr="00FD5957" w:rsidRDefault="00FD5957" w:rsidP="00FD5957">
      <w:pPr>
        <w:spacing w:after="0" w:line="240" w:lineRule="auto"/>
        <w:rPr>
          <w:rFonts w:eastAsia="Times New Roman" w:cstheme="minorHAnsi"/>
          <w:kern w:val="0"/>
          <w:sz w:val="24"/>
          <w:szCs w:val="24"/>
          <w14:ligatures w14:val="none"/>
        </w:rPr>
      </w:pPr>
      <w:r w:rsidRPr="00FD5957">
        <w:rPr>
          <w:rFonts w:eastAsia="Times New Roman" w:cstheme="minorHAnsi"/>
          <w:kern w:val="0"/>
          <w:sz w:val="24"/>
          <w:szCs w:val="24"/>
          <w14:ligatures w14:val="none"/>
        </w:rPr>
        <w:pict w14:anchorId="24A23983">
          <v:rect id="_x0000_i1026" style="width:0;height:1.5pt" o:hralign="center" o:hrstd="t" o:hr="t" fillcolor="#a0a0a0" stroked="f"/>
        </w:pict>
      </w:r>
    </w:p>
    <w:p w14:paraId="2CD983F2" w14:textId="77777777" w:rsidR="00FD5957" w:rsidRPr="00FD5957" w:rsidRDefault="00FD5957" w:rsidP="00FD5957">
      <w:pPr>
        <w:spacing w:before="100" w:beforeAutospacing="1" w:after="100" w:afterAutospacing="1" w:line="240" w:lineRule="auto"/>
        <w:outlineLvl w:val="2"/>
        <w:rPr>
          <w:rFonts w:eastAsia="Times New Roman" w:cstheme="minorHAnsi"/>
          <w:b/>
          <w:bCs/>
          <w:kern w:val="0"/>
          <w:sz w:val="27"/>
          <w:szCs w:val="27"/>
          <w14:ligatures w14:val="none"/>
        </w:rPr>
      </w:pPr>
      <w:r w:rsidRPr="00FD5957">
        <w:rPr>
          <w:rFonts w:eastAsia="Times New Roman" w:cstheme="minorHAnsi"/>
          <w:b/>
          <w:bCs/>
          <w:kern w:val="0"/>
          <w:sz w:val="27"/>
          <w:szCs w:val="27"/>
          <w14:ligatures w14:val="none"/>
        </w:rPr>
        <w:t>Impact of These Insights</w:t>
      </w:r>
    </w:p>
    <w:p w14:paraId="2FA7A8FE" w14:textId="77777777" w:rsidR="00FD5957" w:rsidRPr="00FD5957" w:rsidRDefault="00FD5957" w:rsidP="00FD59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Improved Realism:</w:t>
      </w:r>
      <w:r w:rsidRPr="00FD5957">
        <w:rPr>
          <w:rFonts w:eastAsia="Times New Roman" w:cstheme="minorHAnsi"/>
          <w:kern w:val="0"/>
          <w:sz w:val="24"/>
          <w:szCs w:val="24"/>
          <w14:ligatures w14:val="none"/>
        </w:rPr>
        <w:t xml:space="preserve"> The refined framework now discriminates more effectively between device types. Complex orthopedic implants still rank high, while cosmetic or VR-based solutions end up low, preventing unrealistic uniform overestimations.</w:t>
      </w:r>
    </w:p>
    <w:p w14:paraId="4E0AD617" w14:textId="77777777" w:rsidR="00FD5957" w:rsidRPr="00FD5957" w:rsidRDefault="00FD5957" w:rsidP="00FD59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Enhanced Flexibility:</w:t>
      </w:r>
      <w:r w:rsidRPr="00FD5957">
        <w:rPr>
          <w:rFonts w:eastAsia="Times New Roman" w:cstheme="minorHAnsi"/>
          <w:kern w:val="0"/>
          <w:sz w:val="24"/>
          <w:szCs w:val="24"/>
          <w14:ligatures w14:val="none"/>
        </w:rPr>
        <w:t xml:space="preserve"> By introducing negative factors and allowing multiple keywords and product codes to interact, the model can represent a wide variety of device scenarios with more nuanced outcomes.</w:t>
      </w:r>
    </w:p>
    <w:p w14:paraId="10C40494" w14:textId="77777777" w:rsidR="00FD5957" w:rsidRPr="00FD5957" w:rsidRDefault="00FD5957" w:rsidP="00FD59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Better Alignment with Industry Practice:</w:t>
      </w:r>
      <w:r w:rsidRPr="00FD5957">
        <w:rPr>
          <w:rFonts w:eastAsia="Times New Roman" w:cstheme="minorHAnsi"/>
          <w:kern w:val="0"/>
          <w:sz w:val="24"/>
          <w:szCs w:val="24"/>
          <w14:ligatures w14:val="none"/>
        </w:rPr>
        <w:t xml:space="preserve"> The changes reflect feedback from case-by-case analysis, recognizing that not all devices under a given committee are equally tested on cadavers. The refined weights reflect current medical training, research, and validation processes more closely.</w:t>
      </w:r>
    </w:p>
    <w:p w14:paraId="4AF05B89" w14:textId="77777777" w:rsidR="00FD5957" w:rsidRPr="00FD5957" w:rsidRDefault="00FD5957" w:rsidP="00FD59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b/>
          <w:bCs/>
          <w:kern w:val="0"/>
          <w:sz w:val="24"/>
          <w:szCs w:val="24"/>
          <w14:ligatures w14:val="none"/>
        </w:rPr>
        <w:t>Future Ready:</w:t>
      </w:r>
      <w:r w:rsidRPr="00FD5957">
        <w:rPr>
          <w:rFonts w:eastAsia="Times New Roman" w:cstheme="minorHAnsi"/>
          <w:kern w:val="0"/>
          <w:sz w:val="24"/>
          <w:szCs w:val="24"/>
          <w14:ligatures w14:val="none"/>
        </w:rPr>
        <w:t xml:space="preserve"> The granular approach allows adding new categories or special device archetypes (e.g., AI-based diagnostic tools, advanced robotics) without overhauling the entire system, simply by assigning appropriate AC, KW, and NF values.</w:t>
      </w:r>
    </w:p>
    <w:p w14:paraId="01F47256" w14:textId="77777777" w:rsidR="00FD5957" w:rsidRPr="00FD5957" w:rsidRDefault="00FD5957" w:rsidP="00FD5957">
      <w:pPr>
        <w:spacing w:after="0" w:line="240" w:lineRule="auto"/>
        <w:rPr>
          <w:rFonts w:eastAsia="Times New Roman" w:cstheme="minorHAnsi"/>
          <w:kern w:val="0"/>
          <w:sz w:val="24"/>
          <w:szCs w:val="24"/>
          <w14:ligatures w14:val="none"/>
        </w:rPr>
      </w:pPr>
      <w:r w:rsidRPr="00FD5957">
        <w:rPr>
          <w:rFonts w:eastAsia="Times New Roman" w:cstheme="minorHAnsi"/>
          <w:kern w:val="0"/>
          <w:sz w:val="24"/>
          <w:szCs w:val="24"/>
          <w14:ligatures w14:val="none"/>
        </w:rPr>
        <w:pict w14:anchorId="7E852556">
          <v:rect id="_x0000_i1027" style="width:0;height:1.5pt" o:hralign="center" o:hrstd="t" o:hr="t" fillcolor="#a0a0a0" stroked="f"/>
        </w:pict>
      </w:r>
    </w:p>
    <w:p w14:paraId="19D2FF5F" w14:textId="77777777" w:rsidR="00FD5957" w:rsidRPr="00FD5957" w:rsidRDefault="00FD5957" w:rsidP="00FD5957">
      <w:pPr>
        <w:spacing w:before="100" w:beforeAutospacing="1" w:after="100" w:afterAutospacing="1" w:line="240" w:lineRule="auto"/>
        <w:outlineLvl w:val="2"/>
        <w:rPr>
          <w:rFonts w:eastAsia="Times New Roman" w:cstheme="minorHAnsi"/>
          <w:b/>
          <w:bCs/>
          <w:kern w:val="0"/>
          <w:sz w:val="27"/>
          <w:szCs w:val="27"/>
          <w14:ligatures w14:val="none"/>
        </w:rPr>
      </w:pPr>
      <w:r w:rsidRPr="00FD5957">
        <w:rPr>
          <w:rFonts w:eastAsia="Times New Roman" w:cstheme="minorHAnsi"/>
          <w:b/>
          <w:bCs/>
          <w:kern w:val="0"/>
          <w:sz w:val="27"/>
          <w:szCs w:val="27"/>
          <w14:ligatures w14:val="none"/>
        </w:rPr>
        <w:t>Conclusion</w:t>
      </w:r>
    </w:p>
    <w:p w14:paraId="4E9BA6D8" w14:textId="77777777" w:rsidR="00FD5957" w:rsidRPr="00FD5957" w:rsidRDefault="00FD5957" w:rsidP="00FD5957">
      <w:pPr>
        <w:spacing w:before="100" w:beforeAutospacing="1" w:after="100" w:afterAutospacing="1" w:line="240" w:lineRule="auto"/>
        <w:rPr>
          <w:rFonts w:eastAsia="Times New Roman" w:cstheme="minorHAnsi"/>
          <w:kern w:val="0"/>
          <w:sz w:val="24"/>
          <w:szCs w:val="24"/>
          <w14:ligatures w14:val="none"/>
        </w:rPr>
      </w:pPr>
      <w:r w:rsidRPr="00FD5957">
        <w:rPr>
          <w:rFonts w:eastAsia="Times New Roman" w:cstheme="minorHAnsi"/>
          <w:kern w:val="0"/>
          <w:sz w:val="24"/>
          <w:szCs w:val="24"/>
          <w14:ligatures w14:val="none"/>
        </w:rPr>
        <w:lastRenderedPageBreak/>
        <w:t xml:space="preserve">These new insights and adjustments form an evolved, more </w:t>
      </w:r>
      <w:proofErr w:type="gramStart"/>
      <w:r w:rsidRPr="00FD5957">
        <w:rPr>
          <w:rFonts w:eastAsia="Times New Roman" w:cstheme="minorHAnsi"/>
          <w:kern w:val="0"/>
          <w:sz w:val="24"/>
          <w:szCs w:val="24"/>
          <w14:ligatures w14:val="none"/>
        </w:rPr>
        <w:t>granular</w:t>
      </w:r>
      <w:proofErr w:type="gramEnd"/>
      <w:r w:rsidRPr="00FD5957">
        <w:rPr>
          <w:rFonts w:eastAsia="Times New Roman" w:cstheme="minorHAnsi"/>
          <w:kern w:val="0"/>
          <w:sz w:val="24"/>
          <w:szCs w:val="24"/>
          <w14:ligatures w14:val="none"/>
        </w:rPr>
        <w:t xml:space="preserve"> and contextually accurate weighting system. This approach better aligns with the original methodology’s goal—scientifically valid, data-driven likelihood estimates—while incorporating lessons learned from detailed analysis, increased realism, and practical refinement. The resulting model is more sensitive to device-specific factors and less prone to overestimation, providing a stronger, evidence-based foundation for predicting cadaveric tissue requirements in FDA 510(k) submissions.</w:t>
      </w:r>
    </w:p>
    <w:p w14:paraId="44C51100" w14:textId="77777777" w:rsidR="00FD5957" w:rsidRDefault="00FD5957"/>
    <w:sectPr w:rsidR="00FD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7E7C"/>
    <w:multiLevelType w:val="multilevel"/>
    <w:tmpl w:val="4B6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F76C3"/>
    <w:multiLevelType w:val="multilevel"/>
    <w:tmpl w:val="C54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563369">
    <w:abstractNumId w:val="0"/>
  </w:num>
  <w:num w:numId="2" w16cid:durableId="184386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57"/>
    <w:rsid w:val="00FD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BC70"/>
  <w15:chartTrackingRefBased/>
  <w15:docId w15:val="{E109CD9D-7EDD-4CB9-8E56-02B8E451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9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95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D59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5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2024-12-19T19:33:00Z</dcterms:created>
  <dcterms:modified xsi:type="dcterms:W3CDTF">2024-12-19T19:34:00Z</dcterms:modified>
</cp:coreProperties>
</file>