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822A" w14:textId="77777777" w:rsidR="00F2329F" w:rsidRPr="00F2329F" w:rsidRDefault="00F2329F" w:rsidP="00F2329F">
      <w:r w:rsidRPr="00F2329F">
        <w:rPr>
          <w:b/>
          <w:bCs/>
        </w:rPr>
        <w:t>FDA510k_AI_Alignment_with_Initial_Research_and_Reasons_for_Changes_2024-12-19</w:t>
      </w:r>
      <w:r w:rsidRPr="00F2329F">
        <w:br/>
      </w:r>
      <w:r w:rsidRPr="00F2329F">
        <w:rPr>
          <w:i/>
          <w:iCs/>
        </w:rPr>
        <w:t>(Dated: 12/24/2024)</w:t>
      </w:r>
    </w:p>
    <w:p w14:paraId="52F773DA" w14:textId="77777777" w:rsidR="00F2329F" w:rsidRPr="00F2329F" w:rsidRDefault="00F2329F" w:rsidP="00F2329F">
      <w:r w:rsidRPr="00F2329F">
        <w:pict w14:anchorId="4EF6BA37">
          <v:rect id="_x0000_i1169" style="width:0;height:1.5pt" o:hralign="center" o:hrstd="t" o:hr="t" fillcolor="#a0a0a0" stroked="f"/>
        </w:pict>
      </w:r>
    </w:p>
    <w:p w14:paraId="7A244FED" w14:textId="77777777" w:rsidR="00F2329F" w:rsidRPr="00F2329F" w:rsidRDefault="00F2329F" w:rsidP="00F2329F">
      <w:pPr>
        <w:rPr>
          <w:b/>
          <w:bCs/>
        </w:rPr>
      </w:pPr>
      <w:r w:rsidRPr="00F2329F">
        <w:rPr>
          <w:b/>
          <w:bCs/>
        </w:rPr>
        <w:t>1. Purpose &amp; Overview</w:t>
      </w:r>
    </w:p>
    <w:p w14:paraId="5E1B4037" w14:textId="77777777" w:rsidR="00F2329F" w:rsidRPr="00F2329F" w:rsidRDefault="00F2329F" w:rsidP="00F2329F">
      <w:r w:rsidRPr="00F2329F">
        <w:t xml:space="preserve">This document highlights the current alignment between our AI-assisted 510(k) analysis process and the </w:t>
      </w:r>
      <w:r w:rsidRPr="00F2329F">
        <w:rPr>
          <w:b/>
          <w:bCs/>
        </w:rPr>
        <w:t>initial research goals</w:t>
      </w:r>
      <w:r w:rsidRPr="00F2329F">
        <w:t xml:space="preserve"> established in late 2024. It also details </w:t>
      </w:r>
      <w:r w:rsidRPr="00F2329F">
        <w:rPr>
          <w:b/>
          <w:bCs/>
        </w:rPr>
        <w:t>reasons for any recent changes</w:t>
      </w:r>
      <w:r w:rsidRPr="00F2329F">
        <w:t xml:space="preserve"> to synergy weighting, negative factor assignments, or other logic modifications implemented as of December 24, 2024.</w:t>
      </w:r>
    </w:p>
    <w:p w14:paraId="567B6767" w14:textId="77777777" w:rsidR="00F2329F" w:rsidRPr="00F2329F" w:rsidRDefault="00F2329F" w:rsidP="00F2329F">
      <w:r w:rsidRPr="00F2329F">
        <w:pict w14:anchorId="6A52B655">
          <v:rect id="_x0000_i1170" style="width:0;height:1.5pt" o:hralign="center" o:hrstd="t" o:hr="t" fillcolor="#a0a0a0" stroked="f"/>
        </w:pict>
      </w:r>
    </w:p>
    <w:p w14:paraId="573ACA0F" w14:textId="77777777" w:rsidR="00F2329F" w:rsidRPr="00F2329F" w:rsidRDefault="00F2329F" w:rsidP="00F2329F">
      <w:pPr>
        <w:rPr>
          <w:b/>
          <w:bCs/>
        </w:rPr>
      </w:pPr>
      <w:r w:rsidRPr="00F2329F">
        <w:rPr>
          <w:b/>
          <w:bCs/>
        </w:rPr>
        <w:t>2. Alignment with Initial Research</w:t>
      </w:r>
    </w:p>
    <w:p w14:paraId="05669405" w14:textId="77777777" w:rsidR="00F2329F" w:rsidRPr="00F2329F" w:rsidRDefault="00F2329F" w:rsidP="00F2329F">
      <w:pPr>
        <w:numPr>
          <w:ilvl w:val="0"/>
          <w:numId w:val="1"/>
        </w:numPr>
      </w:pPr>
      <w:r w:rsidRPr="00F2329F">
        <w:rPr>
          <w:b/>
          <w:bCs/>
        </w:rPr>
        <w:t>Core Methodology</w:t>
      </w:r>
    </w:p>
    <w:p w14:paraId="4B492CE0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We continue to apply the same synergy rule set:</w:t>
      </w:r>
    </w:p>
    <w:p w14:paraId="514B7BE5" w14:textId="77777777" w:rsidR="00F2329F" w:rsidRPr="00F2329F" w:rsidRDefault="00F2329F" w:rsidP="00F2329F">
      <w:pPr>
        <w:numPr>
          <w:ilvl w:val="2"/>
          <w:numId w:val="1"/>
        </w:numPr>
      </w:pPr>
      <w:r w:rsidRPr="00F2329F">
        <w:rPr>
          <w:b/>
          <w:bCs/>
        </w:rPr>
        <w:t>+0.15</w:t>
      </w:r>
      <w:r w:rsidRPr="00F2329F">
        <w:t xml:space="preserve"> if Advisory Committee (AC) is </w:t>
      </w:r>
      <w:r w:rsidRPr="00F2329F">
        <w:rPr>
          <w:b/>
          <w:bCs/>
        </w:rPr>
        <w:t>OR</w:t>
      </w:r>
      <w:r w:rsidRPr="00F2329F">
        <w:t xml:space="preserve"> </w:t>
      </w:r>
      <w:proofErr w:type="spellStart"/>
      <w:r w:rsidRPr="00F2329F">
        <w:t>or</w:t>
      </w:r>
      <w:proofErr w:type="spellEnd"/>
      <w:r w:rsidRPr="00F2329F">
        <w:t xml:space="preserve"> </w:t>
      </w:r>
      <w:r w:rsidRPr="00F2329F">
        <w:rPr>
          <w:b/>
          <w:bCs/>
        </w:rPr>
        <w:t>NE</w:t>
      </w:r>
      <w:r w:rsidRPr="00F2329F">
        <w:t xml:space="preserve"> </w:t>
      </w:r>
      <w:r w:rsidRPr="00F2329F">
        <w:rPr>
          <w:i/>
          <w:iCs/>
        </w:rPr>
        <w:t>and</w:t>
      </w:r>
      <w:r w:rsidRPr="00F2329F">
        <w:t xml:space="preserve"> the device keywords (KW) include any from {Bone, Spinal, Implant, Fusion, etc.}.</w:t>
      </w:r>
    </w:p>
    <w:p w14:paraId="57DCD6F5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We preserve negative factor rules:</w:t>
      </w:r>
    </w:p>
    <w:p w14:paraId="4E2F5BE1" w14:textId="77777777" w:rsidR="00F2329F" w:rsidRPr="00F2329F" w:rsidRDefault="00F2329F" w:rsidP="00F2329F">
      <w:pPr>
        <w:numPr>
          <w:ilvl w:val="2"/>
          <w:numId w:val="1"/>
        </w:numPr>
      </w:pPr>
      <w:r w:rsidRPr="00F2329F">
        <w:rPr>
          <w:b/>
          <w:bCs/>
        </w:rPr>
        <w:t>−2.0</w:t>
      </w:r>
      <w:r w:rsidRPr="00F2329F">
        <w:t xml:space="preserve"> for purely cosmetic devices.</w:t>
      </w:r>
    </w:p>
    <w:p w14:paraId="09E4AFA4" w14:textId="77777777" w:rsidR="00F2329F" w:rsidRPr="00F2329F" w:rsidRDefault="00F2329F" w:rsidP="00F2329F">
      <w:pPr>
        <w:numPr>
          <w:ilvl w:val="2"/>
          <w:numId w:val="1"/>
        </w:numPr>
      </w:pPr>
      <w:r w:rsidRPr="00F2329F">
        <w:rPr>
          <w:b/>
          <w:bCs/>
        </w:rPr>
        <w:t>−0.20</w:t>
      </w:r>
      <w:r w:rsidRPr="00F2329F">
        <w:t xml:space="preserve"> for purely diagnostic software.</w:t>
      </w:r>
    </w:p>
    <w:p w14:paraId="2532E572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All weighting pillars (AC, PC, KW, ST, PT, GL, NF, synergy) remain consistent with prior versions.</w:t>
      </w:r>
    </w:p>
    <w:p w14:paraId="2C99091A" w14:textId="77777777" w:rsidR="00F2329F" w:rsidRPr="00F2329F" w:rsidRDefault="00F2329F" w:rsidP="00F2329F">
      <w:pPr>
        <w:numPr>
          <w:ilvl w:val="0"/>
          <w:numId w:val="1"/>
        </w:numPr>
      </w:pPr>
      <w:r w:rsidRPr="00F2329F">
        <w:rPr>
          <w:b/>
          <w:bCs/>
        </w:rPr>
        <w:t>Spreadsheet-Ready Output</w:t>
      </w:r>
    </w:p>
    <w:p w14:paraId="05FEF740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 xml:space="preserve">Per initial research requirements, each 510(k) record is still presented in a </w:t>
      </w:r>
      <w:r w:rsidRPr="00F2329F">
        <w:rPr>
          <w:b/>
          <w:bCs/>
        </w:rPr>
        <w:t>single-line Markdown row</w:t>
      </w:r>
      <w:r w:rsidRPr="00F2329F">
        <w:t xml:space="preserve"> to facilitate quick copy/paste into spreadsheets.</w:t>
      </w:r>
    </w:p>
    <w:p w14:paraId="21600CB2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All synergy details, disclaimers, and notes continue to appear in the final columns without mid-cell line breaks.</w:t>
      </w:r>
    </w:p>
    <w:p w14:paraId="7CD3D636" w14:textId="77777777" w:rsidR="00F2329F" w:rsidRPr="00F2329F" w:rsidRDefault="00F2329F" w:rsidP="00F2329F">
      <w:pPr>
        <w:numPr>
          <w:ilvl w:val="0"/>
          <w:numId w:val="1"/>
        </w:numPr>
      </w:pPr>
      <w:r w:rsidRPr="00F2329F">
        <w:rPr>
          <w:b/>
          <w:bCs/>
        </w:rPr>
        <w:t>Category Determination</w:t>
      </w:r>
    </w:p>
    <w:p w14:paraId="65CDD5BE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Category thresholds (High, Moderate, Low, Almost None) remain based on final percentage score cutoffs set earlier in 2024 (e.g., &gt;60% → High, etc.).</w:t>
      </w:r>
    </w:p>
    <w:p w14:paraId="248DCB3E" w14:textId="77777777" w:rsidR="00F2329F" w:rsidRPr="00F2329F" w:rsidRDefault="00F2329F" w:rsidP="00F2329F">
      <w:pPr>
        <w:numPr>
          <w:ilvl w:val="1"/>
          <w:numId w:val="1"/>
        </w:numPr>
      </w:pPr>
      <w:r w:rsidRPr="00F2329F">
        <w:t>This aligns with the initial research objective to have quick snapshot categories for decision-making.</w:t>
      </w:r>
    </w:p>
    <w:p w14:paraId="6EBACE9B" w14:textId="77777777" w:rsidR="00F2329F" w:rsidRPr="00F2329F" w:rsidRDefault="00F2329F" w:rsidP="00F2329F">
      <w:r w:rsidRPr="00F2329F">
        <w:pict w14:anchorId="0229B95E">
          <v:rect id="_x0000_i1171" style="width:0;height:1.5pt" o:hralign="center" o:hrstd="t" o:hr="t" fillcolor="#a0a0a0" stroked="f"/>
        </w:pict>
      </w:r>
    </w:p>
    <w:p w14:paraId="0F94FC49" w14:textId="77777777" w:rsidR="00F2329F" w:rsidRPr="00F2329F" w:rsidRDefault="00F2329F" w:rsidP="00F2329F">
      <w:pPr>
        <w:rPr>
          <w:b/>
          <w:bCs/>
        </w:rPr>
      </w:pPr>
      <w:r w:rsidRPr="00F2329F">
        <w:rPr>
          <w:b/>
          <w:bCs/>
        </w:rPr>
        <w:t>3. Reasons for Changes</w:t>
      </w:r>
    </w:p>
    <w:p w14:paraId="619F2641" w14:textId="77777777" w:rsidR="00F2329F" w:rsidRPr="00F2329F" w:rsidRDefault="00F2329F" w:rsidP="00F2329F">
      <w:pPr>
        <w:numPr>
          <w:ilvl w:val="0"/>
          <w:numId w:val="2"/>
        </w:numPr>
      </w:pPr>
      <w:r w:rsidRPr="00F2329F">
        <w:rPr>
          <w:b/>
          <w:bCs/>
        </w:rPr>
        <w:t>Extended Keyword Set</w:t>
      </w:r>
    </w:p>
    <w:p w14:paraId="318B6C1F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lastRenderedPageBreak/>
        <w:t xml:space="preserve">In Q4 of 2024, </w:t>
      </w:r>
      <w:r w:rsidRPr="00F2329F">
        <w:rPr>
          <w:b/>
          <w:bCs/>
        </w:rPr>
        <w:t>“Syndesmosis”</w:t>
      </w:r>
      <w:r w:rsidRPr="00F2329F">
        <w:t xml:space="preserve"> and </w:t>
      </w:r>
      <w:r w:rsidRPr="00F2329F">
        <w:rPr>
          <w:b/>
          <w:bCs/>
        </w:rPr>
        <w:t>“Ankle”</w:t>
      </w:r>
      <w:r w:rsidRPr="00F2329F">
        <w:t xml:space="preserve"> were added as additional bone-related keywords, thus eligible for synergy if AC=OR </w:t>
      </w:r>
      <w:proofErr w:type="spellStart"/>
      <w:r w:rsidRPr="00F2329F">
        <w:t>or</w:t>
      </w:r>
      <w:proofErr w:type="spellEnd"/>
      <w:r w:rsidRPr="00F2329F">
        <w:t xml:space="preserve"> NE. This followed new clinical feedback indicating certain foot/ankle systems are heavily </w:t>
      </w:r>
      <w:proofErr w:type="gramStart"/>
      <w:r w:rsidRPr="00F2329F">
        <w:t>bone-related</w:t>
      </w:r>
      <w:proofErr w:type="gramEnd"/>
      <w:r w:rsidRPr="00F2329F">
        <w:t>.</w:t>
      </w:r>
    </w:p>
    <w:p w14:paraId="4CBFB94D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t xml:space="preserve">These changes aim to </w:t>
      </w:r>
      <w:r w:rsidRPr="00F2329F">
        <w:rPr>
          <w:b/>
          <w:bCs/>
        </w:rPr>
        <w:t>increase precision</w:t>
      </w:r>
      <w:r w:rsidRPr="00F2329F">
        <w:t xml:space="preserve"> in scoring orthopedic devices.</w:t>
      </w:r>
    </w:p>
    <w:p w14:paraId="7234A938" w14:textId="77777777" w:rsidR="00F2329F" w:rsidRPr="00F2329F" w:rsidRDefault="00F2329F" w:rsidP="00F2329F">
      <w:pPr>
        <w:numPr>
          <w:ilvl w:val="0"/>
          <w:numId w:val="2"/>
        </w:numPr>
      </w:pPr>
      <w:r w:rsidRPr="00F2329F">
        <w:rPr>
          <w:b/>
          <w:bCs/>
        </w:rPr>
        <w:t>Clarified Cosmetic vs. Aesthetic</w:t>
      </w:r>
    </w:p>
    <w:p w14:paraId="694CB8E9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t xml:space="preserve">Late 2024 clarifications from the FDA guidelines suggest that devices marketed for </w:t>
      </w:r>
      <w:r w:rsidRPr="00F2329F">
        <w:rPr>
          <w:i/>
          <w:iCs/>
        </w:rPr>
        <w:t>non-medical</w:t>
      </w:r>
      <w:r w:rsidRPr="00F2329F">
        <w:t xml:space="preserve"> hair removal or similar cosmetic outcomes remain subject to </w:t>
      </w:r>
      <w:r w:rsidRPr="00F2329F">
        <w:rPr>
          <w:b/>
          <w:bCs/>
        </w:rPr>
        <w:t>−2.0 negative factor</w:t>
      </w:r>
      <w:r w:rsidRPr="00F2329F">
        <w:t>. However, certain hair growth or scalp stimulation devices are not always “purely cosmetic,” so no automatic penalty is applied unless disclaimers confirm purely cosmetic use.</w:t>
      </w:r>
    </w:p>
    <w:p w14:paraId="3F5EAE51" w14:textId="77777777" w:rsidR="00F2329F" w:rsidRPr="00F2329F" w:rsidRDefault="00F2329F" w:rsidP="00F2329F">
      <w:pPr>
        <w:numPr>
          <w:ilvl w:val="0"/>
          <w:numId w:val="2"/>
        </w:numPr>
      </w:pPr>
      <w:r w:rsidRPr="00F2329F">
        <w:rPr>
          <w:b/>
          <w:bCs/>
        </w:rPr>
        <w:t>Diagnostic Software Clarification</w:t>
      </w:r>
    </w:p>
    <w:p w14:paraId="2E5233F1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t xml:space="preserve">Additional disclaimers ensure we only apply the </w:t>
      </w:r>
      <w:r w:rsidRPr="00F2329F">
        <w:rPr>
          <w:b/>
          <w:bCs/>
        </w:rPr>
        <w:t>−0.20</w:t>
      </w:r>
      <w:r w:rsidRPr="00F2329F">
        <w:t xml:space="preserve"> negative factor if the device is </w:t>
      </w:r>
      <w:r w:rsidRPr="00F2329F">
        <w:rPr>
          <w:i/>
          <w:iCs/>
        </w:rPr>
        <w:t>purely</w:t>
      </w:r>
      <w:r w:rsidRPr="00F2329F">
        <w:t xml:space="preserve"> diagnostic software without direct therapeutic intervention.</w:t>
      </w:r>
    </w:p>
    <w:p w14:paraId="229F6837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t xml:space="preserve">This revision helps </w:t>
      </w:r>
      <w:r w:rsidRPr="00F2329F">
        <w:rPr>
          <w:b/>
          <w:bCs/>
        </w:rPr>
        <w:t>avoid over-penalizing</w:t>
      </w:r>
      <w:r w:rsidRPr="00F2329F">
        <w:t xml:space="preserve"> multi-function software that combines both diagnostic and interactive/therapeutic features.</w:t>
      </w:r>
    </w:p>
    <w:p w14:paraId="586DBA47" w14:textId="77777777" w:rsidR="00F2329F" w:rsidRPr="00F2329F" w:rsidRDefault="00F2329F" w:rsidP="00F2329F">
      <w:pPr>
        <w:numPr>
          <w:ilvl w:val="0"/>
          <w:numId w:val="2"/>
        </w:numPr>
      </w:pPr>
      <w:r w:rsidRPr="00F2329F">
        <w:rPr>
          <w:b/>
          <w:bCs/>
        </w:rPr>
        <w:t>Local/Regional Variation</w:t>
      </w:r>
    </w:p>
    <w:p w14:paraId="04902DC2" w14:textId="77777777" w:rsidR="00F2329F" w:rsidRPr="00F2329F" w:rsidRDefault="00F2329F" w:rsidP="00F2329F">
      <w:pPr>
        <w:numPr>
          <w:ilvl w:val="1"/>
          <w:numId w:val="2"/>
        </w:numPr>
      </w:pPr>
      <w:r w:rsidRPr="00F2329F">
        <w:rPr>
          <w:b/>
          <w:bCs/>
        </w:rPr>
        <w:t>GL (Geographic Location)</w:t>
      </w:r>
      <w:r w:rsidRPr="00F2329F">
        <w:t xml:space="preserve"> remains at 0.60 for US-based operations, 0.50 for many other regions, consistent with original weighting. Some new local variations have been proposed, but </w:t>
      </w:r>
      <w:r w:rsidRPr="00F2329F">
        <w:rPr>
          <w:b/>
          <w:bCs/>
        </w:rPr>
        <w:t>no final changes</w:t>
      </w:r>
      <w:r w:rsidRPr="00F2329F">
        <w:t xml:space="preserve"> have been adopted at this time.</w:t>
      </w:r>
    </w:p>
    <w:p w14:paraId="2A381789" w14:textId="77777777" w:rsidR="00F2329F" w:rsidRPr="00F2329F" w:rsidRDefault="00F2329F" w:rsidP="00F2329F">
      <w:r w:rsidRPr="00F2329F">
        <w:pict w14:anchorId="15B90080">
          <v:rect id="_x0000_i1172" style="width:0;height:1.5pt" o:hralign="center" o:hrstd="t" o:hr="t" fillcolor="#a0a0a0" stroked="f"/>
        </w:pict>
      </w:r>
    </w:p>
    <w:p w14:paraId="44EBB51E" w14:textId="77777777" w:rsidR="00F2329F" w:rsidRPr="00F2329F" w:rsidRDefault="00F2329F" w:rsidP="00F2329F">
      <w:pPr>
        <w:rPr>
          <w:b/>
          <w:bCs/>
        </w:rPr>
      </w:pPr>
      <w:r w:rsidRPr="00F2329F">
        <w:rPr>
          <w:b/>
          <w:bCs/>
        </w:rPr>
        <w:t>4. Ongoing Monitoring</w:t>
      </w:r>
    </w:p>
    <w:p w14:paraId="21900B47" w14:textId="77777777" w:rsidR="00F2329F" w:rsidRPr="00F2329F" w:rsidRDefault="00F2329F" w:rsidP="00F2329F">
      <w:pPr>
        <w:numPr>
          <w:ilvl w:val="0"/>
          <w:numId w:val="3"/>
        </w:numPr>
      </w:pPr>
      <w:r w:rsidRPr="00F2329F">
        <w:t xml:space="preserve">We maintain an </w:t>
      </w:r>
      <w:r w:rsidRPr="00F2329F">
        <w:rPr>
          <w:b/>
          <w:bCs/>
        </w:rPr>
        <w:t>internal audit</w:t>
      </w:r>
      <w:r w:rsidRPr="00F2329F">
        <w:t xml:space="preserve"> of synergy triggers, negative factor applications, and borderline cases (e.g., partial aesthetic vs. partial functional devices).</w:t>
      </w:r>
    </w:p>
    <w:p w14:paraId="2E0D724B" w14:textId="77777777" w:rsidR="00F2329F" w:rsidRPr="00F2329F" w:rsidRDefault="00F2329F" w:rsidP="00F2329F">
      <w:pPr>
        <w:numPr>
          <w:ilvl w:val="0"/>
          <w:numId w:val="3"/>
        </w:numPr>
      </w:pPr>
      <w:r w:rsidRPr="00F2329F">
        <w:t xml:space="preserve">The team regularly reviews each new 510(k) record to ensure </w:t>
      </w:r>
      <w:r w:rsidRPr="00F2329F">
        <w:rPr>
          <w:b/>
          <w:bCs/>
        </w:rPr>
        <w:t>transparent</w:t>
      </w:r>
      <w:r w:rsidRPr="00F2329F">
        <w:t xml:space="preserve"> synergy or penalty decisions.</w:t>
      </w:r>
    </w:p>
    <w:p w14:paraId="54E6765F" w14:textId="77777777" w:rsidR="00F2329F" w:rsidRPr="00F2329F" w:rsidRDefault="00F2329F" w:rsidP="00F2329F">
      <w:r w:rsidRPr="00F2329F">
        <w:pict w14:anchorId="7554EE90">
          <v:rect id="_x0000_i1173" style="width:0;height:1.5pt" o:hralign="center" o:hrstd="t" o:hr="t" fillcolor="#a0a0a0" stroked="f"/>
        </w:pict>
      </w:r>
    </w:p>
    <w:p w14:paraId="2857ED29" w14:textId="77777777" w:rsidR="00F2329F" w:rsidRPr="00F2329F" w:rsidRDefault="00F2329F" w:rsidP="00F2329F">
      <w:pPr>
        <w:rPr>
          <w:b/>
          <w:bCs/>
        </w:rPr>
      </w:pPr>
      <w:r w:rsidRPr="00F2329F">
        <w:rPr>
          <w:b/>
          <w:bCs/>
        </w:rPr>
        <w:t>5. Conclusion</w:t>
      </w:r>
    </w:p>
    <w:p w14:paraId="5031FEC8" w14:textId="77777777" w:rsidR="00F2329F" w:rsidRPr="00F2329F" w:rsidRDefault="00F2329F" w:rsidP="00F2329F">
      <w:r w:rsidRPr="00F2329F">
        <w:t xml:space="preserve">As of </w:t>
      </w:r>
      <w:r w:rsidRPr="00F2329F">
        <w:rPr>
          <w:b/>
          <w:bCs/>
        </w:rPr>
        <w:t>December 24, 2024</w:t>
      </w:r>
      <w:r w:rsidRPr="00F2329F">
        <w:t xml:space="preserve">, our AI-driven 510(k) analysis platform remains closely aligned with </w:t>
      </w:r>
      <w:r w:rsidRPr="00F2329F">
        <w:rPr>
          <w:b/>
          <w:bCs/>
        </w:rPr>
        <w:t>initial research</w:t>
      </w:r>
      <w:r w:rsidRPr="00F2329F">
        <w:t xml:space="preserve"> while incorporating </w:t>
      </w:r>
      <w:r w:rsidRPr="00F2329F">
        <w:rPr>
          <w:b/>
          <w:bCs/>
        </w:rPr>
        <w:t>minor enhancements</w:t>
      </w:r>
      <w:r w:rsidRPr="00F2329F">
        <w:t xml:space="preserve"> for accuracy and clarity. Changes have been made only where new clinical or regulatory insights arose, ensuring that synergy rules, negative factor logic, and category thresholds remain </w:t>
      </w:r>
      <w:r w:rsidRPr="00F2329F">
        <w:rPr>
          <w:b/>
          <w:bCs/>
        </w:rPr>
        <w:t>robust and traceable</w:t>
      </w:r>
      <w:r w:rsidRPr="00F2329F">
        <w:t>.</w:t>
      </w:r>
    </w:p>
    <w:p w14:paraId="29082409" w14:textId="77777777" w:rsidR="00F2329F" w:rsidRPr="00F2329F" w:rsidRDefault="00F2329F" w:rsidP="00F2329F">
      <w:r w:rsidRPr="00F2329F">
        <w:rPr>
          <w:b/>
          <w:bCs/>
        </w:rPr>
        <w:t>Contact for Further Inquiries</w:t>
      </w:r>
      <w:r w:rsidRPr="00F2329F">
        <w:br/>
        <w:t>Please reach out to the Regulatory Data Analytics Team or the Medical AI Steering Committee for any clarifications on synergy weighting, negative factors, or next-phase improvements.</w:t>
      </w:r>
    </w:p>
    <w:p w14:paraId="385B3DE5" w14:textId="77777777" w:rsidR="00F2329F" w:rsidRPr="00F2329F" w:rsidRDefault="00F2329F" w:rsidP="00F2329F">
      <w:r w:rsidRPr="00F2329F">
        <w:pict w14:anchorId="565106C4">
          <v:rect id="_x0000_i1174" style="width:0;height:1.5pt" o:hralign="center" o:hrstd="t" o:hr="t" fillcolor="#a0a0a0" stroked="f"/>
        </w:pict>
      </w:r>
    </w:p>
    <w:p w14:paraId="1F623EC1" w14:textId="77777777" w:rsidR="00F2329F" w:rsidRPr="00F2329F" w:rsidRDefault="00F2329F" w:rsidP="00F2329F">
      <w:r w:rsidRPr="00F2329F">
        <w:rPr>
          <w:i/>
          <w:iCs/>
        </w:rPr>
        <w:lastRenderedPageBreak/>
        <w:t>End of Document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2"/>
  </w:num>
  <w:num w:numId="2" w16cid:durableId="310447228">
    <w:abstractNumId w:val="1"/>
  </w:num>
  <w:num w:numId="3" w16cid:durableId="192795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1</cp:revision>
  <dcterms:created xsi:type="dcterms:W3CDTF">2024-12-24T18:05:00Z</dcterms:created>
  <dcterms:modified xsi:type="dcterms:W3CDTF">2024-12-24T18:06:00Z</dcterms:modified>
</cp:coreProperties>
</file>