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E8A1F" w14:textId="77777777" w:rsidR="00042971" w:rsidRPr="00042971" w:rsidRDefault="00042971" w:rsidP="00042971">
      <w:r w:rsidRPr="00042971">
        <w:rPr>
          <w:b/>
          <w:bCs/>
        </w:rPr>
        <w:t>FDA510k_AI_New_Insights_from_Recent_Analysis_2024-12-19</w:t>
      </w:r>
      <w:r w:rsidRPr="00042971">
        <w:br/>
      </w:r>
      <w:r w:rsidRPr="00042971">
        <w:rPr>
          <w:i/>
          <w:iCs/>
        </w:rPr>
        <w:t>(Dated: 12/24/2024)</w:t>
      </w:r>
    </w:p>
    <w:p w14:paraId="4C45B1CF" w14:textId="77777777" w:rsidR="00042971" w:rsidRPr="00042971" w:rsidRDefault="00042971" w:rsidP="00042971">
      <w:r w:rsidRPr="00042971">
        <w:pict w14:anchorId="7F9A5BF7">
          <v:rect id="_x0000_i1418" style="width:0;height:1.5pt" o:hralign="center" o:hrstd="t" o:hr="t" fillcolor="#a0a0a0" stroked="f"/>
        </w:pict>
      </w:r>
    </w:p>
    <w:p w14:paraId="28C3376E" w14:textId="77777777" w:rsidR="00042971" w:rsidRPr="00042971" w:rsidRDefault="00042971" w:rsidP="00042971">
      <w:pPr>
        <w:rPr>
          <w:b/>
          <w:bCs/>
        </w:rPr>
      </w:pPr>
      <w:r w:rsidRPr="00042971">
        <w:rPr>
          <w:b/>
          <w:bCs/>
        </w:rPr>
        <w:t>1. Introduction</w:t>
      </w:r>
    </w:p>
    <w:p w14:paraId="643239A5" w14:textId="77777777" w:rsidR="00042971" w:rsidRPr="00042971" w:rsidRDefault="00042971" w:rsidP="00042971">
      <w:r w:rsidRPr="00042971">
        <w:t xml:space="preserve">This document summarizes </w:t>
      </w:r>
      <w:r w:rsidRPr="00042971">
        <w:rPr>
          <w:b/>
          <w:bCs/>
        </w:rPr>
        <w:t>new insights</w:t>
      </w:r>
      <w:r w:rsidRPr="00042971">
        <w:t xml:space="preserve"> derived from our </w:t>
      </w:r>
      <w:r w:rsidRPr="00042971">
        <w:rPr>
          <w:b/>
          <w:bCs/>
        </w:rPr>
        <w:t>recent 510(k) analyses</w:t>
      </w:r>
      <w:r w:rsidRPr="00042971">
        <w:t xml:space="preserve">, focusing on how real-world device submissions are influencing our AI decision logic. All observations are current as of </w:t>
      </w:r>
      <w:r w:rsidRPr="00042971">
        <w:rPr>
          <w:b/>
          <w:bCs/>
        </w:rPr>
        <w:t>December 24, 2024</w:t>
      </w:r>
      <w:r w:rsidRPr="00042971">
        <w:t>.</w:t>
      </w:r>
    </w:p>
    <w:p w14:paraId="75DA621A" w14:textId="77777777" w:rsidR="00042971" w:rsidRPr="00042971" w:rsidRDefault="00042971" w:rsidP="00042971">
      <w:r w:rsidRPr="00042971">
        <w:pict w14:anchorId="5FC70F7C">
          <v:rect id="_x0000_i1419" style="width:0;height:1.5pt" o:hralign="center" o:hrstd="t" o:hr="t" fillcolor="#a0a0a0" stroked="f"/>
        </w:pict>
      </w:r>
    </w:p>
    <w:p w14:paraId="55F2869D" w14:textId="77777777" w:rsidR="00042971" w:rsidRPr="00042971" w:rsidRDefault="00042971" w:rsidP="00042971">
      <w:pPr>
        <w:rPr>
          <w:b/>
          <w:bCs/>
        </w:rPr>
      </w:pPr>
      <w:r w:rsidRPr="00042971">
        <w:rPr>
          <w:b/>
          <w:bCs/>
        </w:rPr>
        <w:t>2. Key Observations</w:t>
      </w:r>
    </w:p>
    <w:p w14:paraId="542328F3" w14:textId="77777777" w:rsidR="00042971" w:rsidRPr="00042971" w:rsidRDefault="00042971" w:rsidP="00042971">
      <w:pPr>
        <w:numPr>
          <w:ilvl w:val="0"/>
          <w:numId w:val="9"/>
        </w:numPr>
      </w:pPr>
      <w:r w:rsidRPr="00042971">
        <w:rPr>
          <w:b/>
          <w:bCs/>
        </w:rPr>
        <w:t>Expanded Keyword Overlap</w:t>
      </w:r>
    </w:p>
    <w:p w14:paraId="63E6CC0A" w14:textId="77777777" w:rsidR="00042971" w:rsidRPr="00042971" w:rsidRDefault="00042971" w:rsidP="00042971">
      <w:pPr>
        <w:numPr>
          <w:ilvl w:val="1"/>
          <w:numId w:val="9"/>
        </w:numPr>
      </w:pPr>
      <w:r w:rsidRPr="00042971">
        <w:t xml:space="preserve">In the past quarter, </w:t>
      </w:r>
      <w:r w:rsidRPr="00042971">
        <w:rPr>
          <w:b/>
          <w:bCs/>
        </w:rPr>
        <w:t>devices labeled as “ankle” or “humeral”</w:t>
      </w:r>
      <w:r w:rsidRPr="00042971">
        <w:t xml:space="preserve"> continue to show synergy with AC=OR, confirming that our updated bone-keyword approach remains valid.</w:t>
      </w:r>
    </w:p>
    <w:p w14:paraId="282E8CB4" w14:textId="77777777" w:rsidR="00042971" w:rsidRPr="00042971" w:rsidRDefault="00042971" w:rsidP="00042971">
      <w:pPr>
        <w:numPr>
          <w:ilvl w:val="1"/>
          <w:numId w:val="9"/>
        </w:numPr>
      </w:pPr>
      <w:r w:rsidRPr="00042971">
        <w:rPr>
          <w:b/>
          <w:bCs/>
        </w:rPr>
        <w:t>Spinal</w:t>
      </w:r>
      <w:r w:rsidRPr="00042971">
        <w:t xml:space="preserve"> vs. </w:t>
      </w:r>
      <w:r w:rsidRPr="00042971">
        <w:rPr>
          <w:b/>
          <w:bCs/>
        </w:rPr>
        <w:t>Spine</w:t>
      </w:r>
      <w:r w:rsidRPr="00042971">
        <w:t xml:space="preserve"> references: The system is effectively recognizing them as synonyms, ensuring synergy is triggered appropriately.</w:t>
      </w:r>
    </w:p>
    <w:p w14:paraId="1CD88C8A" w14:textId="77777777" w:rsidR="00042971" w:rsidRPr="00042971" w:rsidRDefault="00042971" w:rsidP="00042971">
      <w:pPr>
        <w:numPr>
          <w:ilvl w:val="0"/>
          <w:numId w:val="9"/>
        </w:numPr>
      </w:pPr>
      <w:r w:rsidRPr="00042971">
        <w:rPr>
          <w:b/>
          <w:bCs/>
        </w:rPr>
        <w:t>Borderline Cosmetic vs. Therapeutic</w:t>
      </w:r>
    </w:p>
    <w:p w14:paraId="3A9457FC" w14:textId="77777777" w:rsidR="00042971" w:rsidRPr="00042971" w:rsidRDefault="00042971" w:rsidP="00042971">
      <w:pPr>
        <w:numPr>
          <w:ilvl w:val="1"/>
          <w:numId w:val="9"/>
        </w:numPr>
      </w:pPr>
      <w:r w:rsidRPr="00042971">
        <w:t xml:space="preserve">A handful of hair-growth or skin-therapy devices remain in a </w:t>
      </w:r>
      <w:r w:rsidRPr="00042971">
        <w:rPr>
          <w:b/>
          <w:bCs/>
        </w:rPr>
        <w:t>gray zone</w:t>
      </w:r>
      <w:r w:rsidRPr="00042971">
        <w:t xml:space="preserve"> between cosmetic and therapeutic. Our negative factor rules (−2 for purely cosmetic) may require more nuance.</w:t>
      </w:r>
    </w:p>
    <w:p w14:paraId="68002DD2" w14:textId="77777777" w:rsidR="00042971" w:rsidRPr="00042971" w:rsidRDefault="00042971" w:rsidP="00042971">
      <w:pPr>
        <w:numPr>
          <w:ilvl w:val="1"/>
          <w:numId w:val="9"/>
        </w:numPr>
      </w:pPr>
      <w:r w:rsidRPr="00042971">
        <w:t xml:space="preserve">We’ve observed an uptick in devices claiming partial cosmetic benefits but also featuring real therapeutic actions (e.g., laser scalp therapy). Currently, we do </w:t>
      </w:r>
      <w:r w:rsidRPr="00042971">
        <w:rPr>
          <w:b/>
          <w:bCs/>
        </w:rPr>
        <w:t>not</w:t>
      </w:r>
      <w:r w:rsidRPr="00042971">
        <w:t xml:space="preserve"> penalize these devices with −2 unless the labeling is unequivocally cosmetic.</w:t>
      </w:r>
    </w:p>
    <w:p w14:paraId="69EAB1DF" w14:textId="77777777" w:rsidR="00042971" w:rsidRPr="00042971" w:rsidRDefault="00042971" w:rsidP="00042971">
      <w:pPr>
        <w:numPr>
          <w:ilvl w:val="0"/>
          <w:numId w:val="9"/>
        </w:numPr>
      </w:pPr>
      <w:r w:rsidRPr="00042971">
        <w:rPr>
          <w:b/>
          <w:bCs/>
        </w:rPr>
        <w:t>Diagnostic Software Nuances</w:t>
      </w:r>
    </w:p>
    <w:p w14:paraId="6BB69705" w14:textId="77777777" w:rsidR="00042971" w:rsidRPr="00042971" w:rsidRDefault="00042971" w:rsidP="00042971">
      <w:pPr>
        <w:numPr>
          <w:ilvl w:val="1"/>
          <w:numId w:val="9"/>
        </w:numPr>
      </w:pPr>
      <w:r w:rsidRPr="00042971">
        <w:t>Some software solutions include both diagnostic and clinical decision support features. We apply −0.20 only when the device is purely diagnostic. If there is any integrated therapeutic or interventional aspect, we refrain from penalizing.</w:t>
      </w:r>
    </w:p>
    <w:p w14:paraId="56CC80F1" w14:textId="77777777" w:rsidR="00042971" w:rsidRPr="00042971" w:rsidRDefault="00042971" w:rsidP="00042971">
      <w:pPr>
        <w:numPr>
          <w:ilvl w:val="1"/>
          <w:numId w:val="9"/>
        </w:numPr>
      </w:pPr>
      <w:r w:rsidRPr="00042971">
        <w:t xml:space="preserve">This distinction has helped </w:t>
      </w:r>
      <w:r w:rsidRPr="00042971">
        <w:rPr>
          <w:b/>
          <w:bCs/>
        </w:rPr>
        <w:t>avoid over-penalizing</w:t>
      </w:r>
      <w:r w:rsidRPr="00042971">
        <w:t xml:space="preserve"> multi-function solutions.</w:t>
      </w:r>
    </w:p>
    <w:p w14:paraId="7E7B8D91" w14:textId="77777777" w:rsidR="00042971" w:rsidRPr="00042971" w:rsidRDefault="00042971" w:rsidP="00042971">
      <w:pPr>
        <w:numPr>
          <w:ilvl w:val="0"/>
          <w:numId w:val="9"/>
        </w:numPr>
      </w:pPr>
      <w:r w:rsidRPr="00042971">
        <w:rPr>
          <w:b/>
          <w:bCs/>
        </w:rPr>
        <w:t>Product Code Variability</w:t>
      </w:r>
    </w:p>
    <w:p w14:paraId="64F2E2B8" w14:textId="77777777" w:rsidR="00042971" w:rsidRPr="00042971" w:rsidRDefault="00042971" w:rsidP="00042971">
      <w:pPr>
        <w:numPr>
          <w:ilvl w:val="1"/>
          <w:numId w:val="9"/>
        </w:numPr>
      </w:pPr>
      <w:r w:rsidRPr="00042971">
        <w:t>Certain newer product codes not explicitly listed in our model default to 0.20. We are reviewing ways to refine these codes once we gather enough clearance data.</w:t>
      </w:r>
    </w:p>
    <w:p w14:paraId="54F08E2D" w14:textId="77777777" w:rsidR="00042971" w:rsidRPr="00042971" w:rsidRDefault="00042971" w:rsidP="00042971">
      <w:r w:rsidRPr="00042971">
        <w:pict w14:anchorId="72A9F284">
          <v:rect id="_x0000_i1420" style="width:0;height:1.5pt" o:hralign="center" o:hrstd="t" o:hr="t" fillcolor="#a0a0a0" stroked="f"/>
        </w:pict>
      </w:r>
    </w:p>
    <w:p w14:paraId="2B8B2C51" w14:textId="77777777" w:rsidR="00042971" w:rsidRPr="00042971" w:rsidRDefault="00042971" w:rsidP="00042971">
      <w:pPr>
        <w:rPr>
          <w:b/>
          <w:bCs/>
        </w:rPr>
      </w:pPr>
      <w:r w:rsidRPr="00042971">
        <w:rPr>
          <w:b/>
          <w:bCs/>
        </w:rPr>
        <w:t>3. Potential Enhancements</w:t>
      </w:r>
    </w:p>
    <w:p w14:paraId="152FDC58" w14:textId="77777777" w:rsidR="00042971" w:rsidRPr="00042971" w:rsidRDefault="00042971" w:rsidP="00042971">
      <w:pPr>
        <w:numPr>
          <w:ilvl w:val="0"/>
          <w:numId w:val="10"/>
        </w:numPr>
      </w:pPr>
      <w:r w:rsidRPr="00042971">
        <w:rPr>
          <w:b/>
          <w:bCs/>
        </w:rPr>
        <w:t>Segmented Negative Factor for Cosmetic-Like Devices</w:t>
      </w:r>
    </w:p>
    <w:p w14:paraId="6824E94B" w14:textId="77777777" w:rsidR="00042971" w:rsidRPr="00042971" w:rsidRDefault="00042971" w:rsidP="00042971">
      <w:pPr>
        <w:numPr>
          <w:ilvl w:val="1"/>
          <w:numId w:val="10"/>
        </w:numPr>
      </w:pPr>
      <w:r w:rsidRPr="00042971">
        <w:lastRenderedPageBreak/>
        <w:t xml:space="preserve">We may refine negative factors with </w:t>
      </w:r>
      <w:r w:rsidRPr="00042971">
        <w:rPr>
          <w:b/>
          <w:bCs/>
        </w:rPr>
        <w:t>tiered</w:t>
      </w:r>
      <w:r w:rsidRPr="00042971">
        <w:t xml:space="preserve"> penalties (e.g., −1 for partial cosmetic claims) if future FDA clarifications distinguish partial from purely cosmetic claims more clearly.</w:t>
      </w:r>
    </w:p>
    <w:p w14:paraId="6B16CD77" w14:textId="77777777" w:rsidR="00042971" w:rsidRPr="00042971" w:rsidRDefault="00042971" w:rsidP="00042971">
      <w:pPr>
        <w:numPr>
          <w:ilvl w:val="0"/>
          <w:numId w:val="10"/>
        </w:numPr>
      </w:pPr>
      <w:r w:rsidRPr="00042971">
        <w:rPr>
          <w:b/>
          <w:bCs/>
        </w:rPr>
        <w:t>Adaptive Synergy</w:t>
      </w:r>
    </w:p>
    <w:p w14:paraId="64D54BA9" w14:textId="77777777" w:rsidR="00042971" w:rsidRPr="00042971" w:rsidRDefault="00042971" w:rsidP="00042971">
      <w:pPr>
        <w:numPr>
          <w:ilvl w:val="1"/>
          <w:numId w:val="10"/>
        </w:numPr>
      </w:pPr>
      <w:r w:rsidRPr="00042971">
        <w:t xml:space="preserve">We are considering whether synergy might be </w:t>
      </w:r>
      <w:r w:rsidRPr="00042971">
        <w:rPr>
          <w:b/>
          <w:bCs/>
        </w:rPr>
        <w:t>incremental</w:t>
      </w:r>
      <w:r w:rsidRPr="00042971">
        <w:t xml:space="preserve"> (e.g., +0.10 or +0.15) based on how many bone- or implant-related keywords appear, rather than a single uniform +0.15.</w:t>
      </w:r>
    </w:p>
    <w:p w14:paraId="65C46EEE" w14:textId="77777777" w:rsidR="00042971" w:rsidRPr="00042971" w:rsidRDefault="00042971" w:rsidP="00042971">
      <w:pPr>
        <w:numPr>
          <w:ilvl w:val="0"/>
          <w:numId w:val="10"/>
        </w:numPr>
      </w:pPr>
      <w:r w:rsidRPr="00042971">
        <w:rPr>
          <w:b/>
          <w:bCs/>
        </w:rPr>
        <w:t>Geographic Weighted Tuning</w:t>
      </w:r>
    </w:p>
    <w:p w14:paraId="3BE086D0" w14:textId="77777777" w:rsidR="00042971" w:rsidRPr="00042971" w:rsidRDefault="00042971" w:rsidP="00042971">
      <w:pPr>
        <w:numPr>
          <w:ilvl w:val="1"/>
          <w:numId w:val="10"/>
        </w:numPr>
      </w:pPr>
      <w:r w:rsidRPr="00042971">
        <w:t>Several submissions from EU-based manufacturers suggest deeper weighting differences might be needed between certain geographies. No final decision has been made yet.</w:t>
      </w:r>
    </w:p>
    <w:p w14:paraId="2FA0B80C" w14:textId="77777777" w:rsidR="00042971" w:rsidRPr="00042971" w:rsidRDefault="00042971" w:rsidP="00042971">
      <w:r w:rsidRPr="00042971">
        <w:pict w14:anchorId="7CC9B66C">
          <v:rect id="_x0000_i1421" style="width:0;height:1.5pt" o:hralign="center" o:hrstd="t" o:hr="t" fillcolor="#a0a0a0" stroked="f"/>
        </w:pict>
      </w:r>
    </w:p>
    <w:p w14:paraId="43C18012" w14:textId="77777777" w:rsidR="00042971" w:rsidRPr="00042971" w:rsidRDefault="00042971" w:rsidP="00042971">
      <w:pPr>
        <w:rPr>
          <w:b/>
          <w:bCs/>
        </w:rPr>
      </w:pPr>
      <w:r w:rsidRPr="00042971">
        <w:rPr>
          <w:b/>
          <w:bCs/>
        </w:rPr>
        <w:t>4. Conclusion</w:t>
      </w:r>
    </w:p>
    <w:p w14:paraId="715B18F7" w14:textId="77777777" w:rsidR="00042971" w:rsidRPr="00042971" w:rsidRDefault="00042971" w:rsidP="00042971">
      <w:r w:rsidRPr="00042971">
        <w:t xml:space="preserve">These </w:t>
      </w:r>
      <w:r w:rsidRPr="00042971">
        <w:rPr>
          <w:b/>
          <w:bCs/>
        </w:rPr>
        <w:t>new insights</w:t>
      </w:r>
      <w:r w:rsidRPr="00042971">
        <w:t xml:space="preserve"> underscore how subtle real-world distinctions—particularly in borderline cosmetic devices and multi-function diagnostic software—shape the evolving 510(k) analysis approach. Ongoing internal evaluations ensure we keep the </w:t>
      </w:r>
      <w:r w:rsidRPr="00042971">
        <w:rPr>
          <w:b/>
          <w:bCs/>
        </w:rPr>
        <w:t>AI model fair and accurate</w:t>
      </w:r>
      <w:r w:rsidRPr="00042971">
        <w:t>, reflecting actual FDA considerations.</w:t>
      </w:r>
    </w:p>
    <w:p w14:paraId="4ED9A12F" w14:textId="77777777" w:rsidR="00042971" w:rsidRPr="00042971" w:rsidRDefault="00042971" w:rsidP="00042971">
      <w:r w:rsidRPr="00042971">
        <w:rPr>
          <w:b/>
          <w:bCs/>
        </w:rPr>
        <w:t>For Further Discussion</w:t>
      </w:r>
      <w:r w:rsidRPr="00042971">
        <w:br/>
        <w:t xml:space="preserve">Please contact the </w:t>
      </w:r>
      <w:r w:rsidRPr="00042971">
        <w:rPr>
          <w:b/>
          <w:bCs/>
        </w:rPr>
        <w:t>Regulatory Data Analytics Team</w:t>
      </w:r>
      <w:r w:rsidRPr="00042971">
        <w:t xml:space="preserve"> for additional details on any planned adjustments or to share feedback regarding borderline submissions.</w:t>
      </w:r>
    </w:p>
    <w:p w14:paraId="0E095FD2" w14:textId="77777777" w:rsidR="00042971" w:rsidRPr="00042971" w:rsidRDefault="00042971" w:rsidP="00042971">
      <w:r w:rsidRPr="00042971">
        <w:pict w14:anchorId="616852D4">
          <v:rect id="_x0000_i1422" style="width:0;height:1.5pt" o:hralign="center" o:hrstd="t" o:hr="t" fillcolor="#a0a0a0" stroked="f"/>
        </w:pict>
      </w:r>
    </w:p>
    <w:p w14:paraId="18ADA34E" w14:textId="77777777" w:rsidR="00042971" w:rsidRPr="00042971" w:rsidRDefault="00042971" w:rsidP="00042971">
      <w:r w:rsidRPr="00042971">
        <w:rPr>
          <w:i/>
          <w:iCs/>
        </w:rPr>
        <w:t>End of Document</w:t>
      </w:r>
    </w:p>
    <w:p w14:paraId="56A36798" w14:textId="77777777" w:rsidR="00F2329F" w:rsidRDefault="00F2329F"/>
    <w:sectPr w:rsidR="00F23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0D6E"/>
    <w:multiLevelType w:val="multilevel"/>
    <w:tmpl w:val="D1982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62C6D"/>
    <w:multiLevelType w:val="multilevel"/>
    <w:tmpl w:val="0ADA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D00BE"/>
    <w:multiLevelType w:val="multilevel"/>
    <w:tmpl w:val="45EA8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074326"/>
    <w:multiLevelType w:val="multilevel"/>
    <w:tmpl w:val="960C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567BE"/>
    <w:multiLevelType w:val="multilevel"/>
    <w:tmpl w:val="8292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A2E21"/>
    <w:multiLevelType w:val="multilevel"/>
    <w:tmpl w:val="CBA63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F423AE"/>
    <w:multiLevelType w:val="multilevel"/>
    <w:tmpl w:val="2A22C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8D65B0"/>
    <w:multiLevelType w:val="multilevel"/>
    <w:tmpl w:val="BA40C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F56EA0"/>
    <w:multiLevelType w:val="multilevel"/>
    <w:tmpl w:val="89F26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512DBE"/>
    <w:multiLevelType w:val="multilevel"/>
    <w:tmpl w:val="1506C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3900507">
    <w:abstractNumId w:val="9"/>
  </w:num>
  <w:num w:numId="2" w16cid:durableId="310447228">
    <w:abstractNumId w:val="7"/>
  </w:num>
  <w:num w:numId="3" w16cid:durableId="1927957795">
    <w:abstractNumId w:val="3"/>
  </w:num>
  <w:num w:numId="4" w16cid:durableId="1633175938">
    <w:abstractNumId w:val="0"/>
  </w:num>
  <w:num w:numId="5" w16cid:durableId="33819338">
    <w:abstractNumId w:val="6"/>
  </w:num>
  <w:num w:numId="6" w16cid:durableId="20520735">
    <w:abstractNumId w:val="2"/>
  </w:num>
  <w:num w:numId="7" w16cid:durableId="223374267">
    <w:abstractNumId w:val="1"/>
  </w:num>
  <w:num w:numId="8" w16cid:durableId="214700001">
    <w:abstractNumId w:val="4"/>
  </w:num>
  <w:num w:numId="9" w16cid:durableId="12153714">
    <w:abstractNumId w:val="8"/>
  </w:num>
  <w:num w:numId="10" w16cid:durableId="21353201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9F"/>
    <w:rsid w:val="00042971"/>
    <w:rsid w:val="00397443"/>
    <w:rsid w:val="00F2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DBFE"/>
  <w15:chartTrackingRefBased/>
  <w15:docId w15:val="{39A12898-436F-4910-8C49-7779203D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9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9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8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5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0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5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4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0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Zimmerman, Ryan</dc:creator>
  <cp:keywords/>
  <dc:description/>
  <cp:lastModifiedBy>Zimmerman, Ryan</cp:lastModifiedBy>
  <cp:revision>2</cp:revision>
  <dcterms:created xsi:type="dcterms:W3CDTF">2024-12-24T18:07:00Z</dcterms:created>
  <dcterms:modified xsi:type="dcterms:W3CDTF">2024-12-24T18:07:00Z</dcterms:modified>
</cp:coreProperties>
</file>