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5362B3" w14:textId="77777777" w:rsidR="00400658" w:rsidRPr="00400658" w:rsidRDefault="00400658" w:rsidP="00400658">
      <w:r w:rsidRPr="00400658">
        <w:rPr>
          <w:b/>
          <w:bCs/>
        </w:rPr>
        <w:t>FDA510k_AI_Synergy_Implementation_Best_Practices_2024-12-19</w:t>
      </w:r>
      <w:r w:rsidRPr="00400658">
        <w:br/>
      </w:r>
      <w:r w:rsidRPr="00400658">
        <w:rPr>
          <w:i/>
          <w:iCs/>
        </w:rPr>
        <w:t>(Dated: 12/24/2024)</w:t>
      </w:r>
    </w:p>
    <w:p w14:paraId="6CFE6D14" w14:textId="77777777" w:rsidR="00400658" w:rsidRPr="00400658" w:rsidRDefault="00400658" w:rsidP="00400658">
      <w:r w:rsidRPr="00400658">
        <w:pict w14:anchorId="2F09ECFA">
          <v:rect id="_x0000_i1583" style="width:0;height:1.5pt" o:hralign="center" o:hrstd="t" o:hr="t" fillcolor="#a0a0a0" stroked="f"/>
        </w:pict>
      </w:r>
    </w:p>
    <w:p w14:paraId="77AB8270" w14:textId="77777777" w:rsidR="00400658" w:rsidRPr="00400658" w:rsidRDefault="00400658" w:rsidP="00400658">
      <w:pPr>
        <w:rPr>
          <w:b/>
          <w:bCs/>
        </w:rPr>
      </w:pPr>
      <w:r w:rsidRPr="00400658">
        <w:rPr>
          <w:b/>
          <w:bCs/>
        </w:rPr>
        <w:t>1. Introduction</w:t>
      </w:r>
    </w:p>
    <w:p w14:paraId="09B7EB5E" w14:textId="77777777" w:rsidR="00400658" w:rsidRPr="00400658" w:rsidRDefault="00400658" w:rsidP="00400658">
      <w:r w:rsidRPr="00400658">
        <w:t xml:space="preserve">This document outlines </w:t>
      </w:r>
      <w:r w:rsidRPr="00400658">
        <w:rPr>
          <w:b/>
          <w:bCs/>
        </w:rPr>
        <w:t>best practices</w:t>
      </w:r>
      <w:r w:rsidRPr="00400658">
        <w:t xml:space="preserve"> for implementing synergy within our AI-driven 510(k) analysis system. As of </w:t>
      </w:r>
      <w:r w:rsidRPr="00400658">
        <w:rPr>
          <w:b/>
          <w:bCs/>
        </w:rPr>
        <w:t>December 24, 2024</w:t>
      </w:r>
      <w:r w:rsidRPr="00400658">
        <w:t xml:space="preserve">, these guidelines reflect lessons learned and practical steps to ensure </w:t>
      </w:r>
      <w:r w:rsidRPr="00400658">
        <w:rPr>
          <w:b/>
          <w:bCs/>
        </w:rPr>
        <w:t>accurate synergy detection</w:t>
      </w:r>
      <w:r w:rsidRPr="00400658">
        <w:t xml:space="preserve"> and </w:t>
      </w:r>
      <w:r w:rsidRPr="00400658">
        <w:rPr>
          <w:b/>
          <w:bCs/>
        </w:rPr>
        <w:t>consistent scoring</w:t>
      </w:r>
      <w:r w:rsidRPr="00400658">
        <w:t>.</w:t>
      </w:r>
    </w:p>
    <w:p w14:paraId="6FCD1F2E" w14:textId="77777777" w:rsidR="00400658" w:rsidRPr="00400658" w:rsidRDefault="00400658" w:rsidP="00400658">
      <w:r w:rsidRPr="00400658">
        <w:pict w14:anchorId="2AD503F8">
          <v:rect id="_x0000_i1584" style="width:0;height:1.5pt" o:hralign="center" o:hrstd="t" o:hr="t" fillcolor="#a0a0a0" stroked="f"/>
        </w:pict>
      </w:r>
    </w:p>
    <w:p w14:paraId="2B322418" w14:textId="77777777" w:rsidR="00400658" w:rsidRPr="00400658" w:rsidRDefault="00400658" w:rsidP="00400658">
      <w:pPr>
        <w:rPr>
          <w:b/>
          <w:bCs/>
        </w:rPr>
      </w:pPr>
      <w:r w:rsidRPr="00400658">
        <w:rPr>
          <w:b/>
          <w:bCs/>
        </w:rPr>
        <w:t>2. Synergy Criteria</w:t>
      </w:r>
    </w:p>
    <w:p w14:paraId="3D9F7447" w14:textId="77777777" w:rsidR="00400658" w:rsidRPr="00400658" w:rsidRDefault="00400658" w:rsidP="00400658">
      <w:pPr>
        <w:numPr>
          <w:ilvl w:val="0"/>
          <w:numId w:val="17"/>
        </w:numPr>
      </w:pPr>
      <w:r w:rsidRPr="00400658">
        <w:rPr>
          <w:b/>
          <w:bCs/>
        </w:rPr>
        <w:t>Advisory Committee (AC) Match</w:t>
      </w:r>
    </w:p>
    <w:p w14:paraId="293C8D2E" w14:textId="77777777" w:rsidR="00400658" w:rsidRPr="00400658" w:rsidRDefault="00400658" w:rsidP="00400658">
      <w:pPr>
        <w:numPr>
          <w:ilvl w:val="1"/>
          <w:numId w:val="17"/>
        </w:numPr>
      </w:pPr>
      <w:r w:rsidRPr="00400658">
        <w:t xml:space="preserve">Synergy is triggered if </w:t>
      </w:r>
      <w:r w:rsidRPr="00400658">
        <w:rPr>
          <w:b/>
          <w:bCs/>
        </w:rPr>
        <w:t>AC=OR (Orthopedic)</w:t>
      </w:r>
      <w:r w:rsidRPr="00400658">
        <w:t xml:space="preserve"> or </w:t>
      </w:r>
      <w:r w:rsidRPr="00400658">
        <w:rPr>
          <w:b/>
          <w:bCs/>
        </w:rPr>
        <w:t>AC=NE (Neurology)</w:t>
      </w:r>
      <w:r w:rsidRPr="00400658">
        <w:t>.</w:t>
      </w:r>
    </w:p>
    <w:p w14:paraId="1300D8D5" w14:textId="77777777" w:rsidR="00400658" w:rsidRPr="00400658" w:rsidRDefault="00400658" w:rsidP="00400658">
      <w:pPr>
        <w:numPr>
          <w:ilvl w:val="1"/>
          <w:numId w:val="17"/>
        </w:numPr>
      </w:pPr>
      <w:r w:rsidRPr="00400658">
        <w:t xml:space="preserve">Other Advisory Committees (e.g., CV, RA, DE, etc.) do </w:t>
      </w:r>
      <w:r w:rsidRPr="00400658">
        <w:rPr>
          <w:b/>
          <w:bCs/>
        </w:rPr>
        <w:t>not</w:t>
      </w:r>
      <w:r w:rsidRPr="00400658">
        <w:t xml:space="preserve"> initiate synergy under current rules.</w:t>
      </w:r>
    </w:p>
    <w:p w14:paraId="228B22EC" w14:textId="77777777" w:rsidR="00400658" w:rsidRPr="00400658" w:rsidRDefault="00400658" w:rsidP="00400658">
      <w:pPr>
        <w:numPr>
          <w:ilvl w:val="0"/>
          <w:numId w:val="17"/>
        </w:numPr>
      </w:pPr>
      <w:r w:rsidRPr="00400658">
        <w:rPr>
          <w:b/>
          <w:bCs/>
        </w:rPr>
        <w:t>Keyword (KW) Match</w:t>
      </w:r>
    </w:p>
    <w:p w14:paraId="4EC76C69" w14:textId="77777777" w:rsidR="00400658" w:rsidRPr="00400658" w:rsidRDefault="00400658" w:rsidP="00400658">
      <w:pPr>
        <w:numPr>
          <w:ilvl w:val="1"/>
          <w:numId w:val="17"/>
        </w:numPr>
      </w:pPr>
      <w:r w:rsidRPr="00400658">
        <w:t xml:space="preserve">Synergy requires at least one KW from the </w:t>
      </w:r>
      <w:r w:rsidRPr="00400658">
        <w:rPr>
          <w:b/>
          <w:bCs/>
        </w:rPr>
        <w:t>high-value</w:t>
      </w:r>
      <w:r w:rsidRPr="00400658">
        <w:t xml:space="preserve"> set:</w:t>
      </w:r>
    </w:p>
    <w:p w14:paraId="5396C638" w14:textId="77777777" w:rsidR="00400658" w:rsidRPr="00400658" w:rsidRDefault="00400658" w:rsidP="00400658">
      <w:pPr>
        <w:numPr>
          <w:ilvl w:val="2"/>
          <w:numId w:val="17"/>
        </w:numPr>
      </w:pPr>
      <w:r w:rsidRPr="00400658">
        <w:t>{Bone, Spinal, Fusion, Implant, Syndesmosis, Ankle, Knee, etc.}</w:t>
      </w:r>
    </w:p>
    <w:p w14:paraId="5A3F3686" w14:textId="77777777" w:rsidR="00400658" w:rsidRPr="00400658" w:rsidRDefault="00400658" w:rsidP="00400658">
      <w:pPr>
        <w:numPr>
          <w:ilvl w:val="1"/>
          <w:numId w:val="17"/>
        </w:numPr>
      </w:pPr>
      <w:r w:rsidRPr="00400658">
        <w:t>Additional synonyms are evaluated in future expansions (e.g., “Humeral,” “Femoral,” etc.).</w:t>
      </w:r>
    </w:p>
    <w:p w14:paraId="461B86E6" w14:textId="77777777" w:rsidR="00400658" w:rsidRPr="00400658" w:rsidRDefault="00400658" w:rsidP="00400658">
      <w:pPr>
        <w:numPr>
          <w:ilvl w:val="0"/>
          <w:numId w:val="17"/>
        </w:numPr>
      </w:pPr>
      <w:r w:rsidRPr="00400658">
        <w:rPr>
          <w:b/>
          <w:bCs/>
        </w:rPr>
        <w:t>Synergy Value</w:t>
      </w:r>
    </w:p>
    <w:p w14:paraId="291305B0" w14:textId="77777777" w:rsidR="00400658" w:rsidRPr="00400658" w:rsidRDefault="00400658" w:rsidP="00400658">
      <w:pPr>
        <w:numPr>
          <w:ilvl w:val="1"/>
          <w:numId w:val="17"/>
        </w:numPr>
      </w:pPr>
      <w:r w:rsidRPr="00400658">
        <w:t xml:space="preserve">If both AC and KW criteria are met, </w:t>
      </w:r>
      <w:r w:rsidRPr="00400658">
        <w:rPr>
          <w:b/>
          <w:bCs/>
        </w:rPr>
        <w:t>+0.15</w:t>
      </w:r>
      <w:r w:rsidRPr="00400658">
        <w:t xml:space="preserve"> is added to the overall sum before final division by 6.</w:t>
      </w:r>
    </w:p>
    <w:p w14:paraId="59CE0C80" w14:textId="77777777" w:rsidR="00400658" w:rsidRPr="00400658" w:rsidRDefault="00400658" w:rsidP="00400658">
      <w:pPr>
        <w:numPr>
          <w:ilvl w:val="1"/>
          <w:numId w:val="17"/>
        </w:numPr>
      </w:pPr>
      <w:r w:rsidRPr="00400658">
        <w:t>This synergy factor remains uniform across all triggered cases.</w:t>
      </w:r>
    </w:p>
    <w:p w14:paraId="50C262FD" w14:textId="77777777" w:rsidR="00400658" w:rsidRPr="00400658" w:rsidRDefault="00400658" w:rsidP="00400658">
      <w:r w:rsidRPr="00400658">
        <w:pict w14:anchorId="49061011">
          <v:rect id="_x0000_i1585" style="width:0;height:1.5pt" o:hralign="center" o:hrstd="t" o:hr="t" fillcolor="#a0a0a0" stroked="f"/>
        </w:pict>
      </w:r>
    </w:p>
    <w:p w14:paraId="4C5C719B" w14:textId="77777777" w:rsidR="00400658" w:rsidRPr="00400658" w:rsidRDefault="00400658" w:rsidP="00400658">
      <w:pPr>
        <w:rPr>
          <w:b/>
          <w:bCs/>
        </w:rPr>
      </w:pPr>
      <w:r w:rsidRPr="00400658">
        <w:rPr>
          <w:b/>
          <w:bCs/>
        </w:rPr>
        <w:t>3. Best Practices</w:t>
      </w:r>
    </w:p>
    <w:p w14:paraId="117F1E27" w14:textId="77777777" w:rsidR="00400658" w:rsidRPr="00400658" w:rsidRDefault="00400658" w:rsidP="00400658">
      <w:pPr>
        <w:numPr>
          <w:ilvl w:val="0"/>
          <w:numId w:val="18"/>
        </w:numPr>
      </w:pPr>
      <w:r w:rsidRPr="00400658">
        <w:rPr>
          <w:b/>
          <w:bCs/>
        </w:rPr>
        <w:t>Accurate Keyword Identification</w:t>
      </w:r>
    </w:p>
    <w:p w14:paraId="54B485A6" w14:textId="77777777" w:rsidR="00400658" w:rsidRPr="00400658" w:rsidRDefault="00400658" w:rsidP="00400658">
      <w:pPr>
        <w:numPr>
          <w:ilvl w:val="1"/>
          <w:numId w:val="18"/>
        </w:numPr>
      </w:pPr>
      <w:r w:rsidRPr="00400658">
        <w:t>Ensure that the device name, label, or summary explicitly includes the synergy keywords (e.g., “Bone,” “Ankle,” etc.).</w:t>
      </w:r>
    </w:p>
    <w:p w14:paraId="2C781616" w14:textId="77777777" w:rsidR="00400658" w:rsidRPr="00400658" w:rsidRDefault="00400658" w:rsidP="00400658">
      <w:pPr>
        <w:numPr>
          <w:ilvl w:val="1"/>
          <w:numId w:val="18"/>
        </w:numPr>
      </w:pPr>
      <w:r w:rsidRPr="00400658">
        <w:t xml:space="preserve">Maintain a </w:t>
      </w:r>
      <w:r w:rsidRPr="00400658">
        <w:rPr>
          <w:b/>
          <w:bCs/>
        </w:rPr>
        <w:t>master keyword list</w:t>
      </w:r>
      <w:r w:rsidRPr="00400658">
        <w:t xml:space="preserve"> to avoid missing synonyms. For example, “Spine” should be recognized as “Spinal.”</w:t>
      </w:r>
    </w:p>
    <w:p w14:paraId="15F4093C" w14:textId="77777777" w:rsidR="00400658" w:rsidRPr="00400658" w:rsidRDefault="00400658" w:rsidP="00400658">
      <w:pPr>
        <w:numPr>
          <w:ilvl w:val="0"/>
          <w:numId w:val="18"/>
        </w:numPr>
      </w:pPr>
      <w:r w:rsidRPr="00400658">
        <w:rPr>
          <w:b/>
          <w:bCs/>
        </w:rPr>
        <w:t>Check for Advisory Committee Consistency</w:t>
      </w:r>
    </w:p>
    <w:p w14:paraId="4E1301F6" w14:textId="77777777" w:rsidR="00400658" w:rsidRPr="00400658" w:rsidRDefault="00400658" w:rsidP="00400658">
      <w:pPr>
        <w:numPr>
          <w:ilvl w:val="1"/>
          <w:numId w:val="18"/>
        </w:numPr>
      </w:pPr>
      <w:r w:rsidRPr="00400658">
        <w:t xml:space="preserve">Confirm that the FDA listing or device classification supports </w:t>
      </w:r>
      <w:r w:rsidRPr="00400658">
        <w:rPr>
          <w:b/>
          <w:bCs/>
        </w:rPr>
        <w:t xml:space="preserve">AC=OR </w:t>
      </w:r>
      <w:proofErr w:type="spellStart"/>
      <w:r w:rsidRPr="00400658">
        <w:rPr>
          <w:b/>
          <w:bCs/>
        </w:rPr>
        <w:t>or</w:t>
      </w:r>
      <w:proofErr w:type="spellEnd"/>
      <w:r w:rsidRPr="00400658">
        <w:rPr>
          <w:b/>
          <w:bCs/>
        </w:rPr>
        <w:t xml:space="preserve"> NE</w:t>
      </w:r>
      <w:r w:rsidRPr="00400658">
        <w:t>.</w:t>
      </w:r>
    </w:p>
    <w:p w14:paraId="4A3F18ED" w14:textId="77777777" w:rsidR="00400658" w:rsidRPr="00400658" w:rsidRDefault="00400658" w:rsidP="00400658">
      <w:pPr>
        <w:numPr>
          <w:ilvl w:val="1"/>
          <w:numId w:val="18"/>
        </w:numPr>
      </w:pPr>
      <w:r w:rsidRPr="00400658">
        <w:t>Avoid assigning synergy if the actual AC is Radiology (RA) or Cardiovascular (CV), etc.</w:t>
      </w:r>
    </w:p>
    <w:p w14:paraId="71AC1EC7" w14:textId="77777777" w:rsidR="00400658" w:rsidRPr="00400658" w:rsidRDefault="00400658" w:rsidP="00400658">
      <w:pPr>
        <w:numPr>
          <w:ilvl w:val="0"/>
          <w:numId w:val="18"/>
        </w:numPr>
      </w:pPr>
      <w:r w:rsidRPr="00400658">
        <w:rPr>
          <w:b/>
          <w:bCs/>
        </w:rPr>
        <w:t>Reference Additional Clues</w:t>
      </w:r>
    </w:p>
    <w:p w14:paraId="73259A99" w14:textId="77777777" w:rsidR="00400658" w:rsidRPr="00400658" w:rsidRDefault="00400658" w:rsidP="00400658">
      <w:pPr>
        <w:numPr>
          <w:ilvl w:val="1"/>
          <w:numId w:val="18"/>
        </w:numPr>
      </w:pPr>
      <w:r w:rsidRPr="00400658">
        <w:t>In borderline cases (e.g., uncertain if “foot” implies “bone”), consider context or device classification to determine if synergy is truly indicated.</w:t>
      </w:r>
    </w:p>
    <w:p w14:paraId="04A8C56A" w14:textId="77777777" w:rsidR="00400658" w:rsidRPr="00400658" w:rsidRDefault="00400658" w:rsidP="00400658">
      <w:pPr>
        <w:numPr>
          <w:ilvl w:val="1"/>
          <w:numId w:val="18"/>
        </w:numPr>
      </w:pPr>
      <w:r w:rsidRPr="00400658">
        <w:t>Use disclaimers or clinical references to confirm the device interacts with bone/tissue.</w:t>
      </w:r>
    </w:p>
    <w:p w14:paraId="59AA214A" w14:textId="77777777" w:rsidR="00400658" w:rsidRPr="00400658" w:rsidRDefault="00400658" w:rsidP="00400658">
      <w:pPr>
        <w:numPr>
          <w:ilvl w:val="0"/>
          <w:numId w:val="18"/>
        </w:numPr>
      </w:pPr>
      <w:r w:rsidRPr="00400658">
        <w:rPr>
          <w:b/>
          <w:bCs/>
        </w:rPr>
        <w:t>Use Short, Clear Notes</w:t>
      </w:r>
    </w:p>
    <w:p w14:paraId="6ECBED0C" w14:textId="77777777" w:rsidR="00400658" w:rsidRPr="00400658" w:rsidRDefault="00400658" w:rsidP="00400658">
      <w:pPr>
        <w:numPr>
          <w:ilvl w:val="1"/>
          <w:numId w:val="18"/>
        </w:numPr>
      </w:pPr>
      <w:r w:rsidRPr="00400658">
        <w:t>Within the single-line Markdown row, specify the synergy reason (e.g., “Yes (</w:t>
      </w:r>
      <w:proofErr w:type="spellStart"/>
      <w:r w:rsidRPr="00400658">
        <w:t>OR+Bone</w:t>
      </w:r>
      <w:proofErr w:type="spellEnd"/>
      <w:r w:rsidRPr="00400658">
        <w:t xml:space="preserve"> =&gt; +0.15)”).</w:t>
      </w:r>
    </w:p>
    <w:p w14:paraId="2051C50C" w14:textId="77777777" w:rsidR="00400658" w:rsidRPr="00400658" w:rsidRDefault="00400658" w:rsidP="00400658">
      <w:pPr>
        <w:numPr>
          <w:ilvl w:val="1"/>
          <w:numId w:val="18"/>
        </w:numPr>
      </w:pPr>
      <w:r w:rsidRPr="00400658">
        <w:t>Keep synergy commentary concise to avoid mid-cell line breaks.</w:t>
      </w:r>
    </w:p>
    <w:p w14:paraId="7C010F2F" w14:textId="77777777" w:rsidR="00400658" w:rsidRPr="00400658" w:rsidRDefault="00400658" w:rsidP="00400658">
      <w:pPr>
        <w:numPr>
          <w:ilvl w:val="0"/>
          <w:numId w:val="18"/>
        </w:numPr>
      </w:pPr>
      <w:r w:rsidRPr="00400658">
        <w:rPr>
          <w:b/>
          <w:bCs/>
        </w:rPr>
        <w:t>Validate Negative Factor vs. Synergy</w:t>
      </w:r>
    </w:p>
    <w:p w14:paraId="4FB07642" w14:textId="77777777" w:rsidR="00400658" w:rsidRPr="00400658" w:rsidRDefault="00400658" w:rsidP="00400658">
      <w:pPr>
        <w:numPr>
          <w:ilvl w:val="1"/>
          <w:numId w:val="18"/>
        </w:numPr>
      </w:pPr>
      <w:r w:rsidRPr="00400658">
        <w:t xml:space="preserve">Even if synergy triggers (+0.15), a device might simultaneously get a </w:t>
      </w:r>
      <w:r w:rsidRPr="00400658">
        <w:rPr>
          <w:b/>
          <w:bCs/>
        </w:rPr>
        <w:t>−2</w:t>
      </w:r>
      <w:r w:rsidRPr="00400658">
        <w:t xml:space="preserve"> penalty for being purely cosmetic, or </w:t>
      </w:r>
      <w:r w:rsidRPr="00400658">
        <w:rPr>
          <w:b/>
          <w:bCs/>
        </w:rPr>
        <w:t>−0.20</w:t>
      </w:r>
      <w:r w:rsidRPr="00400658">
        <w:t xml:space="preserve"> for purely diagnostic software.</w:t>
      </w:r>
    </w:p>
    <w:p w14:paraId="3FB5A94E" w14:textId="77777777" w:rsidR="00400658" w:rsidRPr="00400658" w:rsidRDefault="00400658" w:rsidP="00400658">
      <w:pPr>
        <w:numPr>
          <w:ilvl w:val="1"/>
          <w:numId w:val="18"/>
        </w:numPr>
      </w:pPr>
      <w:r w:rsidRPr="00400658">
        <w:t xml:space="preserve">Carefully </w:t>
      </w:r>
      <w:r w:rsidRPr="00400658">
        <w:rPr>
          <w:b/>
          <w:bCs/>
        </w:rPr>
        <w:t>apply synergy last</w:t>
      </w:r>
      <w:r w:rsidRPr="00400658">
        <w:t xml:space="preserve"> in the summation to ensure the final calculation remains consistent.</w:t>
      </w:r>
    </w:p>
    <w:p w14:paraId="372CDB52" w14:textId="77777777" w:rsidR="00400658" w:rsidRPr="00400658" w:rsidRDefault="00400658" w:rsidP="00400658">
      <w:pPr>
        <w:numPr>
          <w:ilvl w:val="0"/>
          <w:numId w:val="18"/>
        </w:numPr>
      </w:pPr>
      <w:r w:rsidRPr="00400658">
        <w:rPr>
          <w:b/>
          <w:bCs/>
        </w:rPr>
        <w:t>Document Changes &amp; Exceptions</w:t>
      </w:r>
    </w:p>
    <w:p w14:paraId="4EE6A54A" w14:textId="77777777" w:rsidR="00400658" w:rsidRPr="00400658" w:rsidRDefault="00400658" w:rsidP="00400658">
      <w:pPr>
        <w:numPr>
          <w:ilvl w:val="1"/>
          <w:numId w:val="18"/>
        </w:numPr>
      </w:pPr>
      <w:r w:rsidRPr="00400658">
        <w:t>If new bone-related terms are added (e.g., “Humeral,” “Femoral”), update the synergy keyword list.</w:t>
      </w:r>
    </w:p>
    <w:p w14:paraId="015FF32F" w14:textId="77777777" w:rsidR="00400658" w:rsidRPr="00400658" w:rsidRDefault="00400658" w:rsidP="00400658">
      <w:pPr>
        <w:numPr>
          <w:ilvl w:val="1"/>
          <w:numId w:val="18"/>
        </w:numPr>
      </w:pPr>
      <w:r w:rsidRPr="00400658">
        <w:t>Keep an internal log of synergy exceptions or borderline cases for auditing.</w:t>
      </w:r>
    </w:p>
    <w:p w14:paraId="590109BF" w14:textId="77777777" w:rsidR="00400658" w:rsidRPr="00400658" w:rsidRDefault="00400658" w:rsidP="00400658">
      <w:r w:rsidRPr="00400658">
        <w:pict w14:anchorId="08A34741">
          <v:rect id="_x0000_i1586" style="width:0;height:1.5pt" o:hralign="center" o:hrstd="t" o:hr="t" fillcolor="#a0a0a0" stroked="f"/>
        </w:pict>
      </w:r>
    </w:p>
    <w:p w14:paraId="17DFBCA8" w14:textId="77777777" w:rsidR="00400658" w:rsidRPr="00400658" w:rsidRDefault="00400658" w:rsidP="00400658">
      <w:pPr>
        <w:rPr>
          <w:b/>
          <w:bCs/>
        </w:rPr>
      </w:pPr>
      <w:r w:rsidRPr="00400658">
        <w:rPr>
          <w:b/>
          <w:bCs/>
        </w:rPr>
        <w:t>4. Sample Calculation Flow</w:t>
      </w:r>
    </w:p>
    <w:p w14:paraId="7D5536EB" w14:textId="77777777" w:rsidR="00400658" w:rsidRPr="00400658" w:rsidRDefault="00400658" w:rsidP="00400658">
      <w:pPr>
        <w:numPr>
          <w:ilvl w:val="0"/>
          <w:numId w:val="19"/>
        </w:numPr>
      </w:pPr>
      <w:r w:rsidRPr="00400658">
        <w:rPr>
          <w:b/>
          <w:bCs/>
        </w:rPr>
        <w:t>Sum</w:t>
      </w:r>
      <w:r w:rsidRPr="00400658">
        <w:t xml:space="preserve"> the standard columns: AC + PC + KW + ST + PT + GL.</w:t>
      </w:r>
    </w:p>
    <w:p w14:paraId="4928D6EC" w14:textId="77777777" w:rsidR="00400658" w:rsidRPr="00400658" w:rsidRDefault="00400658" w:rsidP="00400658">
      <w:pPr>
        <w:numPr>
          <w:ilvl w:val="0"/>
          <w:numId w:val="19"/>
        </w:numPr>
      </w:pPr>
      <w:r w:rsidRPr="00400658">
        <w:rPr>
          <w:b/>
          <w:bCs/>
        </w:rPr>
        <w:t>Subtract</w:t>
      </w:r>
      <w:r w:rsidRPr="00400658">
        <w:t xml:space="preserve"> negative factor (NF), if any.</w:t>
      </w:r>
    </w:p>
    <w:p w14:paraId="3EC9F7D2" w14:textId="77777777" w:rsidR="00400658" w:rsidRPr="00400658" w:rsidRDefault="00400658" w:rsidP="00400658">
      <w:pPr>
        <w:numPr>
          <w:ilvl w:val="0"/>
          <w:numId w:val="19"/>
        </w:numPr>
      </w:pPr>
      <w:r w:rsidRPr="00400658">
        <w:rPr>
          <w:b/>
          <w:bCs/>
        </w:rPr>
        <w:t>Add</w:t>
      </w:r>
      <w:r w:rsidRPr="00400658">
        <w:t xml:space="preserve"> synergy (+0.15) only if AC=OR </w:t>
      </w:r>
      <w:proofErr w:type="spellStart"/>
      <w:r w:rsidRPr="00400658">
        <w:t>or</w:t>
      </w:r>
      <w:proofErr w:type="spellEnd"/>
      <w:r w:rsidRPr="00400658">
        <w:t xml:space="preserve"> NE and KW is in the high-value set.</w:t>
      </w:r>
    </w:p>
    <w:p w14:paraId="65351631" w14:textId="77777777" w:rsidR="00400658" w:rsidRPr="00400658" w:rsidRDefault="00400658" w:rsidP="00400658">
      <w:pPr>
        <w:numPr>
          <w:ilvl w:val="0"/>
          <w:numId w:val="19"/>
        </w:numPr>
      </w:pPr>
      <w:r w:rsidRPr="00400658">
        <w:rPr>
          <w:b/>
          <w:bCs/>
        </w:rPr>
        <w:t>Divide</w:t>
      </w:r>
      <w:r w:rsidRPr="00400658">
        <w:t xml:space="preserve"> total by 6 to get the final score.</w:t>
      </w:r>
    </w:p>
    <w:p w14:paraId="40A14D03" w14:textId="77777777" w:rsidR="00400658" w:rsidRPr="00400658" w:rsidRDefault="00400658" w:rsidP="00400658">
      <w:pPr>
        <w:numPr>
          <w:ilvl w:val="0"/>
          <w:numId w:val="19"/>
        </w:numPr>
      </w:pPr>
      <w:r w:rsidRPr="00400658">
        <w:t>Multiply by 100 to express as a percentage, then assign a category (e.g., High, Low).</w:t>
      </w:r>
    </w:p>
    <w:p w14:paraId="0714458F" w14:textId="77777777" w:rsidR="00400658" w:rsidRPr="00400658" w:rsidRDefault="00400658" w:rsidP="00400658">
      <w:r w:rsidRPr="00400658">
        <w:pict w14:anchorId="7AF12B60">
          <v:rect id="_x0000_i1587" style="width:0;height:1.5pt" o:hralign="center" o:hrstd="t" o:hr="t" fillcolor="#a0a0a0" stroked="f"/>
        </w:pict>
      </w:r>
    </w:p>
    <w:p w14:paraId="2FBD2DC8" w14:textId="77777777" w:rsidR="00400658" w:rsidRPr="00400658" w:rsidRDefault="00400658" w:rsidP="00400658">
      <w:pPr>
        <w:rPr>
          <w:b/>
          <w:bCs/>
        </w:rPr>
      </w:pPr>
      <w:r w:rsidRPr="00400658">
        <w:rPr>
          <w:b/>
          <w:bCs/>
        </w:rPr>
        <w:t>5. Ongoing Improvements</w:t>
      </w:r>
    </w:p>
    <w:p w14:paraId="0792194B" w14:textId="77777777" w:rsidR="00400658" w:rsidRPr="00400658" w:rsidRDefault="00400658" w:rsidP="00400658">
      <w:pPr>
        <w:numPr>
          <w:ilvl w:val="0"/>
          <w:numId w:val="20"/>
        </w:numPr>
      </w:pPr>
      <w:r w:rsidRPr="00400658">
        <w:t xml:space="preserve">We are evaluating </w:t>
      </w:r>
      <w:r w:rsidRPr="00400658">
        <w:rPr>
          <w:b/>
          <w:bCs/>
        </w:rPr>
        <w:t>tiered synergy</w:t>
      </w:r>
      <w:r w:rsidRPr="00400658">
        <w:t xml:space="preserve"> (+0.10 vs. +0.15) if multiple relevant keywords appear.</w:t>
      </w:r>
    </w:p>
    <w:p w14:paraId="0AE0F83D" w14:textId="77777777" w:rsidR="00400658" w:rsidRPr="00400658" w:rsidRDefault="00400658" w:rsidP="00400658">
      <w:pPr>
        <w:numPr>
          <w:ilvl w:val="0"/>
          <w:numId w:val="20"/>
        </w:numPr>
      </w:pPr>
      <w:r w:rsidRPr="00400658">
        <w:t>Additional bone-related synonyms (e.g., “Tibiotalar,” “Elbow”) may be added after thorough clinical review.</w:t>
      </w:r>
    </w:p>
    <w:p w14:paraId="739FF328" w14:textId="77777777" w:rsidR="00400658" w:rsidRPr="00400658" w:rsidRDefault="00400658" w:rsidP="00400658">
      <w:pPr>
        <w:numPr>
          <w:ilvl w:val="0"/>
          <w:numId w:val="20"/>
        </w:numPr>
      </w:pPr>
      <w:r w:rsidRPr="00400658">
        <w:t>Negative factor synergy interplay remains under discussion (e.g., if a device meets synergy criteria but is also partially cosmetic).</w:t>
      </w:r>
    </w:p>
    <w:p w14:paraId="5A402BCF" w14:textId="77777777" w:rsidR="00400658" w:rsidRPr="00400658" w:rsidRDefault="00400658" w:rsidP="00400658">
      <w:r w:rsidRPr="00400658">
        <w:pict w14:anchorId="111A0CDF">
          <v:rect id="_x0000_i1588" style="width:0;height:1.5pt" o:hralign="center" o:hrstd="t" o:hr="t" fillcolor="#a0a0a0" stroked="f"/>
        </w:pict>
      </w:r>
    </w:p>
    <w:p w14:paraId="6ADD7BCA" w14:textId="77777777" w:rsidR="00400658" w:rsidRPr="00400658" w:rsidRDefault="00400658" w:rsidP="00400658">
      <w:pPr>
        <w:rPr>
          <w:b/>
          <w:bCs/>
        </w:rPr>
      </w:pPr>
      <w:r w:rsidRPr="00400658">
        <w:rPr>
          <w:b/>
          <w:bCs/>
        </w:rPr>
        <w:t>6. Conclusion</w:t>
      </w:r>
    </w:p>
    <w:p w14:paraId="4DE2DB2F" w14:textId="77777777" w:rsidR="00400658" w:rsidRPr="00400658" w:rsidRDefault="00400658" w:rsidP="00400658">
      <w:r w:rsidRPr="00400658">
        <w:t xml:space="preserve">Following these </w:t>
      </w:r>
      <w:r w:rsidRPr="00400658">
        <w:rPr>
          <w:b/>
          <w:bCs/>
        </w:rPr>
        <w:t>best practices</w:t>
      </w:r>
      <w:r w:rsidRPr="00400658">
        <w:t xml:space="preserve"> ensures synergy is implemented with clarity and consistency, maintaining both </w:t>
      </w:r>
      <w:r w:rsidRPr="00400658">
        <w:rPr>
          <w:b/>
          <w:bCs/>
        </w:rPr>
        <w:t>transparency</w:t>
      </w:r>
      <w:r w:rsidRPr="00400658">
        <w:t xml:space="preserve"> for end users and </w:t>
      </w:r>
      <w:r w:rsidRPr="00400658">
        <w:rPr>
          <w:b/>
          <w:bCs/>
        </w:rPr>
        <w:t>alignment</w:t>
      </w:r>
      <w:r w:rsidRPr="00400658">
        <w:t xml:space="preserve"> with actual FDA considerations. By carefully verifying Advisory Committee data, identifying high-value keywords, and documenting exceptions, we achieve </w:t>
      </w:r>
      <w:r w:rsidRPr="00400658">
        <w:rPr>
          <w:b/>
          <w:bCs/>
        </w:rPr>
        <w:t>reliable synergy scoring</w:t>
      </w:r>
      <w:r w:rsidRPr="00400658">
        <w:t xml:space="preserve"> across the </w:t>
      </w:r>
      <w:proofErr w:type="gramStart"/>
      <w:r w:rsidRPr="00400658">
        <w:t>510(k) submission</w:t>
      </w:r>
      <w:proofErr w:type="gramEnd"/>
      <w:r w:rsidRPr="00400658">
        <w:t xml:space="preserve"> landscape.</w:t>
      </w:r>
    </w:p>
    <w:p w14:paraId="12FF7C02" w14:textId="77777777" w:rsidR="00400658" w:rsidRPr="00400658" w:rsidRDefault="00400658" w:rsidP="00400658">
      <w:r w:rsidRPr="00400658">
        <w:rPr>
          <w:b/>
          <w:bCs/>
        </w:rPr>
        <w:t>For Additional Clarifications</w:t>
      </w:r>
      <w:r w:rsidRPr="00400658">
        <w:br/>
        <w:t xml:space="preserve">Contact the </w:t>
      </w:r>
      <w:r w:rsidRPr="00400658">
        <w:rPr>
          <w:b/>
          <w:bCs/>
        </w:rPr>
        <w:t>Regulatory AI Steering Committee</w:t>
      </w:r>
      <w:r w:rsidRPr="00400658">
        <w:t xml:space="preserve"> for updates on synergy expansions or queries about borderline device categories.</w:t>
      </w:r>
    </w:p>
    <w:p w14:paraId="6E451BB6" w14:textId="77777777" w:rsidR="00400658" w:rsidRPr="00400658" w:rsidRDefault="00400658" w:rsidP="00400658">
      <w:r w:rsidRPr="00400658">
        <w:pict w14:anchorId="2F6C7864">
          <v:rect id="_x0000_i1589" style="width:0;height:1.5pt" o:hralign="center" o:hrstd="t" o:hr="t" fillcolor="#a0a0a0" stroked="f"/>
        </w:pict>
      </w:r>
    </w:p>
    <w:p w14:paraId="6C44FDCA" w14:textId="77777777" w:rsidR="00400658" w:rsidRPr="00400658" w:rsidRDefault="00400658" w:rsidP="00400658">
      <w:r w:rsidRPr="00400658">
        <w:rPr>
          <w:i/>
          <w:iCs/>
        </w:rPr>
        <w:t>End of Document</w:t>
      </w:r>
    </w:p>
    <w:p w14:paraId="56A36798" w14:textId="77777777" w:rsidR="00F2329F" w:rsidRDefault="00F2329F"/>
    <w:sectPr w:rsidR="00F232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DD0D6E"/>
    <w:multiLevelType w:val="multilevel"/>
    <w:tmpl w:val="D1982D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462C6D"/>
    <w:multiLevelType w:val="multilevel"/>
    <w:tmpl w:val="0ADAB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C871CD"/>
    <w:multiLevelType w:val="multilevel"/>
    <w:tmpl w:val="2E3E68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FF120E9"/>
    <w:multiLevelType w:val="multilevel"/>
    <w:tmpl w:val="723AA8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08D00BE"/>
    <w:multiLevelType w:val="multilevel"/>
    <w:tmpl w:val="45EA8D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4E63F6D"/>
    <w:multiLevelType w:val="multilevel"/>
    <w:tmpl w:val="13503D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5074326"/>
    <w:multiLevelType w:val="multilevel"/>
    <w:tmpl w:val="960CA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E3567BE"/>
    <w:multiLevelType w:val="multilevel"/>
    <w:tmpl w:val="82928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E7A2E21"/>
    <w:multiLevelType w:val="multilevel"/>
    <w:tmpl w:val="CBA63D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4F423AE"/>
    <w:multiLevelType w:val="multilevel"/>
    <w:tmpl w:val="2A22C3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8C0558F"/>
    <w:multiLevelType w:val="multilevel"/>
    <w:tmpl w:val="13D67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B8817C8"/>
    <w:multiLevelType w:val="multilevel"/>
    <w:tmpl w:val="EF0C26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2FD2678"/>
    <w:multiLevelType w:val="multilevel"/>
    <w:tmpl w:val="FD7C25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80F2A6C"/>
    <w:multiLevelType w:val="multilevel"/>
    <w:tmpl w:val="547696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B4D7C9D"/>
    <w:multiLevelType w:val="multilevel"/>
    <w:tmpl w:val="BD76C7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0EB17C4"/>
    <w:multiLevelType w:val="multilevel"/>
    <w:tmpl w:val="F474B9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48D65B0"/>
    <w:multiLevelType w:val="multilevel"/>
    <w:tmpl w:val="BA40C4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3F56EA0"/>
    <w:multiLevelType w:val="multilevel"/>
    <w:tmpl w:val="89F269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7302D72"/>
    <w:multiLevelType w:val="multilevel"/>
    <w:tmpl w:val="3A8A37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B512DBE"/>
    <w:multiLevelType w:val="multilevel"/>
    <w:tmpl w:val="1506CD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43900507">
    <w:abstractNumId w:val="19"/>
  </w:num>
  <w:num w:numId="2" w16cid:durableId="310447228">
    <w:abstractNumId w:val="16"/>
  </w:num>
  <w:num w:numId="3" w16cid:durableId="1927957795">
    <w:abstractNumId w:val="6"/>
  </w:num>
  <w:num w:numId="4" w16cid:durableId="1633175938">
    <w:abstractNumId w:val="0"/>
  </w:num>
  <w:num w:numId="5" w16cid:durableId="33819338">
    <w:abstractNumId w:val="9"/>
  </w:num>
  <w:num w:numId="6" w16cid:durableId="20520735">
    <w:abstractNumId w:val="4"/>
  </w:num>
  <w:num w:numId="7" w16cid:durableId="223374267">
    <w:abstractNumId w:val="1"/>
  </w:num>
  <w:num w:numId="8" w16cid:durableId="214700001">
    <w:abstractNumId w:val="7"/>
  </w:num>
  <w:num w:numId="9" w16cid:durableId="12153714">
    <w:abstractNumId w:val="17"/>
  </w:num>
  <w:num w:numId="10" w16cid:durableId="2135320140">
    <w:abstractNumId w:val="8"/>
  </w:num>
  <w:num w:numId="11" w16cid:durableId="979501584">
    <w:abstractNumId w:val="11"/>
  </w:num>
  <w:num w:numId="12" w16cid:durableId="2099135917">
    <w:abstractNumId w:val="14"/>
  </w:num>
  <w:num w:numId="13" w16cid:durableId="1022436443">
    <w:abstractNumId w:val="15"/>
  </w:num>
  <w:num w:numId="14" w16cid:durableId="1442408532">
    <w:abstractNumId w:val="12"/>
  </w:num>
  <w:num w:numId="15" w16cid:durableId="1309624534">
    <w:abstractNumId w:val="3"/>
  </w:num>
  <w:num w:numId="16" w16cid:durableId="1991402098">
    <w:abstractNumId w:val="18"/>
  </w:num>
  <w:num w:numId="17" w16cid:durableId="1135414967">
    <w:abstractNumId w:val="2"/>
  </w:num>
  <w:num w:numId="18" w16cid:durableId="1729306883">
    <w:abstractNumId w:val="13"/>
  </w:num>
  <w:num w:numId="19" w16cid:durableId="394551013">
    <w:abstractNumId w:val="5"/>
  </w:num>
  <w:num w:numId="20" w16cid:durableId="17480696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29F"/>
    <w:rsid w:val="00042971"/>
    <w:rsid w:val="00397443"/>
    <w:rsid w:val="003B166D"/>
    <w:rsid w:val="00400658"/>
    <w:rsid w:val="00EF7096"/>
    <w:rsid w:val="00F23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F2DBFE"/>
  <w15:chartTrackingRefBased/>
  <w15:docId w15:val="{39A12898-436F-4910-8C49-7779203D8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11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6395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7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2306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94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2380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70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0617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70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5139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27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4962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82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0677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13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4839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09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197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36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3351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728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7100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60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0150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02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0147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48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6505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543</Words>
  <Characters>3099</Characters>
  <Application>Microsoft Office Word</Application>
  <DocSecurity>0</DocSecurity>
  <Lines>25</Lines>
  <Paragraphs>7</Paragraphs>
  <ScaleCrop>false</ScaleCrop>
  <Company/>
  <LinksUpToDate>false</LinksUpToDate>
  <CharactersWithSpaces>3635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Zimmerman, Ryan</dc:creator>
  <cp:keywords/>
  <dc:description/>
  <cp:lastModifiedBy>Zimmerman, Ryan</cp:lastModifiedBy>
  <cp:revision>2</cp:revision>
  <dcterms:created xsi:type="dcterms:W3CDTF">2024-12-24T18:08:00Z</dcterms:created>
  <dcterms:modified xsi:type="dcterms:W3CDTF">2024-12-24T18:08:00Z</dcterms:modified>
</cp:coreProperties>
</file>