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Q1 2026 CLOUD CREDITS &amp; GRANTS</w:t>
      </w:r>
    </w:p>
    <w:p>
      <w:pPr>
        <w:spacing w:after="400"/>
        <w:jc w:val="center"/>
      </w:pPr>
      <w:r>
        <w:rPr>
          <w:color w:val="666666"/>
          <w:sz w:val="28"/>
          <w:szCs w:val="28"/>
        </w:rPr>
        <w:t xml:space="preserve">Intern Task Framework &amp; Delegation Protocol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Document ID</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SDA-INT-001 v1.0</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Effective Date</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December 23, 2025</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Owner</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Ryan Zimmerman, CEO</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Classification</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INTERNAL — Time-Sensitive</w:t>
            </w:r>
          </w:p>
        </w:tc>
      </w:tr>
    </w:tbl>
    <w:p>
      <w:pPr>
        <w:pStyle w:val="Heading1"/>
      </w:pPr>
      <w:r>
        <w:t xml:space="preserve">EXECUTIVE SUMMARY</w:t>
      </w:r>
    </w:p>
    <w:p>
      <w:pPr>
        <w:spacing w:after="120"/>
      </w:pPr>
      <w:r>
        <w:t xml:space="preserve">This document establishes a structured task framework for intern delegation on cloud credits and grants research. It applies SparkData's risk-tiered methodology to ensure </w:t>
      </w:r>
      <w:r>
        <w:rPr>
          <w:b/>
          <w:bCs/>
        </w:rPr>
        <w:t xml:space="preserve">reliable legwork without scope creep or garbage noise.</w:t>
      </w:r>
    </w:p>
    <w:p>
      <w:pPr>
        <w:pStyle w:val="Heading2"/>
      </w:pPr>
      <w:r>
        <w:t xml:space="preserve">The Problem We're Solving</w:t>
      </w:r>
    </w:p>
    <w:p>
      <w:pPr>
        <w:spacing w:after="120"/>
      </w:pPr>
      <w:r>
        <w:t xml:space="preserve">Unstructured research tasks create two failure modes: analysis paralysis (the intern stalls, produces nothing) or information overload (the intern produces 50 pages of unfocused research that requires more executive time to parse than doing the work directly). Both outcomes waste your limited time during restructuring.</w:t>
      </w:r>
    </w:p>
    <w:p>
      <w:pPr>
        <w:pStyle w:val="Heading2"/>
      </w:pPr>
      <w:r>
        <w:t xml:space="preserve">The Solution: Tiered Deliverables</w:t>
      </w:r>
    </w:p>
    <w:p>
      <w:pPr>
        <w:spacing w:after="120"/>
      </w:pPr>
      <w:r>
        <w:t xml:space="preserve">Every task is decomposed into discrete deliverables with explicit acceptance criteria, time boxes, and escalation triggers. The intern produces </w:t>
      </w:r>
      <w:r>
        <w:rPr>
          <w:b/>
          <w:bCs/>
        </w:rPr>
        <w:t xml:space="preserve">verified facts</w:t>
      </w:r>
      <w:r>
        <w:t xml:space="preserve"> that flow directly into your executive decision-making. You never see raw research—only decision-ready outputs.</w:t>
      </w:r>
    </w:p>
    <w:p>
      <w:pPr>
        <w:pStyle w:val="Heading2"/>
      </w:pPr>
      <w:r>
        <w:t xml:space="preserve">Total Opportunity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vAlign w:val="center"/>
          </w:tcPr>
          <w:p>
            <w:pPr>
              <w:spacing w:before="60" w:after="60"/>
              <w:jc w:val="center"/>
            </w:pPr>
            <w:r>
              <w:rPr>
                <w:b/>
                <w:bCs/>
                <w:color w:val="FFFFFF"/>
                <w:sz w:val="22"/>
                <w:szCs w:val="22"/>
              </w:rPr>
              <w:t xml:space="preserve">CATEGORY</w:t>
            </w:r>
          </w:p>
        </w:tc>
        <w:tc>
          <w:tcPr>
            <w:tcW w:type="dxa" w:w="3120"/>
            <w:tcBorders>
              <w:top w:val="single" w:color="CCCCCC" w:sz="1"/>
              <w:left w:val="single" w:color="CCCCCC" w:sz="1"/>
              <w:bottom w:val="single" w:color="CCCCCC" w:sz="1"/>
              <w:right w:val="single" w:color="CCCCCC" w:sz="1"/>
            </w:tcBorders>
            <w:shd w:fill="1E3A5F" w:val="clear"/>
            <w:vAlign w:val="center"/>
          </w:tcPr>
          <w:p>
            <w:pPr>
              <w:spacing w:before="60" w:after="60"/>
              <w:jc w:val="center"/>
            </w:pPr>
            <w:r>
              <w:rPr>
                <w:b/>
                <w:bCs/>
                <w:color w:val="FFFFFF"/>
                <w:sz w:val="22"/>
                <w:szCs w:val="22"/>
              </w:rPr>
              <w:t xml:space="preserve">HIGH-CONFIDENCE</w:t>
            </w:r>
          </w:p>
        </w:tc>
        <w:tc>
          <w:tcPr>
            <w:tcW w:type="dxa" w:w="3120"/>
            <w:tcBorders>
              <w:top w:val="single" w:color="CCCCCC" w:sz="1"/>
              <w:left w:val="single" w:color="CCCCCC" w:sz="1"/>
              <w:bottom w:val="single" w:color="CCCCCC" w:sz="1"/>
              <w:right w:val="single" w:color="CCCCCC" w:sz="1"/>
            </w:tcBorders>
            <w:shd w:fill="1E3A5F" w:val="clear"/>
            <w:vAlign w:val="center"/>
          </w:tcPr>
          <w:p>
            <w:pPr>
              <w:spacing w:before="60" w:after="60"/>
              <w:jc w:val="center"/>
            </w:pPr>
            <w:r>
              <w:rPr>
                <w:b/>
                <w:bCs/>
                <w:color w:val="FFFFFF"/>
                <w:sz w:val="22"/>
                <w:szCs w:val="22"/>
              </w:rPr>
              <w:t xml:space="preserve">CONDITIONAL UPSIDE</w:t>
            </w:r>
          </w:p>
        </w:tc>
      </w:tr>
      <w:tr>
        <w:tc>
          <w:tcPr>
            <w:tcW w:type="dxa" w:w="312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SparkData Analytics</w:t>
            </w:r>
          </w:p>
        </w:tc>
        <w:tc>
          <w:tcPr>
            <w:tcW w:type="dxa" w:w="3120"/>
            <w:tcBorders>
              <w:top w:val="single" w:color="CCCCCC" w:sz="1"/>
              <w:left w:val="single" w:color="CCCCCC" w:sz="1"/>
              <w:bottom w:val="single" w:color="CCCCCC" w:sz="1"/>
              <w:right w:val="single" w:color="CCCCCC" w:sz="1"/>
            </w:tcBorders>
            <w:vAlign w:val="center"/>
          </w:tcPr>
          <w:p>
            <w:pPr>
              <w:spacing w:before="60" w:after="60"/>
              <w:jc w:val="center"/>
            </w:pPr>
            <w:r>
              <w:rPr>
                <w:b w:val="false"/>
                <w:bCs w:val="false"/>
                <w:color w:val="000000"/>
                <w:sz w:val="20"/>
                <w:szCs w:val="20"/>
              </w:rPr>
              <w:t xml:space="preserve">$8,000</w:t>
            </w:r>
          </w:p>
        </w:tc>
        <w:tc>
          <w:tcPr>
            <w:tcW w:type="dxa" w:w="3120"/>
            <w:tcBorders>
              <w:top w:val="single" w:color="CCCCCC" w:sz="1"/>
              <w:left w:val="single" w:color="CCCCCC" w:sz="1"/>
              <w:bottom w:val="single" w:color="CCCCCC" w:sz="1"/>
              <w:right w:val="single" w:color="CCCCCC" w:sz="1"/>
            </w:tcBorders>
            <w:vAlign w:val="center"/>
          </w:tcPr>
          <w:p>
            <w:pPr>
              <w:spacing w:before="60" w:after="60"/>
              <w:jc w:val="center"/>
            </w:pPr>
            <w:r>
              <w:rPr>
                <w:b w:val="false"/>
                <w:bCs w:val="false"/>
                <w:color w:val="000000"/>
                <w:sz w:val="20"/>
                <w:szCs w:val="20"/>
              </w:rPr>
              <w:t xml:space="preserve">$350,000–$500,000</w:t>
            </w:r>
          </w:p>
        </w:tc>
      </w:tr>
      <w:tr>
        <w:tc>
          <w:tcPr>
            <w:tcW w:type="dxa" w:w="312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Southwest Resume Services</w:t>
            </w:r>
          </w:p>
        </w:tc>
        <w:tc>
          <w:tcPr>
            <w:tcW w:type="dxa" w:w="3120"/>
            <w:tcBorders>
              <w:top w:val="single" w:color="CCCCCC" w:sz="1"/>
              <w:left w:val="single" w:color="CCCCCC" w:sz="1"/>
              <w:bottom w:val="single" w:color="CCCCCC" w:sz="1"/>
              <w:right w:val="single" w:color="CCCCCC" w:sz="1"/>
            </w:tcBorders>
            <w:vAlign w:val="center"/>
          </w:tcPr>
          <w:p>
            <w:pPr>
              <w:spacing w:before="60" w:after="60"/>
              <w:jc w:val="center"/>
            </w:pPr>
            <w:r>
              <w:rPr>
                <w:b w:val="false"/>
                <w:bCs w:val="false"/>
                <w:color w:val="000000"/>
                <w:sz w:val="20"/>
                <w:szCs w:val="20"/>
              </w:rPr>
              <w:t xml:space="preserve">$8,000</w:t>
            </w:r>
          </w:p>
        </w:tc>
        <w:tc>
          <w:tcPr>
            <w:tcW w:type="dxa" w:w="3120"/>
            <w:tcBorders>
              <w:top w:val="single" w:color="CCCCCC" w:sz="1"/>
              <w:left w:val="single" w:color="CCCCCC" w:sz="1"/>
              <w:bottom w:val="single" w:color="CCCCCC" w:sz="1"/>
              <w:right w:val="single" w:color="CCCCCC" w:sz="1"/>
            </w:tcBorders>
            <w:vAlign w:val="center"/>
          </w:tcPr>
          <w:p>
            <w:pPr>
              <w:spacing w:before="60" w:after="60"/>
              <w:jc w:val="center"/>
            </w:pPr>
            <w:r>
              <w:rPr>
                <w:b w:val="false"/>
                <w:bCs w:val="false"/>
                <w:color w:val="000000"/>
                <w:sz w:val="20"/>
                <w:szCs w:val="20"/>
              </w:rPr>
              <w:t xml:space="preserve">$8,000–$50,000</w:t>
            </w:r>
          </w:p>
        </w:tc>
      </w:tr>
      <w:tr>
        <w:tc>
          <w:tcPr>
            <w:tcW w:type="dxa" w:w="312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COMBINED TOTAL</w:t>
            </w:r>
          </w:p>
        </w:tc>
        <w:tc>
          <w:tcPr>
            <w:tcW w:type="dxa" w:w="3120"/>
            <w:tcBorders>
              <w:top w:val="single" w:color="CCCCCC" w:sz="1"/>
              <w:left w:val="single" w:color="CCCCCC" w:sz="1"/>
              <w:bottom w:val="single" w:color="CCCCCC" w:sz="1"/>
              <w:right w:val="single" w:color="CCCCCC" w:sz="1"/>
            </w:tcBorders>
            <w:vAlign w:val="center"/>
          </w:tcPr>
          <w:p>
            <w:pPr>
              <w:spacing w:before="60" w:after="60"/>
              <w:jc w:val="center"/>
            </w:pPr>
            <w:r>
              <w:rPr>
                <w:b/>
                <w:bCs/>
                <w:color w:val="000000"/>
                <w:sz w:val="20"/>
                <w:szCs w:val="20"/>
              </w:rPr>
              <w:t xml:space="preserve">$16,000</w:t>
            </w:r>
          </w:p>
        </w:tc>
        <w:tc>
          <w:tcPr>
            <w:tcW w:type="dxa" w:w="3120"/>
            <w:tcBorders>
              <w:top w:val="single" w:color="CCCCCC" w:sz="1"/>
              <w:left w:val="single" w:color="CCCCCC" w:sz="1"/>
              <w:bottom w:val="single" w:color="CCCCCC" w:sz="1"/>
              <w:right w:val="single" w:color="CCCCCC" w:sz="1"/>
            </w:tcBorders>
            <w:vAlign w:val="center"/>
          </w:tcPr>
          <w:p>
            <w:pPr>
              <w:spacing w:before="60" w:after="60"/>
              <w:jc w:val="center"/>
            </w:pPr>
            <w:r>
              <w:rPr>
                <w:b/>
                <w:bCs/>
                <w:color w:val="000000"/>
                <w:sz w:val="20"/>
                <w:szCs w:val="20"/>
              </w:rPr>
              <w:t xml:space="preserve">$358,000–$550,000</w:t>
            </w:r>
          </w:p>
        </w:tc>
      </w:tr>
    </w:tbl>
    <w:p>
      <w:pPr>
        <w:spacing w:before="120" w:after="200"/>
      </w:pPr>
      <w:r>
        <w:rPr>
          <w:b/>
          <w:bCs/>
        </w:rPr>
        <w:t xml:space="preserve">High-confidence</w:t>
      </w:r>
      <w:r>
        <w:t xml:space="preserve"> = starter tiers available to any legitimate startup. </w:t>
      </w:r>
      <w:r>
        <w:rPr>
          <w:b/>
          <w:bCs/>
        </w:rPr>
        <w:t xml:space="preserve">Conditional</w:t>
      </w:r>
      <w:r>
        <w:t xml:space="preserve"> = requires funding verification, accelerator affiliation, or specific product alignment.</w:t>
      </w:r>
    </w:p>
    <w:p>
      <w:r>
        <w:br w:type="page"/>
      </w:r>
    </w:p>
    <w:p>
      <w:pPr>
        <w:pStyle w:val="Heading1"/>
      </w:pPr>
      <w:r>
        <w:t xml:space="preserve">1. TASK TIER DEFINITIONS</w:t>
      </w:r>
    </w:p>
    <w:p>
      <w:pPr>
        <w:spacing w:after="120"/>
      </w:pPr>
      <w:r>
        <w:t xml:space="preserve">Applying SparkData's risk methodology to intern work: every task is assigned a tier that determines scope, time box, and verification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960"/>
      </w:tblGrid>
      <w:tr>
        <w:tc>
          <w:tcPr>
            <w:tcW w:type="dxa" w:w="1400"/>
            <w:tcBorders>
              <w:top w:val="single" w:color="CCCCCC" w:sz="1"/>
              <w:left w:val="single" w:color="CCCCCC" w:sz="1"/>
              <w:bottom w:val="single" w:color="CCCCCC" w:sz="1"/>
              <w:right w:val="single" w:color="CCCCCC" w:sz="1"/>
            </w:tcBorders>
            <w:shd w:fill="1E3A5F" w:val="clear"/>
            <w:vAlign w:val="center"/>
          </w:tcPr>
          <w:p>
            <w:pPr>
              <w:spacing w:before="60" w:after="60"/>
              <w:jc w:val="center"/>
            </w:pPr>
            <w:r>
              <w:rPr>
                <w:b/>
                <w:bCs/>
                <w:color w:val="FFFFFF"/>
                <w:sz w:val="22"/>
                <w:szCs w:val="22"/>
              </w:rPr>
              <w:t xml:space="preserve">TIER</w:t>
            </w:r>
          </w:p>
        </w:tc>
        <w:tc>
          <w:tcPr>
            <w:tcW w:type="dxa" w:w="2200"/>
            <w:tcBorders>
              <w:top w:val="single" w:color="CCCCCC" w:sz="1"/>
              <w:left w:val="single" w:color="CCCCCC" w:sz="1"/>
              <w:bottom w:val="single" w:color="CCCCCC" w:sz="1"/>
              <w:right w:val="single" w:color="CCCCCC" w:sz="1"/>
            </w:tcBorders>
            <w:shd w:fill="1E3A5F" w:val="clear"/>
            <w:vAlign w:val="center"/>
          </w:tcPr>
          <w:p>
            <w:pPr>
              <w:spacing w:before="60" w:after="60"/>
              <w:jc w:val="left"/>
            </w:pPr>
            <w:r>
              <w:rPr>
                <w:b/>
                <w:bCs/>
                <w:color w:val="FFFFFF"/>
                <w:sz w:val="22"/>
                <w:szCs w:val="22"/>
              </w:rPr>
              <w:t xml:space="preserve">TASK TYPE</w:t>
            </w:r>
          </w:p>
        </w:tc>
        <w:tc>
          <w:tcPr>
            <w:tcW w:type="dxa" w:w="2800"/>
            <w:tcBorders>
              <w:top w:val="single" w:color="CCCCCC" w:sz="1"/>
              <w:left w:val="single" w:color="CCCCCC" w:sz="1"/>
              <w:bottom w:val="single" w:color="CCCCCC" w:sz="1"/>
              <w:right w:val="single" w:color="CCCCCC" w:sz="1"/>
            </w:tcBorders>
            <w:shd w:fill="1E3A5F" w:val="clear"/>
            <w:vAlign w:val="center"/>
          </w:tcPr>
          <w:p>
            <w:pPr>
              <w:spacing w:before="60" w:after="60"/>
              <w:jc w:val="left"/>
            </w:pPr>
            <w:r>
              <w:rPr>
                <w:b/>
                <w:bCs/>
                <w:color w:val="FFFFFF"/>
                <w:sz w:val="22"/>
                <w:szCs w:val="22"/>
              </w:rPr>
              <w:t xml:space="preserve">TIME BOX</w:t>
            </w:r>
          </w:p>
        </w:tc>
        <w:tc>
          <w:tcPr>
            <w:tcW w:type="dxa" w:w="2960"/>
            <w:tcBorders>
              <w:top w:val="single" w:color="CCCCCC" w:sz="1"/>
              <w:left w:val="single" w:color="CCCCCC" w:sz="1"/>
              <w:bottom w:val="single" w:color="CCCCCC" w:sz="1"/>
              <w:right w:val="single" w:color="CCCCCC" w:sz="1"/>
            </w:tcBorders>
            <w:shd w:fill="1E3A5F" w:val="clear"/>
            <w:vAlign w:val="center"/>
          </w:tcPr>
          <w:p>
            <w:pPr>
              <w:spacing w:before="60" w:after="60"/>
              <w:jc w:val="left"/>
            </w:pPr>
            <w:r>
              <w:rPr>
                <w:b/>
                <w:bCs/>
                <w:color w:val="FFFFFF"/>
                <w:sz w:val="22"/>
                <w:szCs w:val="22"/>
              </w:rPr>
              <w:t xml:space="preserve">VERIFICATION</w:t>
            </w:r>
          </w:p>
        </w:tc>
      </w:tr>
      <w:tr>
        <w:tc>
          <w:tcPr>
            <w:tcW w:type="dxa" w:w="1400"/>
            <w:tcBorders>
              <w:top w:val="single" w:color="CCCCCC" w:sz="1"/>
              <w:left w:val="single" w:color="CCCCCC" w:sz="1"/>
              <w:bottom w:val="single" w:color="CCCCCC" w:sz="1"/>
              <w:right w:val="single" w:color="CCCCCC" w:sz="1"/>
            </w:tcBorders>
            <w:vAlign w:val="center"/>
          </w:tcPr>
          <w:p>
            <w:pPr>
              <w:spacing w:before="60" w:after="60"/>
              <w:jc w:val="center"/>
            </w:pPr>
            <w:r>
              <w:rPr>
                <w:b/>
                <w:bCs/>
                <w:color w:val="000000"/>
                <w:sz w:val="20"/>
                <w:szCs w:val="20"/>
              </w:rPr>
              <w:t xml:space="preserve">T0</w:t>
            </w:r>
          </w:p>
        </w:tc>
        <w:tc>
          <w:tcPr>
            <w:tcW w:type="dxa" w:w="220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Simple data lookup</w:t>
            </w:r>
          </w:p>
        </w:tc>
        <w:tc>
          <w:tcPr>
            <w:tcW w:type="dxa" w:w="280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15–30 minutes</w:t>
            </w:r>
          </w:p>
        </w:tc>
        <w:tc>
          <w:tcPr>
            <w:tcW w:type="dxa" w:w="296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Self-verify via primary source</w:t>
            </w:r>
          </w:p>
        </w:tc>
      </w:tr>
      <w:tr>
        <w:tc>
          <w:tcPr>
            <w:tcW w:type="dxa" w:w="1400"/>
            <w:tcBorders>
              <w:top w:val="single" w:color="CCCCCC" w:sz="1"/>
              <w:left w:val="single" w:color="CCCCCC" w:sz="1"/>
              <w:bottom w:val="single" w:color="CCCCCC" w:sz="1"/>
              <w:right w:val="single" w:color="CCCCCC" w:sz="1"/>
            </w:tcBorders>
            <w:vAlign w:val="center"/>
          </w:tcPr>
          <w:p>
            <w:pPr>
              <w:spacing w:before="60" w:after="60"/>
              <w:jc w:val="center"/>
            </w:pPr>
            <w:r>
              <w:rPr>
                <w:b/>
                <w:bCs/>
                <w:color w:val="000000"/>
                <w:sz w:val="20"/>
                <w:szCs w:val="20"/>
              </w:rPr>
              <w:t xml:space="preserve">T1</w:t>
            </w:r>
          </w:p>
        </w:tc>
        <w:tc>
          <w:tcPr>
            <w:tcW w:type="dxa" w:w="220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Structured form completion</w:t>
            </w:r>
          </w:p>
        </w:tc>
        <w:tc>
          <w:tcPr>
            <w:tcW w:type="dxa" w:w="280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1–2 hours</w:t>
            </w:r>
          </w:p>
        </w:tc>
        <w:tc>
          <w:tcPr>
            <w:tcW w:type="dxa" w:w="296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Screenshot + checklist</w:t>
            </w:r>
          </w:p>
        </w:tc>
      </w:tr>
      <w:tr>
        <w:tc>
          <w:tcPr>
            <w:tcW w:type="dxa" w:w="1400"/>
            <w:tcBorders>
              <w:top w:val="single" w:color="CCCCCC" w:sz="1"/>
              <w:left w:val="single" w:color="CCCCCC" w:sz="1"/>
              <w:bottom w:val="single" w:color="CCCCCC" w:sz="1"/>
              <w:right w:val="single" w:color="CCCCCC" w:sz="1"/>
            </w:tcBorders>
            <w:vAlign w:val="center"/>
          </w:tcPr>
          <w:p>
            <w:pPr>
              <w:spacing w:before="60" w:after="60"/>
              <w:jc w:val="center"/>
            </w:pPr>
            <w:r>
              <w:rPr>
                <w:b/>
                <w:bCs/>
                <w:color w:val="000000"/>
                <w:sz w:val="20"/>
                <w:szCs w:val="20"/>
              </w:rPr>
              <w:t xml:space="preserve">T2</w:t>
            </w:r>
          </w:p>
        </w:tc>
        <w:tc>
          <w:tcPr>
            <w:tcW w:type="dxa" w:w="220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Research synthesis</w:t>
            </w:r>
          </w:p>
        </w:tc>
        <w:tc>
          <w:tcPr>
            <w:tcW w:type="dxa" w:w="280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2–4 hours</w:t>
            </w:r>
          </w:p>
        </w:tc>
        <w:tc>
          <w:tcPr>
            <w:tcW w:type="dxa" w:w="296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Source citations + summary</w:t>
            </w:r>
          </w:p>
        </w:tc>
      </w:tr>
      <w:tr>
        <w:tc>
          <w:tcPr>
            <w:tcW w:type="dxa" w:w="1400"/>
            <w:tcBorders>
              <w:top w:val="single" w:color="CCCCCC" w:sz="1"/>
              <w:left w:val="single" w:color="CCCCCC" w:sz="1"/>
              <w:bottom w:val="single" w:color="CCCCCC" w:sz="1"/>
              <w:right w:val="single" w:color="CCCCCC" w:sz="1"/>
            </w:tcBorders>
            <w:vAlign w:val="center"/>
          </w:tcPr>
          <w:p>
            <w:pPr>
              <w:spacing w:before="60" w:after="60"/>
              <w:jc w:val="center"/>
            </w:pPr>
            <w:r>
              <w:rPr>
                <w:b/>
                <w:bCs/>
                <w:color w:val="000000"/>
                <w:sz w:val="20"/>
                <w:szCs w:val="20"/>
              </w:rPr>
              <w:t xml:space="preserve">T3</w:t>
            </w:r>
          </w:p>
        </w:tc>
        <w:tc>
          <w:tcPr>
            <w:tcW w:type="dxa" w:w="220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Strategic analysis / draft</w:t>
            </w:r>
          </w:p>
        </w:tc>
        <w:tc>
          <w:tcPr>
            <w:tcW w:type="dxa" w:w="280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4–8 hours</w:t>
            </w:r>
          </w:p>
        </w:tc>
        <w:tc>
          <w:tcPr>
            <w:tcW w:type="dxa" w:w="296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CEO review required</w:t>
            </w:r>
          </w:p>
        </w:tc>
      </w:tr>
    </w:tbl>
    <w:p>
      <w:pPr>
        <w:pStyle w:val="Heading2"/>
      </w:pPr>
      <w:r>
        <w:t xml:space="preserve">The Golden Rule</w:t>
      </w:r>
    </w:p>
    <w:p>
      <w:pPr>
        <w:spacing w:after="200"/>
      </w:pPr>
      <w:r>
        <w:rPr>
          <w:b/>
          <w:bCs/>
        </w:rPr>
        <w:t xml:space="preserve">If a task cannot be completed within its time box, STOP and escalate.</w:t>
      </w:r>
      <w:r>
        <w:t xml:space="preserve"> Do not expand scope. Do not produce partial work. Document what blocked completion and surface the decision to the CEO.</w:t>
      </w:r>
    </w:p>
    <w:p>
      <w:pPr>
        <w:pStyle w:val="Heading1"/>
      </w:pPr>
      <w:r>
        <w:t xml:space="preserve">2. PHASE 1: IMMEDIATE APPLICATIONS (Week of Dec 23–27)</w:t>
      </w:r>
    </w:p>
    <w:p>
      <w:pPr>
        <w:spacing w:after="120"/>
      </w:pPr>
      <w:r>
        <w:t xml:space="preserve">Goal: Submit all high-confidence cloud credit applications for both SDA and SRS. These are "apply and receive" tiers requiring no strategic positioning.</w:t>
      </w:r>
    </w:p>
    <w:p>
      <w:pPr>
        <w:pStyle w:val="Heading2"/>
      </w:pPr>
      <w:r>
        <w:t xml:space="preserve">Task 1.1: AWS Activate Founders (T1)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Deliverable</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Two completed applications (SDA + SRS) with confirmation emails</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Time Box</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90 minutes total (45 min each)</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Inputs Needed</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Company websites, LinkedIn profiles, legal entity names, EIN numbers</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Expected Value</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$1,000 per company = $2,000 total</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Verification</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Screenshot of confirmation page + forwarded confirmation email</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Escalation Trigger</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If application requires information not available, STOP and list what's needed</w:t>
            </w:r>
          </w:p>
        </w:tc>
      </w:tr>
    </w:tbl>
    <w:p>
      <w:pPr>
        <w:pStyle w:val="Heading2"/>
      </w:pPr>
      <w:r>
        <w:t xml:space="preserve">Task 1.2: Google for Startups Cloud Program - Start Tier (T1)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Deliverable</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Two completed applications with confirmation</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Time Box</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90 minutes total</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Expected Value</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Up to $2,000 per company = $4,000 total</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Verification</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Screenshot + confirmation email</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Key Requirement</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Company must be &lt;5 years old — verify founding dates before applying</w:t>
            </w:r>
          </w:p>
        </w:tc>
      </w:tr>
    </w:tbl>
    <w:p>
      <w:pPr>
        <w:pStyle w:val="Heading2"/>
      </w:pPr>
      <w:r>
        <w:t xml:space="preserve">Task 1.3: Microsoft for Startups Founders Hub (T1)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Deliverable</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Two registered accounts with business email verification completed</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Time Box</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2 hours total (includes domain email setup if needed)</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Expected Value</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$1,000 base + $4,000 after verification = $5,000 per company = $10,000 total</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Verification</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Screenshot of dashboard showing credit allocation</w:t>
            </w:r>
          </w:p>
        </w:tc>
      </w:tr>
    </w:tbl>
    <w:p>
      <w:pPr>
        <w:pStyle w:val="Heading2"/>
      </w:pPr>
      <w:r>
        <w:t xml:space="preserve">Phase 1 Summary Checklist</w:t>
      </w:r>
    </w:p>
    <w:p>
      <w:pPr>
        <w:pStyle w:val="ListParagraph"/>
        <w:numPr>
          <w:ilvl w:val="0"/>
          <w:numId w:val="2"/>
        </w:numPr>
      </w:pPr>
      <w:r>
        <w:t xml:space="preserve">AWS Activate Founders — SDA: Applied [ ] Confirmed [ ]</w:t>
      </w:r>
    </w:p>
    <w:p>
      <w:pPr>
        <w:pStyle w:val="ListParagraph"/>
        <w:numPr>
          <w:ilvl w:val="0"/>
          <w:numId w:val="2"/>
        </w:numPr>
      </w:pPr>
      <w:r>
        <w:t xml:space="preserve">AWS Activate Founders — SRS: Applied [ ] Confirmed [ ]</w:t>
      </w:r>
    </w:p>
    <w:p>
      <w:pPr>
        <w:pStyle w:val="ListParagraph"/>
        <w:numPr>
          <w:ilvl w:val="0"/>
          <w:numId w:val="2"/>
        </w:numPr>
      </w:pPr>
      <w:r>
        <w:t xml:space="preserve">Google for Startups (Start) — SDA: Applied [ ] Confirmed [ ]</w:t>
      </w:r>
    </w:p>
    <w:p>
      <w:pPr>
        <w:pStyle w:val="ListParagraph"/>
        <w:numPr>
          <w:ilvl w:val="0"/>
          <w:numId w:val="2"/>
        </w:numPr>
      </w:pPr>
      <w:r>
        <w:t xml:space="preserve">Google for Startups (Start) — SRS: Applied [ ] Confirmed [ ]</w:t>
      </w:r>
    </w:p>
    <w:p>
      <w:pPr>
        <w:pStyle w:val="ListParagraph"/>
        <w:numPr>
          <w:ilvl w:val="0"/>
          <w:numId w:val="2"/>
        </w:numPr>
      </w:pPr>
      <w:r>
        <w:t xml:space="preserve">Microsoft Founders Hub — SDA: Registered [ ] Verified [ ] Credits Visible [ ]</w:t>
      </w:r>
    </w:p>
    <w:p>
      <w:pPr>
        <w:pStyle w:val="ListParagraph"/>
        <w:numPr>
          <w:ilvl w:val="0"/>
          <w:numId w:val="2"/>
        </w:numPr>
        <w:spacing w:after="200"/>
      </w:pPr>
      <w:r>
        <w:t xml:space="preserve">Microsoft Founders Hub — SRS: Registered [ ] Verified [ ] Credits Visible [ ]</w:t>
      </w:r>
    </w:p>
    <w:p>
      <w:r>
        <w:br w:type="page"/>
      </w:r>
    </w:p>
    <w:p>
      <w:pPr>
        <w:pStyle w:val="Heading1"/>
      </w:pPr>
      <w:r>
        <w:t xml:space="preserve">3. PHASE 2: GRANT RESEARCH (Week of Dec 30 – Jan 3)</w:t>
      </w:r>
    </w:p>
    <w:p>
      <w:pPr>
        <w:spacing w:after="120"/>
      </w:pPr>
      <w:r>
        <w:t xml:space="preserve">Goal: Build a qualified list of Arizona grants with clear eligibility assessment. The intern produces a decision-ready matrix, not raw research.</w:t>
      </w:r>
    </w:p>
    <w:p>
      <w:pPr>
        <w:pStyle w:val="Heading2"/>
      </w:pPr>
      <w:r>
        <w:t xml:space="preserve">Task 2.1: GrantWatch Arizona Triage (T2)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Deliverable</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Spreadsheet with 10–15 QUALIFIED grants only (not all 60+)</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Time Box</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3 hours</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Required Columns</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Grant Name | Amount | Deadline | SDA Eligible (Y/N/Maybe) | SRS Eligible (Y/N/Maybe) | Disqualifying Factor (if N) | Application URL</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Qualification Criteria</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For-profit eligible, amount &gt;$1,000, deadline in Q1 2026, not nonprofit-only</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Escalation Trigger</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If eligibility is ambiguous ("Maybe"), note the specific unclear requirement</w:t>
            </w:r>
          </w:p>
        </w:tc>
      </w:tr>
    </w:tbl>
    <w:p>
      <w:pPr>
        <w:pStyle w:val="Heading2"/>
      </w:pPr>
      <w:r>
        <w:t xml:space="preserve">Task 2.2: Arizona Innovation Challenge Eligibility Assessment (T2)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Deliverable</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One-page memo: "Can SDA/SRS apply to AIC?" with citations</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Time Box</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2 hours</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Required Sections</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(1) Eligibility requirements verbatim from ACA, (2) SDA assessment, (3) SRS assessment, (4) Gap analysis, (5) Recommendation</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Key Questions to Answer</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Does SDA meet 2-employee minimum? Does SRS qualify as "unique technology" or is it "professional services"? When is next application window?</w:t>
            </w:r>
          </w:p>
        </w:tc>
      </w:tr>
    </w:tbl>
    <w:p>
      <w:pPr>
        <w:pStyle w:val="Heading2"/>
      </w:pPr>
      <w:r>
        <w:t xml:space="preserve">Task 2.3: SBIR/STTR Viability Assessment (T2)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Deliverable</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One-page memo: "Should SDA pursue SBIR/STTR?"</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Time Box</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2 hours</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Required Research</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(1) Basic eligibility requirements, (2) Relevant agencies for AI/analytics, (3) Typical award amounts, (4) Application complexity assessment, (5) AZ FAST Grant alignment</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Decision Needed</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Is SBIR/STTR worth pursuing given current stage and resources? Binary recommendation with rationale.</w:t>
            </w:r>
          </w:p>
        </w:tc>
      </w:tr>
    </w:tbl>
    <w:p>
      <w:r>
        <w:br w:type="page"/>
      </w:r>
    </w:p>
    <w:p>
      <w:pPr>
        <w:pStyle w:val="Heading1"/>
      </w:pPr>
      <w:r>
        <w:t xml:space="preserve">4. PHASE 3: UPSIDE TIER PREPARATION (Week of Jan 6–10)</w:t>
      </w:r>
    </w:p>
    <w:p>
      <w:pPr>
        <w:spacing w:after="120"/>
      </w:pPr>
      <w:r>
        <w:t xml:space="preserve">Goal: Prepare materials for high-value conditional tiers. These require CEO review before submission.</w:t>
      </w:r>
    </w:p>
    <w:p>
      <w:pPr>
        <w:pStyle w:val="Heading2"/>
      </w:pPr>
      <w:r>
        <w:t xml:space="preserve">Task 3.1: Program Proof Sheet — SparkData Analytics (T3)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Deliverable</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One-page company overview formatted for cloud credit applications</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Time Box</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4 hours (draft) + CEO review + 1 hour (revisions)</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Required Elements</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Legal entity name, website, founding date, stage, cloud use case (2–3 sentences), architecture sketch (simple diagram), mission statement, target markets</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Positioning Guidance</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Frame as: "Evidence infrastructure for high-stakes decision-making." Emphasize auditability, compliance alignment, AI governance.</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CEO Review Gate</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DO NOT submit anywhere until CEO approves messaging</w:t>
            </w:r>
          </w:p>
        </w:tc>
      </w:tr>
    </w:tbl>
    <w:p>
      <w:pPr>
        <w:pStyle w:val="Heading2"/>
      </w:pPr>
      <w:r>
        <w:t xml:space="preserve">Task 3.2: Program Proof Sheet — Southwest Resume Services (T3)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Deliverable</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One-page company overview for cloud credit applications</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Time Box</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4 hours (draft) + CEO review + 1 hour (revisions)</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Positioning Decision</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CEO must choose: (A) Services framing — "AI-enhanced career services" OR (B) Product framing — "Workforce intelligence platform"</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Note</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If SDA is the "parent platform" story, SRS should be positioned as "vertical application built on SparkData infrastructure"</w:t>
            </w:r>
          </w:p>
        </w:tc>
      </w:tr>
    </w:tbl>
    <w:p>
      <w:pPr>
        <w:pStyle w:val="Heading2"/>
      </w:pPr>
      <w:r>
        <w:t xml:space="preserve">Task 3.3: Vercel Open Source Program Application (T1)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Deliverable</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Application submitted (if SDA has public/open-source project)</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Time Box</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1 hour</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Prerequisite Check</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Does SDA have ANY public GitHub repos? If no, escalate — may need to open-source a utility.</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Expected Value</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$3,600 in platform credits over 12 months</w:t>
            </w:r>
          </w:p>
        </w:tc>
      </w:tr>
      <w:tr>
        <w:tc>
          <w:tcPr>
            <w:tcW w:type="dxa" w:w="2340"/>
            <w:tcBorders>
              <w:top w:val="single" w:color="CCCCCC" w:sz="1"/>
              <w:left w:val="single" w:color="CCCCCC" w:sz="1"/>
              <w:bottom w:val="single" w:color="CCCCCC" w:sz="1"/>
              <w:right w:val="single" w:color="CCCCCC" w:sz="1"/>
            </w:tcBorders>
            <w:vAlign w:val="center"/>
          </w:tcPr>
          <w:p>
            <w:pPr>
              <w:spacing w:before="60" w:after="60"/>
              <w:jc w:val="left"/>
            </w:pPr>
            <w:r>
              <w:rPr>
                <w:b/>
                <w:bCs/>
                <w:color w:val="000000"/>
                <w:sz w:val="20"/>
                <w:szCs w:val="20"/>
              </w:rPr>
              <w:t xml:space="preserve">Window</w:t>
            </w:r>
          </w:p>
        </w:tc>
        <w:tc>
          <w:tcPr>
            <w:tcW w:type="dxa" w:w="7020"/>
            <w:tcBorders>
              <w:top w:val="single" w:color="CCCCCC" w:sz="1"/>
              <w:left w:val="single" w:color="CCCCCC" w:sz="1"/>
              <w:bottom w:val="single" w:color="CCCCCC" w:sz="1"/>
              <w:right w:val="single" w:color="CCCCCC" w:sz="1"/>
            </w:tcBorders>
            <w:vAlign w:val="center"/>
          </w:tcPr>
          <w:p>
            <w:pPr>
              <w:spacing w:before="60" w:after="60"/>
              <w:jc w:val="left"/>
            </w:pPr>
            <w:r>
              <w:rPr>
                <w:b w:val="false"/>
                <w:bCs w:val="false"/>
                <w:color w:val="000000"/>
                <w:sz w:val="20"/>
                <w:szCs w:val="20"/>
              </w:rPr>
              <w:t xml:space="preserve">Applications reopen January 2026</w:t>
            </w:r>
          </w:p>
        </w:tc>
      </w:tr>
    </w:tbl>
    <w:p>
      <w:r>
        <w:br w:type="page"/>
      </w:r>
    </w:p>
    <w:p>
      <w:pPr>
        <w:pStyle w:val="Heading1"/>
      </w:pPr>
      <w:r>
        <w:t xml:space="preserve">5. ANTI-PATTERNS: WHAT NOT TO DO</w:t>
      </w:r>
    </w:p>
    <w:p>
      <w:pPr>
        <w:spacing w:after="120"/>
      </w:pPr>
      <w:r>
        <w:t xml:space="preserve">These behaviors have historically produced "garbage noise" and must be avoided:</w:t>
      </w:r>
    </w:p>
    <w:p>
      <w:pPr>
        <w:pStyle w:val="Heading2"/>
      </w:pPr>
      <w:r>
        <w:t xml:space="preserve">❌ Scope Creep</w:t>
      </w:r>
    </w:p>
    <w:p>
      <w:pPr>
        <w:pStyle w:val="ListParagraph"/>
        <w:numPr>
          <w:ilvl w:val="0"/>
          <w:numId w:val="3"/>
        </w:numPr>
      </w:pPr>
      <w:r>
        <w:t xml:space="preserve">"I found 47 additional programs and researched them all" — You were asked for 10–15 qualified ones.</w:t>
      </w:r>
    </w:p>
    <w:p>
      <w:pPr>
        <w:pStyle w:val="ListParagraph"/>
        <w:numPr>
          <w:ilvl w:val="0"/>
          <w:numId w:val="3"/>
        </w:numPr>
      </w:pPr>
      <w:r>
        <w:t xml:space="preserve">"I also looked into federal programs" — Stay within the defined scope unless escalating.</w:t>
      </w:r>
    </w:p>
    <w:p>
      <w:pPr>
        <w:pStyle w:val="ListParagraph"/>
        <w:numPr>
          <w:ilvl w:val="0"/>
          <w:numId w:val="3"/>
        </w:numPr>
        <w:spacing w:after="120"/>
      </w:pPr>
      <w:r>
        <w:t xml:space="preserve">"I'm still working on it, need more time" — Time boxes exist for a reason. Escalate blockers.</w:t>
      </w:r>
    </w:p>
    <w:p>
      <w:pPr>
        <w:pStyle w:val="Heading2"/>
      </w:pPr>
      <w:r>
        <w:t xml:space="preserve">❌ Unverified Claims</w:t>
      </w:r>
    </w:p>
    <w:p>
      <w:pPr>
        <w:pStyle w:val="ListParagraph"/>
        <w:numPr>
          <w:ilvl w:val="0"/>
          <w:numId w:val="3"/>
        </w:numPr>
      </w:pPr>
      <w:r>
        <w:t xml:space="preserve">"This grant offers up to $250K" — Where does that number come from? Cite the source.</w:t>
      </w:r>
    </w:p>
    <w:p>
      <w:pPr>
        <w:pStyle w:val="ListParagraph"/>
        <w:numPr>
          <w:ilvl w:val="0"/>
          <w:numId w:val="3"/>
        </w:numPr>
      </w:pPr>
      <w:r>
        <w:t xml:space="preserve">"SDA should be eligible" — Based on what? Quote the eligibility requirements.</w:t>
      </w:r>
    </w:p>
    <w:p>
      <w:pPr>
        <w:pStyle w:val="ListParagraph"/>
        <w:numPr>
          <w:ilvl w:val="0"/>
          <w:numId w:val="3"/>
        </w:numPr>
        <w:spacing w:after="120"/>
      </w:pPr>
      <w:r>
        <w:t xml:space="preserve">"The deadline is soon" — Provide the actual date with source URL.</w:t>
      </w:r>
    </w:p>
    <w:p>
      <w:pPr>
        <w:pStyle w:val="Heading2"/>
      </w:pPr>
      <w:r>
        <w:t xml:space="preserve">❌ Analysis Paralysis</w:t>
      </w:r>
    </w:p>
    <w:p>
      <w:pPr>
        <w:pStyle w:val="ListParagraph"/>
        <w:numPr>
          <w:ilvl w:val="0"/>
          <w:numId w:val="3"/>
        </w:numPr>
      </w:pPr>
      <w:r>
        <w:t xml:space="preserve">"I'm still reading the requirements" after 4 hours — Summarize what you've learned and ask for help.</w:t>
      </w:r>
    </w:p>
    <w:p>
      <w:pPr>
        <w:pStyle w:val="ListParagraph"/>
        <w:numPr>
          <w:ilvl w:val="0"/>
          <w:numId w:val="3"/>
        </w:numPr>
      </w:pPr>
      <w:r>
        <w:t xml:space="preserve">"I want to make sure it's perfect" — Good enough now beats perfect never.</w:t>
      </w:r>
    </w:p>
    <w:p>
      <w:pPr>
        <w:pStyle w:val="ListParagraph"/>
        <w:numPr>
          <w:ilvl w:val="0"/>
          <w:numId w:val="3"/>
        </w:numPr>
        <w:spacing w:after="200"/>
      </w:pPr>
      <w:r>
        <w:t xml:space="preserve">"I didn't want to bother you" — Escalation is part of your job, not a burden.</w:t>
      </w:r>
    </w:p>
    <w:p>
      <w:pPr>
        <w:pStyle w:val="Heading1"/>
      </w:pPr>
      <w:r>
        <w:t xml:space="preserve">6. ESCALATION PROTOCOL</w:t>
      </w:r>
    </w:p>
    <w:p>
      <w:pPr>
        <w:spacing w:after="120"/>
      </w:pPr>
      <w:r>
        <w:t xml:space="preserve">When to escalate to the CEO:</w:t>
      </w:r>
    </w:p>
    <w:p>
      <w:pPr>
        <w:pStyle w:val="ListParagraph"/>
        <w:numPr>
          <w:ilvl w:val="0"/>
          <w:numId w:val="4"/>
        </w:numPr>
      </w:pPr>
      <w:r>
        <w:rPr>
          <w:b/>
          <w:bCs/>
        </w:rPr>
        <w:t xml:space="preserve">Time box exceeded: </w:t>
      </w:r>
      <w:r>
        <w:t xml:space="preserve">You've hit the time limit and the task isn't complete. Document what blocked you.</w:t>
      </w:r>
    </w:p>
    <w:p>
      <w:pPr>
        <w:pStyle w:val="ListParagraph"/>
        <w:numPr>
          <w:ilvl w:val="0"/>
          <w:numId w:val="4"/>
        </w:numPr>
      </w:pPr>
      <w:r>
        <w:rPr>
          <w:b/>
          <w:bCs/>
        </w:rPr>
        <w:t xml:space="preserve">Missing information: </w:t>
      </w:r>
      <w:r>
        <w:t xml:space="preserve">Application requires data you don't have (EIN, founding documents, etc.).</w:t>
      </w:r>
    </w:p>
    <w:p>
      <w:pPr>
        <w:pStyle w:val="ListParagraph"/>
        <w:numPr>
          <w:ilvl w:val="0"/>
          <w:numId w:val="4"/>
        </w:numPr>
      </w:pPr>
      <w:r>
        <w:rPr>
          <w:b/>
          <w:bCs/>
        </w:rPr>
        <w:t xml:space="preserve">Eligibility ambiguity: </w:t>
      </w:r>
      <w:r>
        <w:t xml:space="preserve">Requirements are unclear and you can't determine if SDA/SRS qualifies.</w:t>
      </w:r>
    </w:p>
    <w:p>
      <w:pPr>
        <w:pStyle w:val="ListParagraph"/>
        <w:numPr>
          <w:ilvl w:val="0"/>
          <w:numId w:val="4"/>
        </w:numPr>
      </w:pPr>
      <w:r>
        <w:rPr>
          <w:b/>
          <w:bCs/>
        </w:rPr>
        <w:t xml:space="preserve">Strategic decision required: </w:t>
      </w:r>
      <w:r>
        <w:t xml:space="preserve">Choice between positioning options, or whether to pursue a path at all.</w:t>
      </w:r>
    </w:p>
    <w:p>
      <w:pPr>
        <w:pStyle w:val="ListParagraph"/>
        <w:numPr>
          <w:ilvl w:val="0"/>
          <w:numId w:val="4"/>
        </w:numPr>
        <w:spacing w:after="120"/>
      </w:pPr>
      <w:r>
        <w:rPr>
          <w:b/>
          <w:bCs/>
        </w:rPr>
        <w:t xml:space="preserve">Application error: </w:t>
      </w:r>
      <w:r>
        <w:t xml:space="preserve">System rejected submission or returned unexpected error.</w:t>
      </w:r>
    </w:p>
    <w:p>
      <w:pPr>
        <w:spacing w:after="200"/>
      </w:pPr>
      <w:r>
        <w:rPr>
          <w:b/>
          <w:bCs/>
        </w:rPr>
        <w:t xml:space="preserve">Escalation format: </w:t>
      </w:r>
      <w:r>
        <w:t xml:space="preserve">Slack message with: (1) Task ID, (2) What you were trying to do, (3) What blocked you, (4) Your recommended path forward (even if uncertain).</w:t>
      </w:r>
    </w:p>
    <w:p>
      <w:pPr>
        <w:pStyle w:val="Heading1"/>
      </w:pPr>
      <w:r>
        <w:t xml:space="preserve">7. DAILY CHECK-IN STRUCTURE</w:t>
      </w:r>
    </w:p>
    <w:p>
      <w:pPr>
        <w:spacing w:after="120"/>
      </w:pPr>
      <w:r>
        <w:t xml:space="preserve">End-of-day Slack update (required, max 5 minutes to write):</w:t>
      </w:r>
    </w:p>
    <w:p>
      <w:pPr>
        <w:pStyle w:val="ListParagraph"/>
        <w:numPr>
          <w:ilvl w:val="0"/>
          <w:numId w:val="5"/>
        </w:numPr>
      </w:pPr>
      <w:r>
        <w:rPr>
          <w:b/>
          <w:bCs/>
        </w:rPr>
        <w:t xml:space="preserve">Completed: </w:t>
      </w:r>
      <w:r>
        <w:t xml:space="preserve">List task IDs that are done with verification artifacts.</w:t>
      </w:r>
    </w:p>
    <w:p>
      <w:pPr>
        <w:pStyle w:val="ListParagraph"/>
        <w:numPr>
          <w:ilvl w:val="0"/>
          <w:numId w:val="5"/>
        </w:numPr>
      </w:pPr>
      <w:r>
        <w:rPr>
          <w:b/>
          <w:bCs/>
        </w:rPr>
        <w:t xml:space="preserve">In Progress: </w:t>
      </w:r>
      <w:r>
        <w:t xml:space="preserve">What you're working on, expected completion time.</w:t>
      </w:r>
    </w:p>
    <w:p>
      <w:pPr>
        <w:pStyle w:val="ListParagraph"/>
        <w:numPr>
          <w:ilvl w:val="0"/>
          <w:numId w:val="5"/>
        </w:numPr>
      </w:pPr>
      <w:r>
        <w:rPr>
          <w:b/>
          <w:bCs/>
        </w:rPr>
        <w:t xml:space="preserve">Blocked: </w:t>
      </w:r>
      <w:r>
        <w:t xml:space="preserve">Any escalations pending CEO decision.</w:t>
      </w:r>
    </w:p>
    <w:p>
      <w:pPr>
        <w:pStyle w:val="ListParagraph"/>
        <w:numPr>
          <w:ilvl w:val="0"/>
          <w:numId w:val="5"/>
        </w:numPr>
        <w:spacing w:after="200"/>
      </w:pPr>
      <w:r>
        <w:rPr>
          <w:b/>
          <w:bCs/>
        </w:rPr>
        <w:t xml:space="preserve">Tomorrow: </w:t>
      </w:r>
      <w:r>
        <w:t xml:space="preserve">What you'll work on next.</w:t>
      </w:r>
    </w:p>
    <w:p>
      <w:pPr>
        <w:pStyle w:val="Heading1"/>
      </w:pPr>
      <w:r>
        <w:t xml:space="preserve">8. EXECUTIVE DECISION POINTS (CEO-ONLY)</w:t>
      </w:r>
    </w:p>
    <w:p>
      <w:pPr>
        <w:spacing w:after="120"/>
      </w:pPr>
      <w:r>
        <w:t xml:space="preserve">Decisions only the CEO can make (intern surfaces information, CEO decides):</w:t>
      </w:r>
    </w:p>
    <w:p>
      <w:pPr>
        <w:pStyle w:val="ListParagraph"/>
        <w:numPr>
          <w:ilvl w:val="0"/>
          <w:numId w:val="3"/>
        </w:numPr>
      </w:pPr>
      <w:r>
        <w:rPr>
          <w:b/>
          <w:bCs/>
        </w:rPr>
        <w:t xml:space="preserve">SparkData C-Corp conversion timeline: </w:t>
      </w:r>
      <w:r>
        <w:t xml:space="preserve">When to complete restructuring, affects eligibility for some programs.</w:t>
      </w:r>
    </w:p>
    <w:p>
      <w:pPr>
        <w:pStyle w:val="ListParagraph"/>
        <w:numPr>
          <w:ilvl w:val="0"/>
          <w:numId w:val="3"/>
        </w:numPr>
      </w:pPr>
      <w:r>
        <w:rPr>
          <w:b/>
          <w:bCs/>
        </w:rPr>
        <w:t xml:space="preserve">SRS positioning strategy: </w:t>
      </w:r>
      <w:r>
        <w:t xml:space="preserve">Services company vs. product company framing.</w:t>
      </w:r>
    </w:p>
    <w:p>
      <w:pPr>
        <w:pStyle w:val="ListParagraph"/>
        <w:numPr>
          <w:ilvl w:val="0"/>
          <w:numId w:val="3"/>
        </w:numPr>
      </w:pPr>
      <w:r>
        <w:rPr>
          <w:b/>
          <w:bCs/>
        </w:rPr>
        <w:t xml:space="preserve">SBIR/STTR pursuit: </w:t>
      </w:r>
      <w:r>
        <w:t xml:space="preserve">Whether to invest time in federal grant applications.</w:t>
      </w:r>
    </w:p>
    <w:p>
      <w:pPr>
        <w:pStyle w:val="ListParagraph"/>
        <w:numPr>
          <w:ilvl w:val="0"/>
          <w:numId w:val="3"/>
        </w:numPr>
      </w:pPr>
      <w:r>
        <w:rPr>
          <w:b/>
          <w:bCs/>
        </w:rPr>
        <w:t xml:space="preserve">Accelerator/partner affiliation: </w:t>
      </w:r>
      <w:r>
        <w:t xml:space="preserve">Whether to seek accelerator membership to unlock Portfolio tiers.</w:t>
      </w:r>
    </w:p>
    <w:p>
      <w:pPr>
        <w:pStyle w:val="ListParagraph"/>
        <w:numPr>
          <w:ilvl w:val="0"/>
          <w:numId w:val="3"/>
        </w:numPr>
      </w:pPr>
      <w:r>
        <w:rPr>
          <w:b/>
          <w:bCs/>
        </w:rPr>
        <w:t xml:space="preserve">Open-source strategy: </w:t>
      </w:r>
      <w:r>
        <w:t xml:space="preserve">Whether to release any SDA code publicly to qualify for OSS programs.</w:t>
      </w:r>
    </w:p>
    <w:p>
      <w:pPr>
        <w:pStyle w:val="ListParagraph"/>
        <w:numPr>
          <w:ilvl w:val="0"/>
          <w:numId w:val="3"/>
        </w:numPr>
        <w:spacing w:after="200"/>
      </w:pPr>
      <w:r>
        <w:rPr>
          <w:b/>
          <w:bCs/>
        </w:rPr>
        <w:t xml:space="preserve">Employee count strategy: </w:t>
      </w:r>
      <w:r>
        <w:t xml:space="preserve">Whether/when to meet 2-employee minimum for AIC eligibility.</w:t>
      </w:r>
    </w:p>
    <w:p>
      <w:pPr>
        <w:spacing w:before="300"/>
        <w:jc w:val="center"/>
      </w:pPr>
      <w:r>
        <w:rPr>
          <w:color w:val="666666"/>
          <w:sz w:val="20"/>
          <w:szCs w:val="20"/>
        </w:rPr>
        <w:t xml:space="preserve">— END OF DOCUMENT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INTERNAL — CONFIDENTIAL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SPARKDATA ANALYTICS — INTERN TASK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E3A5F"/>
      <w:sz w:val="48"/>
      <w:szCs w:val="48"/>
    </w:rPr>
  </w:style>
  <w:style w:type="paragraph" w:styleId="Heading1">
    <w:name w:val="Heading 1"/>
    <w:basedOn w:val="Normal"/>
    <w:next w:val="Normal"/>
    <w:qFormat/>
    <w:pPr>
      <w:spacing w:before="300" w:after="15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A8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E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2025-12-23T07:33:00.216Z</dcterms:created>
  <dcterms:modified xsi:type="dcterms:W3CDTF">2025-12-23T07:33:00.217Z</dcterms:modified>
</cp:coreProperties>
</file>

<file path=docProps/custom.xml><?xml version="1.0" encoding="utf-8"?>
<Properties xmlns="http://schemas.openxmlformats.org/officeDocument/2006/custom-properties" xmlns:vt="http://schemas.openxmlformats.org/officeDocument/2006/docPropsVTypes"/>
</file>