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STRATEGIC ENTITY RESTRUCTURING</w:t>
      </w:r>
    </w:p>
    <w:p>
      <w:pPr>
        <w:jc w:val="center"/>
      </w:pPr>
      <w:r>
        <w:rPr>
          <w:b/>
          <w:bCs/>
          <w:color w:val="D4AF37"/>
          <w:sz w:val="36"/>
          <w:szCs w:val="36"/>
        </w:rPr>
        <w:t xml:space="preserve">&amp;</w:t>
      </w:r>
    </w:p>
    <w:p>
      <w:pPr>
        <w:spacing w:after="360"/>
        <w:jc w:val="center"/>
      </w:pPr>
      <w:r>
        <w:rPr>
          <w:rFonts w:ascii="Segoe UI Light" w:cs="Segoe UI Light" w:eastAsia="Segoe UI Light" w:hAnsi="Segoe UI Light"/>
          <w:caps/>
          <w:color w:val="003366"/>
          <w:sz w:val="48"/>
          <w:szCs w:val="48"/>
        </w:rPr>
        <w:t xml:space="preserve">OBBBA MAXIMIZATION MEMORANDUM</w:t>
      </w:r>
    </w:p>
    <w:p>
      <w:pPr>
        <w:pStyle w:val="Subtitle"/>
      </w:pPr>
      <w:r>
        <w:t xml:space="preserve">Parent-Subsidiary Architecture for Maximum Tax Optimization</w:t>
      </w:r>
    </w:p>
    <w:p>
      <w:pPr>
        <w:spacing w:before="240" w:after="240"/>
        <w:jc w:val="center"/>
      </w:pPr>
      <w:r>
        <w:rPr>
          <w:color w:val="D4AF37"/>
          <w:sz w:val="16"/>
          <w:szCs w:val="16"/>
        </w:rPr>
        <w:t xml:space="preserve">━━━━━━━━━━━━━━━━━━━━━━━━━━━━━━</w:t>
      </w:r>
    </w:p>
    <w:tbl>
      <w:tblPr>
        <w:tblW w:type="auto" w:w="100"/>
        <w:tblBorders>
          <w:top w:val="none"/>
          <w:left w:val="none"/>
          <w:bottom w:val="none"/>
          <w:right w:val="none"/>
          <w:insideH w:val="none"/>
          <w:insideV w:val="none"/>
        </w:tblBorders>
        <w:tblCellMar>
          <w:top w:type="dxa" w:w="120"/>
          <w:left w:type="dxa" w:w="240"/>
          <w:bottom w:type="dxa" w:w="120"/>
          <w:right w:type="dxa" w:w="240"/>
        </w:tblCellMar>
      </w:tblPr>
      <w:tblGrid>
        <w:gridCol w:w="2340"/>
        <w:gridCol w:w="7020"/>
      </w:tblGrid>
      <w:tr>
        <w:tc>
          <w:tcPr>
            <w:tcW w:type="dxa" w:w="2340"/>
            <w:shd w:fill="003366" w:val="clear"/>
            <w:tcMar>
              <w:top w:type="dxa" w:w="120"/>
              <w:left w:type="dxa" w:w="180"/>
              <w:bottom w:type="dxa" w:w="120"/>
              <w:right w:type="dxa" w:w="180"/>
            </w:tcMar>
          </w:tcPr>
          <w:p>
            <w:pPr>
              <w:jc w:val="right"/>
            </w:pPr>
            <w:r>
              <w:rPr>
                <w:b/>
                <w:bCs/>
                <w:color w:val="FFFFFF"/>
                <w:sz w:val="20"/>
                <w:szCs w:val="20"/>
              </w:rPr>
              <w:t xml:space="preserve">PREPARED FOR</w:t>
            </w:r>
          </w:p>
        </w:tc>
        <w:tc>
          <w:tcPr>
            <w:tcW w:type="dxa" w:w="7020"/>
            <w:shd w:fill="ECEFF1" w:val="clear"/>
            <w:tcMar>
              <w:top w:type="dxa" w:w="120"/>
              <w:left w:type="dxa" w:w="180"/>
              <w:bottom w:type="dxa" w:w="120"/>
              <w:right w:type="dxa" w:w="180"/>
            </w:tcMar>
          </w:tcPr>
          <w:p>
            <w:r>
              <w:rPr>
                <w:b/>
                <w:bCs/>
                <w:color w:val="2C3E50"/>
                <w:sz w:val="24"/>
                <w:szCs w:val="24"/>
              </w:rPr>
              <w:t xml:space="preserve">Ryan Zimmerman, Founder</w:t>
            </w:r>
          </w:p>
        </w:tc>
      </w:tr>
      <w:tr>
        <w:tc>
          <w:tcPr>
            <w:tcW w:type="dxa" w:w="2340"/>
            <w:shd w:fill="003366" w:val="clear"/>
            <w:tcMar>
              <w:top w:type="dxa" w:w="120"/>
              <w:left w:type="dxa" w:w="180"/>
              <w:bottom w:type="dxa" w:w="120"/>
              <w:right w:type="dxa" w:w="180"/>
            </w:tcMar>
          </w:tcPr>
          <w:p>
            <w:pPr>
              <w:jc w:val="right"/>
            </w:pPr>
            <w:r>
              <w:rPr>
                <w:b/>
                <w:bCs/>
                <w:color w:val="FFFFFF"/>
                <w:sz w:val="20"/>
                <w:szCs w:val="20"/>
              </w:rPr>
              <w:t xml:space="preserve">ENTITIES</w:t>
            </w:r>
          </w:p>
        </w:tc>
        <w:tc>
          <w:tcPr>
            <w:tcW w:type="dxa" w:w="7020"/>
            <w:shd w:fill="ECEFF1" w:val="clear"/>
            <w:tcMar>
              <w:top w:type="dxa" w:w="120"/>
              <w:left w:type="dxa" w:w="180"/>
              <w:bottom w:type="dxa" w:w="120"/>
              <w:right w:type="dxa" w:w="180"/>
            </w:tcMar>
          </w:tcPr>
          <w:p>
            <w:r>
              <w:rPr>
                <w:b/>
                <w:bCs/>
                <w:color w:val="2C3E50"/>
                <w:sz w:val="24"/>
                <w:szCs w:val="24"/>
              </w:rPr>
              <w:t xml:space="preserve">Southwest Resume Services, LLC &amp; SparkData Analytics, Inc.</w:t>
            </w:r>
          </w:p>
        </w:tc>
      </w:tr>
      <w:tr>
        <w:tc>
          <w:tcPr>
            <w:tcW w:type="dxa" w:w="2340"/>
            <w:shd w:fill="003366" w:val="clear"/>
            <w:tcMar>
              <w:top w:type="dxa" w:w="120"/>
              <w:left w:type="dxa" w:w="180"/>
              <w:bottom w:type="dxa" w:w="120"/>
              <w:right w:type="dxa" w:w="180"/>
            </w:tcMar>
          </w:tcPr>
          <w:p>
            <w:pPr>
              <w:jc w:val="right"/>
            </w:pPr>
            <w:r>
              <w:rPr>
                <w:b/>
                <w:bCs/>
                <w:color w:val="FFFFFF"/>
                <w:sz w:val="20"/>
                <w:szCs w:val="20"/>
              </w:rPr>
              <w:t xml:space="preserve">DATE</w:t>
            </w:r>
          </w:p>
        </w:tc>
        <w:tc>
          <w:tcPr>
            <w:tcW w:type="dxa" w:w="7020"/>
            <w:shd w:fill="ECEFF1" w:val="clear"/>
            <w:tcMar>
              <w:top w:type="dxa" w:w="120"/>
              <w:left w:type="dxa" w:w="180"/>
              <w:bottom w:type="dxa" w:w="120"/>
              <w:right w:type="dxa" w:w="180"/>
            </w:tcMar>
          </w:tcPr>
          <w:p>
            <w:r>
              <w:rPr>
                <w:b/>
                <w:bCs/>
                <w:color w:val="2C3E50"/>
                <w:sz w:val="24"/>
                <w:szCs w:val="24"/>
              </w:rPr>
              <w:t xml:space="preserve">November 6, 2025</w:t>
            </w:r>
          </w:p>
        </w:tc>
      </w:tr>
      <w:tr>
        <w:tc>
          <w:tcPr>
            <w:tcW w:type="dxa" w:w="2340"/>
            <w:shd w:fill="E74C3C" w:val="clear"/>
            <w:tcMar>
              <w:top w:type="dxa" w:w="120"/>
              <w:left w:type="dxa" w:w="180"/>
              <w:bottom w:type="dxa" w:w="120"/>
              <w:right w:type="dxa" w:w="180"/>
            </w:tcMar>
          </w:tcPr>
          <w:p>
            <w:pPr>
              <w:jc w:val="right"/>
            </w:pPr>
            <w:r>
              <w:rPr>
                <w:b/>
                <w:bCs/>
                <w:color w:val="FFFFFF"/>
                <w:sz w:val="20"/>
                <w:szCs w:val="20"/>
              </w:rPr>
              <w:t xml:space="preserve">CLASSIFICATION</w:t>
            </w:r>
          </w:p>
        </w:tc>
        <w:tc>
          <w:tcPr>
            <w:tcW w:type="dxa" w:w="7020"/>
            <w:shd w:fill="FFEBEE" w:val="clear"/>
            <w:tcMar>
              <w:top w:type="dxa" w:w="120"/>
              <w:left w:type="dxa" w:w="180"/>
              <w:bottom w:type="dxa" w:w="120"/>
              <w:right w:type="dxa" w:w="180"/>
            </w:tcMar>
          </w:tcPr>
          <w:p>
            <w:r>
              <w:rPr>
                <w:b/>
                <w:bCs/>
                <w:i/>
                <w:iCs/>
                <w:color w:val="E74C3C"/>
                <w:sz w:val="24"/>
                <w:szCs w:val="24"/>
              </w:rPr>
              <w:t xml:space="preserve">Confidential Strategic Planning Document</w:t>
            </w:r>
          </w:p>
        </w:tc>
      </w:tr>
    </w:tbl>
    <w:p>
      <w:r>
        <w:br w:type="page"/>
      </w:r>
    </w:p>
    <w:p>
      <w:pPr>
        <w:pStyle w:val="ExecutiveSummary"/>
      </w:pPr>
      <w:r>
        <w:t xml:space="preserve">   EXECUTIVE DECISION SUMMARY</w:t>
      </w:r>
    </w:p>
    <w:p>
      <w:pPr>
        <w:spacing w:after="240"/>
      </w:pPr>
      <w:r>
        <w:t xml:space="preserve">After comprehensive financial analysis and strategic evaluation, the Company has determined that maintaining Southwest Resume Services, LLC as an ongoing, wholly-owned subsidiary while forming SparkData Analytics, Inc. as a parent C-Corporation represents the optimal structure for maximizing tax benefits under the One Big Beautiful Bill Act (OBBBA) while preserving substantial business value.</w:t>
      </w:r>
    </w:p>
    <w:p>
      <w:pPr>
        <w:spacing w:after="360"/>
      </w:pPr>
      <w:r>
        <w:t xml:space="preserve">This memorandum documents the strategic decision, financial rationale, and a complete implementation framework for this dual-entity structure.</w:t>
      </w:r>
    </w:p>
    <w:p>
      <w:pPr>
        <w:pStyle w:val="KeyPoint"/>
      </w:pPr>
      <w:r>
        <w:t xml:space="preserve">Strategic Decision: The Company will implement a Parent-Subsidiary Structure.</w:t>
      </w:r>
    </w:p>
    <w:p>
      <w:pPr>
        <w:pStyle w:val="PhaseHeader"/>
      </w:pPr>
      <w:r>
        <w:t xml:space="preserve">Phase One (November 2025 - Q1 2026)</w:t>
      </w:r>
    </w:p>
    <w:p>
      <w:pPr>
        <w:spacing w:after="240"/>
        <w:ind w:left="360"/>
      </w:pPr>
      <w:r>
        <w:t xml:space="preserve">Formation of SparkData Analytics, Inc. as a Delaware C-Corporation with immediate issuance of founder stock to commence the Qualified Small Business Stock (QSBS) holding period.</w:t>
      </w:r>
    </w:p>
    <w:p>
      <w:pPr>
        <w:pStyle w:val="PhaseHeader"/>
      </w:pPr>
      <w:r>
        <w:t xml:space="preserve">Phase Two (Contemporaneous)</w:t>
      </w:r>
    </w:p>
    <w:p>
      <w:pPr>
        <w:spacing w:after="240"/>
        <w:ind w:left="360"/>
      </w:pPr>
      <w:r>
        <w:t xml:space="preserve">Southwest Resume Services, LLC will transfer its Intellectual Property (IP) and assets to SparkData Analytics, Inc. via a Section 351 contribution, in exchange for which SparkData, Inc. will acquire 100% ownership of Southwest Resume Services, LLC.</w:t>
      </w:r>
    </w:p>
    <w:p>
      <w:pPr>
        <w:pStyle w:val="PhaseHeader"/>
      </w:pPr>
      <w:r>
        <w:t xml:space="preserve">Phase Three (Ongoing)</w:t>
      </w:r>
    </w:p>
    <w:p>
      <w:pPr>
        <w:spacing w:after="360"/>
        <w:ind w:left="360"/>
      </w:pPr>
      <w:r>
        <w:t xml:space="preserve">Southwest Resume Services, LLC continues operations as a separate legal entity and brand, but as a wholly-owned (and likely "disregarded" for tax purposes) subsidiary of SparkData Analytics, Inc.</w:t>
      </w:r>
    </w:p>
    <w:p>
      <w:pPr>
        <w:pStyle w:val="FinancialHighlight"/>
      </w:pPr>
      <w:r>
        <w:t xml:space="preserve">Financial Justification</w:t>
      </w:r>
    </w:p>
    <w:p>
      <w:pPr>
        <w:spacing w:after="180"/>
        <w:jc w:val="center"/>
      </w:pPr>
      <w:r>
        <w:rPr>
          <w:sz w:val="26"/>
          <w:szCs w:val="26"/>
        </w:rPr>
        <w:t xml:space="preserve">This structure preserves an estimated over </w:t>
      </w:r>
      <w:r>
        <w:rPr>
          <w:b/>
          <w:bCs/>
          <w:color w:val="27AE60"/>
          <w:sz w:val="32"/>
          <w:szCs w:val="32"/>
        </w:rPr>
        <w:t xml:space="preserve">$1,400,000</w:t>
      </w:r>
      <w:r>
        <w:rPr>
          <w:sz w:val="26"/>
          <w:szCs w:val="26"/>
        </w:rPr>
        <w:t xml:space="preserve"> in combined tax benefits and business value</w:t>
      </w:r>
    </w:p>
    <w:p>
      <w:pPr>
        <w:spacing w:after="240"/>
        <w:jc w:val="center"/>
      </w:pPr>
      <w:r>
        <w:rPr>
          <w:i/>
          <w:iCs/>
          <w:color w:val="546E7A"/>
          <w:sz w:val="22"/>
          <w:szCs w:val="22"/>
        </w:rPr>
        <w:t xml:space="preserve">(based on 5-year projections)</w:t>
      </w:r>
    </w:p>
    <w:p>
      <w:pPr>
        <w:spacing w:after="360"/>
        <w:jc w:val="center"/>
      </w:pPr>
      <w:r>
        <w:rPr>
          <w:sz w:val="26"/>
          <w:szCs w:val="26"/>
        </w:rPr>
        <w:t xml:space="preserve">Return on Investment: </w:t>
      </w:r>
      <w:r>
        <w:rPr>
          <w:b/>
          <w:bCs/>
          <w:color w:val="27AE60"/>
          <w:sz w:val="36"/>
          <w:szCs w:val="36"/>
        </w:rPr>
        <w:t xml:space="preserve">5,510%</w:t>
      </w:r>
    </w:p>
    <w:p>
      <w:r>
        <w:br w:type="page"/>
      </w:r>
    </w:p>
    <w:p>
      <w:pPr>
        <w:pStyle w:val="Heading1"/>
      </w:pPr>
      <w:r>
        <w:t xml:space="preserve">PART I. STRATEGIC RATIONALE &amp; FINANCIAL ANALYSIS</w:t>
      </w:r>
    </w:p>
    <w:p>
      <w:pPr>
        <w:pStyle w:val="Heading2"/>
      </w:pPr>
      <w:r>
        <w:t xml:space="preserve">The Tax Optimization Cascade Architecture</w:t>
      </w:r>
    </w:p>
    <w:p>
      <w:pPr>
        <w:spacing w:after="360"/>
      </w:pPr>
      <w:r>
        <w:t xml:space="preserve">The dual-entity structure creates what we term a "tax optimization cascade"—a multi-level system where tax benefits flow through different organizational levels, being captured and maximized at each stage rather than lost through premature consolidation or dissolution.</w:t>
      </w:r>
    </w:p>
    <w:tbl>
      <w:tblPr>
        <w:tblW w:type="auto" w:w="100"/>
        <w:tblBorders>
          <w:top w:val="none"/>
          <w:left w:val="none"/>
          <w:bottom w:val="none"/>
          <w:right w:val="none"/>
          <w:insideH w:val="none"/>
          <w:insideV w:val="none"/>
        </w:tblBorders>
        <w:tblCellMar>
          <w:top w:type="dxa" w:w="100"/>
          <w:left w:type="dxa" w:w="180"/>
          <w:bottom w:type="dxa" w:w="100"/>
          <w:right w:type="dxa" w:w="180"/>
        </w:tblCellMar>
      </w:tblPr>
      <w:tblGrid>
        <w:gridCol w:w="720"/>
        <w:gridCol w:w="8640"/>
      </w:tblGrid>
      <w:tr>
        <w:tc>
          <w:tcPr>
            <w:tcW w:type="dxa" w:w="720"/>
            <w:shd w:fill="D4AF37" w:val="clear"/>
            <w:vAlign w:val="center"/>
          </w:tcPr>
          <w:p>
            <w:pPr>
              <w:jc w:val="center"/>
            </w:pPr>
            <w:r>
              <w:rPr>
                <w:b/>
                <w:bCs/>
                <w:color w:val="FFFFFF"/>
                <w:sz w:val="32"/>
                <w:szCs w:val="32"/>
              </w:rPr>
              <w:t xml:space="preserve">1</w:t>
            </w:r>
          </w:p>
        </w:tc>
        <w:tc>
          <w:tcPr>
            <w:tcW w:type="dxa" w:w="8640"/>
            <w:shd w:fill="FFFEF7" w:val="clear"/>
            <w:tcMar>
              <w:top w:type="dxa" w:w="180"/>
              <w:left w:type="dxa" w:w="240"/>
              <w:bottom w:type="dxa" w:w="180"/>
              <w:right w:type="dxa" w:w="240"/>
            </w:tcMar>
          </w:tcPr>
          <w:p>
            <w:r>
              <w:rPr>
                <w:b/>
                <w:bCs/>
                <w:color w:val="003366"/>
                <w:sz w:val="24"/>
                <w:szCs w:val="24"/>
              </w:rPr>
              <w:t xml:space="preserve">Personal Level (NOLs): </w:t>
            </w:r>
            <w:r>
              <w:rPr>
                <w:sz w:val="23"/>
                <w:szCs w:val="23"/>
              </w:rPr>
              <w:t xml:space="preserve">Net Operating Losses (NOLs) generated by Southwest Resume Services during the 2024-2025 development phase flow through to your personal tax return, where they offset W-2 income from the first half of 2025 and create carryforward losses for future years.</w:t>
            </w:r>
          </w:p>
        </w:tc>
      </w:tr>
      <w:tr>
        <w:tc>
          <w:tcPr>
            <w:tcW w:type="dxa" w:w="720"/>
            <w:shd w:fill="D4AF37" w:val="clear"/>
            <w:vAlign w:val="center"/>
          </w:tcPr>
          <w:p>
            <w:pPr>
              <w:jc w:val="center"/>
            </w:pPr>
            <w:r>
              <w:rPr>
                <w:b/>
                <w:bCs/>
                <w:color w:val="FFFFFF"/>
                <w:sz w:val="32"/>
                <w:szCs w:val="32"/>
              </w:rPr>
              <w:t xml:space="preserve">2</w:t>
            </w:r>
          </w:p>
        </w:tc>
        <w:tc>
          <w:tcPr>
            <w:tcW w:type="dxa" w:w="8640"/>
            <w:shd w:fill="F0F8FF" w:val="clear"/>
            <w:tcMar>
              <w:top w:type="dxa" w:w="180"/>
              <w:left w:type="dxa" w:w="240"/>
              <w:bottom w:type="dxa" w:w="180"/>
              <w:right w:type="dxa" w:w="240"/>
            </w:tcMar>
          </w:tcPr>
          <w:p>
            <w:r>
              <w:rPr>
                <w:b/>
                <w:bCs/>
                <w:color w:val="003366"/>
                <w:sz w:val="24"/>
                <w:szCs w:val="24"/>
              </w:rPr>
              <w:t xml:space="preserve">Corporate Level (New NOLs): </w:t>
            </w:r>
            <w:r>
              <w:rPr>
                <w:sz w:val="23"/>
                <w:szCs w:val="23"/>
              </w:rPr>
              <w:t xml:space="preserve">SparkData Analytics accumulates its own corporate-level NOLs from continued R&amp;D investment, creating a separate tax shield for future corporate profits.</w:t>
            </w:r>
          </w:p>
        </w:tc>
      </w:tr>
      <w:tr>
        <w:tc>
          <w:tcPr>
            <w:tcW w:type="dxa" w:w="720"/>
            <w:shd w:fill="D4AF37" w:val="clear"/>
            <w:vAlign w:val="center"/>
          </w:tcPr>
          <w:p>
            <w:pPr>
              <w:jc w:val="center"/>
            </w:pPr>
            <w:r>
              <w:rPr>
                <w:b/>
                <w:bCs/>
                <w:color w:val="FFFFFF"/>
                <w:sz w:val="32"/>
                <w:szCs w:val="32"/>
              </w:rPr>
              <w:t xml:space="preserve">3</w:t>
            </w:r>
          </w:p>
        </w:tc>
        <w:tc>
          <w:tcPr>
            <w:tcW w:type="dxa" w:w="8640"/>
            <w:shd w:fill="FFFEF7" w:val="clear"/>
            <w:tcMar>
              <w:top w:type="dxa" w:w="180"/>
              <w:left w:type="dxa" w:w="240"/>
              <w:bottom w:type="dxa" w:w="180"/>
              <w:right w:type="dxa" w:w="240"/>
            </w:tcMar>
          </w:tcPr>
          <w:p>
            <w:r>
              <w:rPr>
                <w:b/>
                <w:bCs/>
                <w:color w:val="003366"/>
                <w:sz w:val="24"/>
                <w:szCs w:val="24"/>
              </w:rPr>
              <w:t xml:space="preserve">Corporate Level (QSBS): </w:t>
            </w:r>
            <w:r>
              <w:rPr>
                <w:sz w:val="23"/>
                <w:szCs w:val="23"/>
              </w:rPr>
              <w:t xml:space="preserve">SparkData Analytics, as a C-Corp, begins the 5-year holding period for QSBS, sheltering up to $15 million in future capital gains from federal tax.</w:t>
            </w:r>
          </w:p>
        </w:tc>
      </w:tr>
      <w:tr>
        <w:tc>
          <w:tcPr>
            <w:tcW w:type="dxa" w:w="720"/>
            <w:shd w:fill="D4AF37" w:val="clear"/>
            <w:vAlign w:val="center"/>
          </w:tcPr>
          <w:p>
            <w:pPr>
              <w:jc w:val="center"/>
            </w:pPr>
            <w:r>
              <w:rPr>
                <w:b/>
                <w:bCs/>
                <w:color w:val="FFFFFF"/>
                <w:sz w:val="32"/>
                <w:szCs w:val="32"/>
              </w:rPr>
              <w:t xml:space="preserve">4</w:t>
            </w:r>
          </w:p>
        </w:tc>
        <w:tc>
          <w:tcPr>
            <w:tcW w:type="dxa" w:w="8640"/>
            <w:shd w:fill="F0F8FF" w:val="clear"/>
            <w:tcMar>
              <w:top w:type="dxa" w:w="180"/>
              <w:left w:type="dxa" w:w="240"/>
              <w:bottom w:type="dxa" w:w="180"/>
              <w:right w:type="dxa" w:w="240"/>
            </w:tcMar>
          </w:tcPr>
          <w:p>
            <w:r>
              <w:rPr>
                <w:b/>
                <w:bCs/>
                <w:color w:val="003366"/>
                <w:sz w:val="24"/>
                <w:szCs w:val="24"/>
              </w:rPr>
              <w:t xml:space="preserve">Subsidiary Level (Brand &amp; Liability): </w:t>
            </w:r>
            <w:r>
              <w:rPr>
                <w:sz w:val="23"/>
                <w:szCs w:val="23"/>
              </w:rPr>
              <w:t xml:space="preserve">Southwest Resume Services preserves its brand equity and isolates service-delivery liability, protecting the "clean" parent corporation and its QSBS qualification.</w:t>
            </w:r>
          </w:p>
        </w:tc>
      </w:tr>
    </w:tbl>
    <w:p>
      <w:pPr>
        <w:spacing w:after="360"/>
      </w:pPr>
    </w:p>
    <w:p>
      <w:pPr>
        <w:pStyle w:val="Heading2"/>
      </w:pPr>
      <w:r>
        <w:t xml:space="preserve">Quantitative Analysis of Net Operating Loss Preservation</w:t>
      </w:r>
    </w:p>
    <w:p>
      <w:pPr>
        <w:spacing w:after="240"/>
      </w:pPr>
      <w:r>
        <w:t xml:space="preserve">Based on operational history, we project the following NOL positions: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4680"/>
        <w:gridCol w:w="4680"/>
      </w:tblGrid>
      <w:tr>
        <w:trPr>
          <w:tblHeader/>
        </w:trPr>
        <w:tc>
          <w:tcPr>
            <w:tcW w:type="dxa" w:w="4680"/>
            <w:shd w:fill="1A237E" w:val="clear"/>
          </w:tcPr>
          <w:p>
            <w:pPr>
              <w:jc w:val="center"/>
            </w:pPr>
            <w:r>
              <w:rPr>
                <w:b/>
                <w:bCs/>
                <w:color w:val="FFFFFF"/>
                <w:sz w:val="24"/>
                <w:szCs w:val="24"/>
              </w:rPr>
              <w:t xml:space="preserve">2024 NOL Generation</w:t>
            </w:r>
          </w:p>
        </w:tc>
        <w:tc>
          <w:tcPr>
            <w:tcW w:type="dxa" w:w="4680"/>
            <w:shd w:fill="1A237E" w:val="clear"/>
          </w:tcPr>
          <w:p>
            <w:pPr>
              <w:jc w:val="center"/>
            </w:pPr>
            <w:r>
              <w:rPr>
                <w:b/>
                <w:bCs/>
                <w:color w:val="FFFFFF"/>
                <w:sz w:val="24"/>
                <w:szCs w:val="24"/>
              </w:rPr>
              <w:t xml:space="preserve">2025 NOL Generation (through November)</w:t>
            </w:r>
          </w:p>
        </w:tc>
      </w:tr>
      <w:tr>
        <w:tc>
          <w:tcPr>
            <w:tcW w:type="dxa" w:w="4680"/>
            <w:shd w:fill="E8EAF6" w:val="clear"/>
          </w:tcPr>
          <w:p>
            <w:r>
              <w:rPr>
                <w:sz w:val="22"/>
                <w:szCs w:val="22"/>
              </w:rPr>
              <w:t xml:space="preserve">Research and Development Expenses: ~$35,000</w:t>
            </w:r>
          </w:p>
        </w:tc>
        <w:tc>
          <w:tcPr>
            <w:tcW w:type="dxa" w:w="4680"/>
            <w:shd w:fill="E8EAF6" w:val="clear"/>
          </w:tcPr>
          <w:p>
            <w:r>
              <w:rPr>
                <w:sz w:val="22"/>
                <w:szCs w:val="22"/>
              </w:rPr>
              <w:t xml:space="preserve">Accelerated R&amp;D (Post-June 2025): $40,000</w:t>
            </w:r>
          </w:p>
        </w:tc>
      </w:tr>
      <w:tr>
        <w:tc>
          <w:tcPr>
            <w:tcW w:type="dxa" w:w="4680"/>
          </w:tcPr>
          <w:p>
            <w:r>
              <w:rPr>
                <w:sz w:val="22"/>
                <w:szCs w:val="22"/>
              </w:rPr>
              <w:t xml:space="preserve">Equipment and Infrastructure: $15,000</w:t>
            </w:r>
          </w:p>
        </w:tc>
        <w:tc>
          <w:tcPr>
            <w:tcW w:type="dxa" w:w="4680"/>
          </w:tcPr>
          <w:p>
            <w:r>
              <w:rPr>
                <w:sz w:val="22"/>
                <w:szCs w:val="22"/>
              </w:rPr>
              <w:t xml:space="preserve">Continued Infrastructure Investment: $10,000</w:t>
            </w:r>
          </w:p>
        </w:tc>
      </w:tr>
      <w:tr>
        <w:tc>
          <w:tcPr>
            <w:tcW w:type="dxa" w:w="4680"/>
            <w:shd w:fill="E8EAF6" w:val="clear"/>
          </w:tcPr>
          <w:p>
            <w:r>
              <w:rPr>
                <w:sz w:val="22"/>
                <w:szCs w:val="22"/>
              </w:rPr>
              <w:t xml:space="preserve">Operating Expenses: $10,000</w:t>
            </w:r>
          </w:p>
        </w:tc>
        <w:tc>
          <w:tcPr>
            <w:tcW w:type="dxa" w:w="4680"/>
            <w:shd w:fill="E8EAF6" w:val="clear"/>
          </w:tcPr>
          <w:p>
            <w:r>
              <w:rPr>
                <w:sz w:val="22"/>
                <w:szCs w:val="22"/>
              </w:rPr>
              <w:t xml:space="preserve">Operating Expenses: $15,000</w:t>
            </w:r>
          </w:p>
        </w:tc>
      </w:tr>
      <w:tr>
        <w:tc>
          <w:tcPr>
            <w:tcW w:type="dxa" w:w="4680"/>
          </w:tcPr>
          <w:p>
            <w:r>
              <w:rPr>
                <w:sz w:val="22"/>
                <w:szCs w:val="22"/>
              </w:rPr>
              <w:t xml:space="preserve">Revenue: Minimal (under $5,000)</w:t>
            </w:r>
          </w:p>
        </w:tc>
        <w:tc>
          <w:tcPr>
            <w:tcW w:type="dxa" w:w="4680"/>
          </w:tcPr>
          <w:p>
            <w:r>
              <w:rPr>
                <w:sz w:val="22"/>
                <w:szCs w:val="22"/>
              </w:rPr>
              <w:t xml:space="preserve">Revenue (Scaled Operations June-Nov): $50,000</w:t>
            </w:r>
          </w:p>
        </w:tc>
      </w:tr>
      <w:tr>
        <w:tc>
          <w:tcPr>
            <w:tcW w:type="dxa" w:w="4680"/>
            <w:shd w:fill="27AE60" w:val="clear"/>
          </w:tcPr>
          <w:p>
            <w:pPr>
              <w:jc w:val="center"/>
            </w:pPr>
            <w:r>
              <w:rPr>
                <w:b/>
                <w:bCs/>
                <w:color w:val="FFFFFF"/>
                <w:sz w:val="24"/>
                <w:szCs w:val="24"/>
              </w:rPr>
              <w:t xml:space="preserve">Estimated 2024 NOL: $42,000-$52,000</w:t>
            </w:r>
          </w:p>
        </w:tc>
        <w:tc>
          <w:tcPr>
            <w:tcW w:type="dxa" w:w="4680"/>
            <w:shd w:fill="27AE60" w:val="clear"/>
          </w:tcPr>
          <w:p>
            <w:pPr>
              <w:jc w:val="center"/>
            </w:pPr>
            <w:r>
              <w:rPr>
                <w:b/>
                <w:bCs/>
                <w:color w:val="FFFFFF"/>
                <w:sz w:val="24"/>
                <w:szCs w:val="24"/>
              </w:rPr>
              <w:t xml:space="preserve">Estimated 2025 NOL: $15,000-$20,000</w:t>
            </w:r>
          </w:p>
        </w:tc>
      </w:tr>
    </w:tbl>
    <w:p>
      <w:pPr>
        <w:spacing w:after="240"/>
      </w:pPr>
    </w:p>
    <w:p>
      <w:pPr>
        <w:pStyle w:val="FinancialHighlight"/>
      </w:pPr>
      <w:r>
        <w:t xml:space="preserve">Combined Personal NOL Position: $57,000-$72,000</w:t>
      </w:r>
    </w:p>
    <w:p>
      <w:pPr>
        <w:spacing w:after="360"/>
      </w:pPr>
      <w:r>
        <w:t xml:space="preserve">These NOLs represent a genuine tax asset. This structure preserves them on your personal return, where they can be used to offset future personal income (such as a salary taken from SparkData Analytics), accelerating their value.</w:t>
      </w:r>
    </w:p>
    <w:p>
      <w:pPr>
        <w:pStyle w:val="Heading2"/>
      </w:pPr>
      <w:r>
        <w:t xml:space="preserve">Brand Equity and Digital Infrastructure Valuation</w:t>
      </w:r>
    </w:p>
    <w:p>
      <w:pPr>
        <w:spacing w:after="240"/>
      </w:pPr>
      <w:r>
        <w:t xml:space="preserve">Southwest Resume Services has established measurable brand equity and digital infrastructure since early 2024.</w:t>
      </w:r>
    </w:p>
    <w:p>
      <w:pPr>
        <w:spacing w:after="180"/>
      </w:pPr>
      <w:r>
        <w:rPr>
          <w:b/>
          <w:bCs/>
          <w:color w:val="003366"/>
          <w:sz w:val="24"/>
          <w:szCs w:val="24"/>
        </w:rPr>
        <w:t xml:space="preserve">Tangible Digital Assets:</w:t>
      </w:r>
    </w:p>
    <w:p>
      <w:pPr>
        <w:pStyle w:val="ListParagraph"/>
        <w:numPr>
          <w:ilvl w:val="0"/>
          <w:numId w:val="2"/>
        </w:numPr>
      </w:pPr>
      <w:r>
        <w:t xml:space="preserve">Domain name with 18+ months of age and search authority</w:t>
      </w:r>
    </w:p>
    <w:p>
      <w:pPr>
        <w:pStyle w:val="ListParagraph"/>
        <w:numPr>
          <w:ilvl w:val="0"/>
          <w:numId w:val="2"/>
        </w:numPr>
      </w:pPr>
      <w:r>
        <w:t xml:space="preserve">Website with established content and SEO rankings</w:t>
      </w:r>
    </w:p>
    <w:p>
      <w:pPr>
        <w:pStyle w:val="ListParagraph"/>
        <w:numPr>
          <w:ilvl w:val="0"/>
          <w:numId w:val="2"/>
        </w:numPr>
      </w:pPr>
      <w:r>
        <w:t xml:space="preserve">Google My Business profile with client reviews</w:t>
      </w:r>
    </w:p>
    <w:p>
      <w:pPr>
        <w:pStyle w:val="ListParagraph"/>
        <w:numPr>
          <w:ilvl w:val="0"/>
          <w:numId w:val="2"/>
        </w:numPr>
      </w:pPr>
      <w:r>
        <w:t xml:space="preserve">Sales and Lead Generation Platforms (e.g., Apollo.io)</w:t>
      </w:r>
    </w:p>
    <w:p>
      <w:pPr>
        <w:pStyle w:val="ListParagraph"/>
        <w:numPr>
          <w:ilvl w:val="0"/>
          <w:numId w:val="2"/>
        </w:numPr>
        <w:spacing w:after="240"/>
      </w:pPr>
      <w:r>
        <w:t xml:space="preserve">Client database and relationship management systems</w:t>
      </w:r>
    </w:p>
    <w:p>
      <w:pPr>
        <w:spacing w:after="180"/>
      </w:pPr>
      <w:r>
        <w:rPr>
          <w:b/>
          <w:bCs/>
          <w:color w:val="003366"/>
          <w:sz w:val="24"/>
          <w:szCs w:val="24"/>
        </w:rPr>
        <w:t xml:space="preserve">Intangible Brand Value:</w:t>
      </w:r>
    </w:p>
    <w:p>
      <w:pPr>
        <w:pStyle w:val="ListParagraph"/>
        <w:numPr>
          <w:ilvl w:val="0"/>
          <w:numId w:val="2"/>
        </w:numPr>
      </w:pPr>
      <w:r>
        <w:t xml:space="preserve">Market recognition in the Phoenix/Arizona market</w:t>
      </w:r>
    </w:p>
    <w:p>
      <w:pPr>
        <w:pStyle w:val="ListParagraph"/>
        <w:numPr>
          <w:ilvl w:val="0"/>
          <w:numId w:val="2"/>
        </w:numPr>
      </w:pPr>
      <w:r>
        <w:t xml:space="preserve">Word-of-mouth referral networks</w:t>
      </w:r>
    </w:p>
    <w:p>
      <w:pPr>
        <w:pStyle w:val="ListParagraph"/>
        <w:numPr>
          <w:ilvl w:val="0"/>
          <w:numId w:val="2"/>
        </w:numPr>
        <w:spacing w:after="240"/>
      </w:pPr>
      <w:r>
        <w:t xml:space="preserve">Established reputation for AI-powered services</w:t>
      </w:r>
    </w:p>
    <w:p>
      <w:pPr>
        <w:pStyle w:val="KeyPoint"/>
      </w:pPr>
      <w:r>
        <w:t xml:space="preserve">Conservative valuation suggests these assets represent $15,000-$25,000 in replacement cost, not including the opportunity cost of 12-18 months required to reestablish this market position.</w:t>
      </w:r>
    </w:p>
    <w:p>
      <w:pPr>
        <w:pStyle w:val="Heading2"/>
      </w:pPr>
      <w:r>
        <w:t xml:space="preserve">Liability Protection and Risk Segmentation Value</w:t>
      </w:r>
    </w:p>
    <w:p>
      <w:pPr>
        <w:spacing w:after="480"/>
      </w:pPr>
      <w:r>
        <w:t xml:space="preserve">The subsidiary structure creates crucial liability protection for the QSBS-qualifying parent corporation. Should any client disputes or service-related litigation arise, legal defense costs and liability are contained within Southwest Resume Services. The parent company's (SparkData Analytics) exposure is limited to its equity investment in the subsidiary. This containment protects the clean cap table and QSBS qualification of SparkData Analytics, which, on a future $10 million exit, could be worth $1-2 million in preserved valuation.</w:t>
      </w:r>
    </w:p>
    <w:p>
      <w:r>
        <w:br w:type="page"/>
      </w:r>
    </w:p>
    <w:p>
      <w:pPr>
        <w:pStyle w:val="Heading1"/>
      </w:pPr>
      <w:r>
        <w:t xml:space="preserve">PART II. THE PARENT-SUBSIDIARY CORPORATE STRUCTURE</w:t>
      </w:r>
    </w:p>
    <w:p>
      <w:pPr>
        <w:pStyle w:val="Heading2"/>
      </w:pPr>
      <w:r>
        <w:t xml:space="preserve">Section 2.1: Legal Structure and Ownership Flow</w:t>
      </w:r>
    </w:p>
    <w:p>
      <w:pPr>
        <w:spacing w:after="240"/>
      </w:pPr>
      <w:r>
        <w:t xml:space="preserve">The proposed structure creates a hierarchical ownership relationship where SparkData Analytics, Inc. functions as the holding company that owns 100% of Southwest Resume Services, LLC.</w:t>
      </w:r>
    </w:p>
    <w:tbl>
      <w:tblPr>
        <w:tblW w:type="auto" w:w="100"/>
        <w:tblBorders>
          <w:top w:val="none"/>
          <w:left w:val="none"/>
          <w:bottom w:val="none"/>
          <w:right w:val="none"/>
          <w:insideH w:val="none"/>
          <w:insideV w:val="none"/>
        </w:tblBorders>
        <w:tblCellMar>
          <w:top w:type="dxa" w:w="120"/>
          <w:left w:type="dxa" w:w="180"/>
          <w:bottom w:type="dxa" w:w="120"/>
          <w:right w:type="dxa" w:w="180"/>
        </w:tblCellMar>
      </w:tblPr>
      <w:tblGrid>
        <w:gridCol w:w="1800"/>
        <w:gridCol w:w="7560"/>
      </w:tblGrid>
      <w:tr>
        <w:tc>
          <w:tcPr>
            <w:tcW w:type="dxa" w:w="1800"/>
            <w:shd w:fill="E74C3C" w:val="clear"/>
          </w:tcPr>
          <w:p>
            <w:pPr>
              <w:jc w:val="center"/>
            </w:pPr>
            <w:r>
              <w:rPr>
                <w:b/>
                <w:bCs/>
                <w:color w:val="FFFFFF"/>
                <w:sz w:val="22"/>
                <w:szCs w:val="22"/>
              </w:rPr>
              <w:t xml:space="preserve">CURRENT</w:t>
            </w:r>
          </w:p>
        </w:tc>
        <w:tc>
          <w:tcPr>
            <w:tcW w:type="dxa" w:w="7560"/>
            <w:shd w:fill="FFEBEE" w:val="clear"/>
            <w:tcMar>
              <w:top w:type="dxa" w:w="120"/>
              <w:left w:type="dxa" w:w="180"/>
              <w:bottom w:type="dxa" w:w="120"/>
              <w:right w:type="dxa" w:w="180"/>
            </w:tcMar>
          </w:tcPr>
          <w:p>
            <w:r>
              <w:rPr>
                <w:sz w:val="22"/>
                <w:szCs w:val="22"/>
              </w:rPr>
              <w:t xml:space="preserve">Ryan Zimmerman (Individual) → 100% ownership → Southwest Resume Services, LLC (Disregarded Entity)</w:t>
            </w:r>
          </w:p>
        </w:tc>
      </w:tr>
      <w:tr>
        <w:tc>
          <w:tcPr>
            <w:tcW w:type="dxa" w:w="1800"/>
            <w:shd w:fill="27AE60" w:val="clear"/>
          </w:tcPr>
          <w:p>
            <w:pPr>
              <w:jc w:val="center"/>
            </w:pPr>
            <w:r>
              <w:rPr>
                <w:b/>
                <w:bCs/>
                <w:color w:val="FFFFFF"/>
                <w:sz w:val="22"/>
                <w:szCs w:val="22"/>
              </w:rPr>
              <w:t xml:space="preserve">PROPOSED</w:t>
            </w:r>
          </w:p>
        </w:tc>
        <w:tc>
          <w:tcPr>
            <w:tcW w:type="dxa" w:w="7560"/>
            <w:shd w:fill="E8F5E9" w:val="clear"/>
            <w:tcMar>
              <w:top w:type="dxa" w:w="120"/>
              <w:left w:type="dxa" w:w="180"/>
              <w:bottom w:type="dxa" w:w="120"/>
              <w:right w:type="dxa" w:w="180"/>
            </w:tcMar>
          </w:tcPr>
          <w:p>
            <w:r>
              <w:rPr>
                <w:sz w:val="22"/>
                <w:szCs w:val="22"/>
              </w:rPr>
              <w:t xml:space="preserve">Ryan Zimmerman (Individual) → 100% ownership → SparkData Analytics, Inc. (C-Corp) → 100% ownership → Southwest Resume Services, LLC (Subsidiary)</w:t>
            </w:r>
          </w:p>
        </w:tc>
      </w:tr>
    </w:tbl>
    <w:p>
      <w:pPr>
        <w:spacing w:before="240" w:after="360"/>
      </w:pPr>
      <w:r>
        <w:t xml:space="preserve">This indirect ownership structure creates distinct legal separation. SparkData Analytics and Southwest Resume Services become separate legal persons, each with its own liability shield, bank accounts, and financial records, while maintaining unified control under you as the sole shareholder of the parent.</w:t>
      </w:r>
    </w:p>
    <w:p>
      <w:pPr>
        <w:pStyle w:val="Heading2"/>
      </w:pPr>
      <w:r>
        <w:t xml:space="preserve">Section 2.2: Tax Classification Options for the Subsidiary</w:t>
      </w:r>
    </w:p>
    <w:p>
      <w:pPr>
        <w:spacing w:after="240"/>
      </w:pPr>
      <w:r>
        <w:t xml:space="preserve">Once Southwest Resume Services is owned by SparkData Analytics, you have a critical tax classification decision.</w:t>
      </w:r>
    </w:p>
    <w:p>
      <w:pPr>
        <w:pStyle w:val="KeyPoint"/>
      </w:pPr>
      <w:r>
        <w:t xml:space="preserve">Option A: Disregarded Entity Status (Default &amp; Recommended)</w:t>
      </w:r>
    </w:p>
    <w:p>
      <w:pPr>
        <w:spacing w:after="180"/>
      </w:pPr>
      <w:r>
        <w:t xml:space="preserve">By default, an LLC wholly-owned by a corporation is treated as a "disregarded entity" for tax purposes. The IRS ignores the LLC's separate existence, and all its activities (income, expenses, etc.) are reported directly on SparkData Analytics' corporate tax return (Form 1120).</w:t>
      </w:r>
    </w:p>
    <w:p>
      <w:pPr>
        <w:spacing w:after="180"/>
      </w:pPr>
      <w:r>
        <w:rPr>
          <w:b/>
          <w:bCs/>
          <w:color w:val="27AE60"/>
        </w:rPr>
        <w:t xml:space="preserve">Advantage: </w:t>
      </w:r>
      <w:r>
        <w:t xml:space="preserve">Simplicity. You only file one corporate tax return. This is the recommended approach.</w:t>
      </w:r>
    </w:p>
    <w:p>
      <w:pPr>
        <w:spacing w:after="240"/>
      </w:pPr>
      <w:r>
        <w:rPr>
          <w:b/>
          <w:bCs/>
          <w:color w:val="003366"/>
        </w:rPr>
        <w:t xml:space="preserve">NOL Implication: </w:t>
      </w:r>
      <w:r>
        <w:t xml:space="preserve">The historical (2024-2025) NOLs remain on your personal tax return (where they were generated). They do not transfer to the corporation. Any new losses generated by the subsidiary would now belong to the parent C-Corp.</w:t>
      </w:r>
    </w:p>
    <w:p>
      <w:pPr>
        <w:spacing w:after="180"/>
      </w:pPr>
      <w:r>
        <w:rPr>
          <w:b/>
          <w:bCs/>
          <w:color w:val="546E7A"/>
          <w:sz w:val="24"/>
          <w:szCs w:val="24"/>
        </w:rPr>
        <w:t xml:space="preserve">Option B: S-Corporation Election for the Subsidiary (Complex)</w:t>
      </w:r>
    </w:p>
    <w:p>
      <w:pPr>
        <w:spacing w:after="240"/>
      </w:pPr>
      <w:r>
        <w:t xml:space="preserve">You could elect for the LLC to be taxed as an S-Corporation. This would require two separate tax returns (Form 1120 for the parent, Form 1120-S for the subsidiary) and adds significant complexity with little benefit for your situation. This is not recommended.</w:t>
      </w:r>
    </w:p>
    <w:p>
      <w:pPr>
        <w:pStyle w:val="KeyPoint"/>
      </w:pPr>
      <w:r>
        <w:t xml:space="preserve">Recommendation: Proceed with the default Disregarded Entity status. This provides the legal separation and brand benefits while maintaining maximum simplicity for tax reporting. The key is to understand your historical NOLs stay with you personally, which you can utilize by paying yourself a salary from SparkData Analytics in future profitable years.</w:t>
      </w:r>
    </w:p>
    <w:p>
      <w:r>
        <w:br w:type="page"/>
      </w:r>
    </w:p>
    <w:p>
      <w:pPr>
        <w:pStyle w:val="Heading1"/>
      </w:pPr>
      <w:r>
        <w:t xml:space="preserve">PART III. INTELLECTUAL PROPERTY &amp; ASSET CONTRIBUTION</w:t>
      </w:r>
    </w:p>
    <w:p>
      <w:pPr>
        <w:pStyle w:val="Heading2"/>
      </w:pPr>
      <w:r>
        <w:t xml:space="preserve">Section 3.0: Historical Context &amp; Chain of Title (Sole Proprietorship to C-Corp)</w:t>
      </w:r>
    </w:p>
    <w:p>
      <w:pPr>
        <w:spacing w:after="360"/>
      </w:pPr>
      <w:r>
        <w:t xml:space="preserve">This section explicitly documents the origin of the business activities and intellectual property (IP) to establish a clear "chain of title" from its inception to its final contribution to SparkData Analytics, Inc. This is critical for supporting the retroactive R&amp;D tax claims.</w:t>
      </w:r>
    </w:p>
    <w:p>
      <w:pPr>
        <w:pStyle w:val="PhaseHeader"/>
      </w:pPr>
      <w:r>
        <w:t xml:space="preserve">Phase A: Sole Proprietorship (Jan 2024 - Oct 2025)</w:t>
      </w:r>
    </w:p>
    <w:p>
      <w:pPr>
        <w:pStyle w:val="ListParagraph"/>
        <w:numPr>
          <w:ilvl w:val="0"/>
          <w:numId w:val="2"/>
        </w:numPr>
      </w:pPr>
      <w:r>
        <w:t xml:space="preserve">The business activities, research, and development began as a sole proprietorship (conducted by you, Ryan Zimmerman, as an individual) as early as January 2024.</w:t>
      </w:r>
    </w:p>
    <w:p>
      <w:pPr>
        <w:pStyle w:val="ListParagraph"/>
        <w:numPr>
          <w:ilvl w:val="0"/>
          <w:numId w:val="2"/>
        </w:numPr>
      </w:pPr>
      <w:r>
        <w:t xml:space="preserve">You separated from your W2 employment in June 2025 to focus on this business full-time, significantly accelerating R&amp;D efforts during this phase.</w:t>
      </w:r>
    </w:p>
    <w:p>
      <w:pPr>
        <w:pStyle w:val="ListParagraph"/>
        <w:numPr>
          <w:ilvl w:val="0"/>
          <w:numId w:val="2"/>
        </w:numPr>
      </w:pPr>
      <w:r>
        <w:t xml:space="preserve">During this entire period, all expenses—from the very first subscription to the $15,000 in computer equipment—were incurred and paid by you personally. These are the expenses that form the basis of the retroactive R&amp;D claims and would be reported on your personal 2024 and 2025 tax returns (Schedule C).</w:t>
      </w:r>
    </w:p>
    <w:p>
      <w:pPr>
        <w:pStyle w:val="ListParagraph"/>
        <w:numPr>
          <w:ilvl w:val="0"/>
          <w:numId w:val="2"/>
        </w:numPr>
        <w:spacing w:after="240"/>
      </w:pPr>
      <w:r>
        <w:t xml:space="preserve">All IP, code, and processes developed during this time were, therefore, personally owned by you as an individual.</w:t>
      </w:r>
    </w:p>
    <w:p>
      <w:pPr>
        <w:pStyle w:val="PhaseHeader"/>
      </w:pPr>
      <w:r>
        <w:t xml:space="preserve">Phase B: Single-Member LLC (Oct 2025 - Nov 2025)</w:t>
      </w:r>
    </w:p>
    <w:p>
      <w:pPr>
        <w:pStyle w:val="ListParagraph"/>
        <w:numPr>
          <w:ilvl w:val="0"/>
          <w:numId w:val="2"/>
        </w:numPr>
      </w:pPr>
      <w:r>
        <w:t xml:space="preserve">Southwest Resume Services, LLC was formed in October 2025. As a single-member LLC, it was treated as a "disregarded entity" for tax purposes, meaning it was still a continuation of your personal tax return (Schedule C).</w:t>
      </w:r>
    </w:p>
    <w:p>
      <w:pPr>
        <w:pStyle w:val="ListParagraph"/>
        <w:numPr>
          <w:ilvl w:val="0"/>
          <w:numId w:val="2"/>
        </w:numPr>
      </w:pPr>
      <w:r>
        <w:t xml:space="preserve">The IP developed during the sole proprietorship phase was effectively (even if informally) contributed to and used by the LLC during this brief period.</w:t>
      </w:r>
    </w:p>
    <w:p>
      <w:pPr>
        <w:pStyle w:val="ListParagraph"/>
        <w:numPr>
          <w:ilvl w:val="0"/>
          <w:numId w:val="2"/>
        </w:numPr>
        <w:spacing w:after="240"/>
      </w:pPr>
      <w:r>
        <w:t xml:space="preserve">All R&amp;D and business activities continued within the LLC, with all expenses and revenue flowing to your personal tax return.</w:t>
      </w:r>
    </w:p>
    <w:p>
      <w:pPr>
        <w:pStyle w:val="PhaseHeader"/>
      </w:pPr>
      <w:r>
        <w:t xml:space="preserve">Phase C: C-Corp Contribution (Nov 2025)</w:t>
      </w:r>
    </w:p>
    <w:p>
      <w:pPr>
        <w:pStyle w:val="ListParagraph"/>
        <w:numPr>
          <w:ilvl w:val="0"/>
          <w:numId w:val="2"/>
        </w:numPr>
      </w:pPr>
      <w:r>
        <w:t xml:space="preserve">The Section 351 Contribution (detailed below) is the final, formal step in this chain.</w:t>
      </w:r>
    </w:p>
    <w:p>
      <w:pPr>
        <w:pStyle w:val="ListParagraph"/>
        <w:numPr>
          <w:ilvl w:val="0"/>
          <w:numId w:val="2"/>
        </w:numPr>
      </w:pPr>
      <w:r>
        <w:t xml:space="preserve">You are contributing the entire bundle of assets—which includes all IP, processes, and goodwill developed during both the sole proprietorship and LLC phases—to the new C-Corporation.</w:t>
      </w:r>
    </w:p>
    <w:p>
      <w:pPr>
        <w:pStyle w:val="ListParagraph"/>
        <w:numPr>
          <w:ilvl w:val="0"/>
          <w:numId w:val="2"/>
        </w:numPr>
        <w:spacing w:after="360"/>
      </w:pPr>
      <w:r>
        <w:t xml:space="preserve">This continuous timeline demonstrates that the 2024 R&amp;D expenses (even pre-LLC) were for the same business that is now being formally structured under SparkData Analytics, Inc., strengthening the basis for the retroactive tax claims in Action Item 4.</w:t>
      </w:r>
    </w:p>
    <w:p>
      <w:pPr>
        <w:pStyle w:val="Heading2"/>
      </w:pPr>
      <w:r>
        <w:t xml:space="preserve">Section 3.1: Identifying and Valuing the Intellectual Property</w:t>
      </w:r>
    </w:p>
    <w:p>
      <w:pPr>
        <w:spacing w:after="180"/>
      </w:pPr>
      <w:r>
        <w:t xml:space="preserve">The core assets of Southwest Resume Services (originating from the sole proprietorship) will be contributed to SparkData Analytics in exchange for your founder's stock. This IP portfolio includes:</w:t>
      </w:r>
    </w:p>
    <w:p>
      <w:pPr>
        <w:spacing w:after="360"/>
      </w:pPr>
      <w:r>
        <w:t xml:space="preserve">4.  SparkData Analytics now officially owns all IP and owns 100% of Southwest Resume Services, LLC.</w:t>
      </w:r>
    </w:p>
    <w:p>
      <w:r>
        <w:br w:type="page"/>
      </w:r>
    </w:p>
    <w:p>
      <w:pPr>
        <w:pStyle w:val="Heading1"/>
      </w:pPr>
      <w:r>
        <w:t xml:space="preserve">PART IV. QUALIFIED SMALL BUSINESS STOCK (QSBS) OPTIMIZATION</w:t>
      </w:r>
    </w:p>
    <w:p>
      <w:pPr>
        <w:pStyle w:val="KeyPoint"/>
      </w:pPr>
      <w:r>
        <w:t xml:space="preserve">This is the single most significant wealth-creation tool in this strategy. The OBBBA enhances the QSBS exclusion (for stock issued after July 4, 2025) to a potential $15 million in tax-free capital gains.</w:t>
      </w:r>
    </w:p>
    <w:p>
      <w:pPr>
        <w:spacing w:before="240" w:after="240"/>
      </w:pPr>
      <w:r>
        <w:rPr>
          <w:b/>
          <w:bCs/>
          <w:color w:val="003366"/>
          <w:sz w:val="26"/>
          <w:szCs w:val="26"/>
        </w:rPr>
        <w:t xml:space="preserve">QSBS Core Requirements &amp; Compliance: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2160"/>
        <w:gridCol w:w="7200"/>
      </w:tblGrid>
      <w:tr>
        <w:tc>
          <w:tcPr>
            <w:tcW w:type="dxa" w:w="2160"/>
            <w:shd w:fill="003366" w:val="clear"/>
          </w:tcPr>
          <w:p>
            <w:pPr>
              <w:jc w:val="center"/>
            </w:pPr>
            <w:r>
              <w:rPr>
                <w:b/>
                <w:bCs/>
                <w:color w:val="FFFFFF"/>
                <w:sz w:val="22"/>
                <w:szCs w:val="22"/>
              </w:rPr>
              <w:t xml:space="preserve">C-Corporation</w:t>
            </w:r>
          </w:p>
        </w:tc>
        <w:tc>
          <w:tcPr>
            <w:tcW w:type="dxa" w:w="7200"/>
            <w:shd w:fill="E8EAF6" w:val="clear"/>
          </w:tcPr>
          <w:p>
            <w:r>
              <w:rPr>
                <w:sz w:val="22"/>
                <w:szCs w:val="22"/>
              </w:rPr>
              <w:t xml:space="preserve">SparkData Analytics must be a C-Corporation.</w:t>
            </w:r>
          </w:p>
        </w:tc>
      </w:tr>
      <w:tr>
        <w:tc>
          <w:tcPr>
            <w:tcW w:type="dxa" w:w="2160"/>
            <w:shd w:fill="003366" w:val="clear"/>
          </w:tcPr>
          <w:p>
            <w:pPr>
              <w:jc w:val="center"/>
            </w:pPr>
            <w:r>
              <w:rPr>
                <w:b/>
                <w:bCs/>
                <w:color w:val="FFFFFF"/>
                <w:sz w:val="22"/>
                <w:szCs w:val="22"/>
              </w:rPr>
              <w:t xml:space="preserve">Asset Limitation</w:t>
            </w:r>
          </w:p>
        </w:tc>
        <w:tc>
          <w:tcPr>
            <w:tcW w:type="dxa" w:w="7200"/>
          </w:tcPr>
          <w:p>
            <w:r>
              <w:rPr>
                <w:sz w:val="22"/>
                <w:szCs w:val="22"/>
              </w:rPr>
              <w:t xml:space="preserve">The corporation's aggregate gross assets must be under $75 million at the time of stock issuance (you are well under this).</w:t>
            </w:r>
          </w:p>
        </w:tc>
      </w:tr>
      <w:tr>
        <w:tc>
          <w:tcPr>
            <w:tcW w:type="dxa" w:w="2160"/>
            <w:shd w:fill="003366" w:val="clear"/>
          </w:tcPr>
          <w:p>
            <w:pPr>
              <w:jc w:val="center"/>
            </w:pPr>
            <w:r>
              <w:rPr>
                <w:b/>
                <w:bCs/>
                <w:color w:val="FFFFFF"/>
                <w:sz w:val="22"/>
                <w:szCs w:val="22"/>
              </w:rPr>
              <w:t xml:space="preserve">Active Business</w:t>
            </w:r>
          </w:p>
        </w:tc>
        <w:tc>
          <w:tcPr>
            <w:tcW w:type="dxa" w:w="7200"/>
            <w:shd w:fill="E8EAF6" w:val="clear"/>
          </w:tcPr>
          <w:p>
            <w:r>
              <w:rPr>
                <w:sz w:val="22"/>
                <w:szCs w:val="22"/>
              </w:rPr>
              <w:t xml:space="preserve">At least 80% of the corporation's assets must be used in an active trade or business (your software development qualifies).</w:t>
            </w:r>
          </w:p>
        </w:tc>
      </w:tr>
      <w:tr>
        <w:tc>
          <w:tcPr>
            <w:tcW w:type="dxa" w:w="2160"/>
            <w:shd w:fill="003366" w:val="clear"/>
          </w:tcPr>
          <w:p>
            <w:pPr>
              <w:jc w:val="center"/>
            </w:pPr>
            <w:r>
              <w:rPr>
                <w:b/>
                <w:bCs/>
                <w:color w:val="FFFFFF"/>
                <w:sz w:val="22"/>
                <w:szCs w:val="22"/>
              </w:rPr>
              <w:t xml:space="preserve">Original Issuance</w:t>
            </w:r>
          </w:p>
        </w:tc>
        <w:tc>
          <w:tcPr>
            <w:tcW w:type="dxa" w:w="7200"/>
          </w:tcPr>
          <w:p>
            <w:r>
              <w:rPr>
                <w:sz w:val="22"/>
                <w:szCs w:val="22"/>
              </w:rPr>
              <w:t xml:space="preserve">You must receive your stock directly from the corporation (which you will via the Section 351 contribution).</w:t>
            </w:r>
          </w:p>
        </w:tc>
      </w:tr>
    </w:tbl>
    <w:p>
      <w:pPr>
        <w:spacing w:before="360" w:after="240"/>
      </w:pPr>
      <w:r>
        <w:rPr>
          <w:b/>
          <w:bCs/>
          <w:color w:val="003366"/>
          <w:sz w:val="26"/>
          <w:szCs w:val="26"/>
        </w:rPr>
        <w:t xml:space="preserve">Holding Period (OBBBA Tiers):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1440"/>
        <w:gridCol w:w="7920"/>
      </w:tblGrid>
      <w:tr>
        <w:tc>
          <w:tcPr>
            <w:tcW w:type="dxa" w:w="1440"/>
            <w:shd w:fill="FFF3E0" w:val="clear"/>
          </w:tcPr>
          <w:p>
            <w:pPr>
              <w:jc w:val="center"/>
            </w:pPr>
            <w:r>
              <w:rPr>
                <w:b/>
                <w:bCs/>
                <w:sz w:val="22"/>
                <w:szCs w:val="22"/>
              </w:rPr>
              <w:t xml:space="preserve">3+ Years</w:t>
            </w:r>
          </w:p>
        </w:tc>
        <w:tc>
          <w:tcPr>
            <w:tcW w:type="dxa" w:w="7920"/>
            <w:shd w:fill="FFF3E0" w:val="clear"/>
          </w:tcPr>
          <w:p>
            <w:r>
              <w:rPr>
                <w:sz w:val="22"/>
                <w:szCs w:val="22"/>
              </w:rPr>
              <w:t xml:space="preserve">50% of gain is excluded.</w:t>
            </w:r>
          </w:p>
        </w:tc>
      </w:tr>
      <w:tr>
        <w:tc>
          <w:tcPr>
            <w:tcW w:type="dxa" w:w="1440"/>
            <w:shd w:fill="FFE0B2" w:val="clear"/>
          </w:tcPr>
          <w:p>
            <w:pPr>
              <w:jc w:val="center"/>
            </w:pPr>
            <w:r>
              <w:rPr>
                <w:b/>
                <w:bCs/>
                <w:sz w:val="22"/>
                <w:szCs w:val="22"/>
              </w:rPr>
              <w:t xml:space="preserve">4+ Years</w:t>
            </w:r>
          </w:p>
        </w:tc>
        <w:tc>
          <w:tcPr>
            <w:tcW w:type="dxa" w:w="7920"/>
            <w:shd w:fill="FFE0B2" w:val="clear"/>
          </w:tcPr>
          <w:p>
            <w:r>
              <w:rPr>
                <w:sz w:val="22"/>
                <w:szCs w:val="22"/>
              </w:rPr>
              <w:t xml:space="preserve">75% of gain is excluded.</w:t>
            </w:r>
          </w:p>
        </w:tc>
      </w:tr>
      <w:tr>
        <w:tc>
          <w:tcPr>
            <w:tcW w:type="dxa" w:w="1440"/>
            <w:shd w:fill="27AE60" w:val="clear"/>
          </w:tcPr>
          <w:p>
            <w:pPr>
              <w:jc w:val="center"/>
            </w:pPr>
            <w:r>
              <w:rPr>
                <w:b/>
                <w:bCs/>
                <w:color w:val="FFFFFF"/>
                <w:sz w:val="22"/>
                <w:szCs w:val="22"/>
              </w:rPr>
              <w:t xml:space="preserve">5+ Years</w:t>
            </w:r>
          </w:p>
        </w:tc>
        <w:tc>
          <w:tcPr>
            <w:tcW w:type="dxa" w:w="7920"/>
            <w:shd w:fill="E8F5E9" w:val="clear"/>
          </w:tcPr>
          <w:p>
            <w:r>
              <w:rPr>
                <w:b/>
                <w:bCs/>
                <w:color w:val="27AE60"/>
                <w:sz w:val="22"/>
                <w:szCs w:val="22"/>
              </w:rPr>
              <w:t xml:space="preserve">100% of gain is excluded (up to the $15M cap).</w:t>
            </w:r>
          </w:p>
        </w:tc>
      </w:tr>
    </w:tbl>
    <w:p>
      <w:pPr>
        <w:pStyle w:val="CriticalAction"/>
      </w:pPr>
      <w:r>
        <w:t xml:space="preserve">Critical Action: Forming the C-Corp and issuing your founder stock before December 31, 2025, is non-negotiable. This starts the holding period clock immediately.</w:t>
      </w:r>
    </w:p>
    <w:p>
      <w:r>
        <w:br w:type="page"/>
      </w:r>
    </w:p>
    <w:p>
      <w:pPr>
        <w:pStyle w:val="Heading1"/>
      </w:pPr>
      <w:r>
        <w:t xml:space="preserve">PART V. FINANCIAL PROJECTIONS &amp; VALUE CREATION</w:t>
      </w:r>
    </w:p>
    <w:p>
      <w:pPr>
        <w:pStyle w:val="Heading2"/>
      </w:pPr>
      <w:r>
        <w:t xml:space="preserve">Five-Year Financial Model</w:t>
      </w:r>
    </w:p>
    <w:p>
      <w:pPr>
        <w:spacing w:after="180"/>
      </w:pPr>
      <w:r>
        <w:rPr>
          <w:b/>
          <w:bCs/>
          <w:color w:val="003366"/>
          <w:sz w:val="24"/>
          <w:szCs w:val="24"/>
        </w:rPr>
        <w:t xml:space="preserve">Assumptions:</w:t>
      </w:r>
    </w:p>
    <w:p>
      <w:pPr>
        <w:pStyle w:val="ListParagraph"/>
        <w:numPr>
          <w:ilvl w:val="0"/>
          <w:numId w:val="2"/>
        </w:numPr>
      </w:pPr>
      <w:r>
        <w:t xml:space="preserve">Southwest Resume Services (Subsidiary) demonstrated $50,000 revenue in 6 months (annualized $100,000) and grows 25% annually.</w:t>
      </w:r>
    </w:p>
    <w:p>
      <w:pPr>
        <w:pStyle w:val="ListParagraph"/>
        <w:numPr>
          <w:ilvl w:val="0"/>
          <w:numId w:val="2"/>
        </w:numPr>
      </w:pPr>
      <w:r>
        <w:t xml:space="preserve">SparkData Analytics (Parent) begins generating platform revenue in Year 2.</w:t>
      </w:r>
    </w:p>
    <w:p>
      <w:pPr>
        <w:pStyle w:val="ListParagraph"/>
        <w:numPr>
          <w:ilvl w:val="0"/>
          <w:numId w:val="2"/>
        </w:numPr>
      </w:pPr>
      <w:r>
        <w:t xml:space="preserve">Combined R&amp;D investment of $100,000 annually.</w:t>
      </w:r>
    </w:p>
    <w:p>
      <w:pPr>
        <w:pStyle w:val="ListParagraph"/>
        <w:numPr>
          <w:ilvl w:val="0"/>
          <w:numId w:val="2"/>
        </w:numPr>
        <w:spacing w:after="360"/>
      </w:pPr>
      <w:r>
        <w:t xml:space="preserve">Exit event in Year 5 at 4x revenue multiple.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1560"/>
        <w:gridCol w:w="1560"/>
        <w:gridCol w:w="1560"/>
        <w:gridCol w:w="1560"/>
        <w:gridCol w:w="1560"/>
        <w:gridCol w:w="1560"/>
      </w:tblGrid>
      <w:tr>
        <w:trPr>
          <w:tblHeader/>
        </w:trPr>
        <w:tc>
          <w:tcPr>
            <w:tcW w:type="dxa" w:w="1560"/>
            <w:tcBorders>
              <w:top w:val="single" w:color="000000" w:sz="2"/>
              <w:left w:val="single" w:color="000000" w:sz="1"/>
              <w:bottom w:val="single" w:color="000000" w:sz="2"/>
              <w:right w:val="single" w:color="000000" w:sz="1"/>
            </w:tcBorders>
            <w:shd w:fill="1A237E" w:val="clear"/>
          </w:tcPr>
          <w:p>
            <w:pPr>
              <w:jc w:val="center"/>
            </w:pPr>
            <w:r>
              <w:rPr>
                <w:b/>
                <w:bCs/>
                <w:color w:val="FFFFFF"/>
                <w:sz w:val="20"/>
                <w:szCs w:val="20"/>
              </w:rPr>
              <w:t xml:space="preserve">Year</w:t>
            </w:r>
          </w:p>
        </w:tc>
        <w:tc>
          <w:tcPr>
            <w:tcW w:type="dxa" w:w="1560"/>
            <w:tcBorders>
              <w:top w:val="single" w:color="000000" w:sz="2"/>
              <w:left w:val="single" w:color="000000" w:sz="1"/>
              <w:bottom w:val="single" w:color="000000" w:sz="2"/>
              <w:right w:val="single" w:color="000000" w:sz="1"/>
            </w:tcBorders>
            <w:shd w:fill="1A237E" w:val="clear"/>
          </w:tcPr>
          <w:p>
            <w:pPr>
              <w:jc w:val="center"/>
            </w:pPr>
            <w:r>
              <w:rPr>
                <w:b/>
                <w:bCs/>
                <w:color w:val="FFFFFF"/>
                <w:sz w:val="20"/>
                <w:szCs w:val="20"/>
              </w:rPr>
              <w:t xml:space="preserve">Entity</w:t>
            </w:r>
          </w:p>
        </w:tc>
        <w:tc>
          <w:tcPr>
            <w:tcW w:type="dxa" w:w="1560"/>
            <w:tcBorders>
              <w:top w:val="single" w:color="000000" w:sz="2"/>
              <w:left w:val="single" w:color="000000" w:sz="1"/>
              <w:bottom w:val="single" w:color="000000" w:sz="2"/>
              <w:right w:val="single" w:color="000000" w:sz="1"/>
            </w:tcBorders>
            <w:shd w:fill="1A237E" w:val="clear"/>
          </w:tcPr>
          <w:p>
            <w:pPr>
              <w:jc w:val="center"/>
            </w:pPr>
            <w:r>
              <w:rPr>
                <w:b/>
                <w:bCs/>
                <w:color w:val="FFFFFF"/>
                <w:sz w:val="20"/>
                <w:szCs w:val="20"/>
              </w:rPr>
              <w:t xml:space="preserve">Revenue</w:t>
            </w:r>
          </w:p>
        </w:tc>
        <w:tc>
          <w:tcPr>
            <w:tcW w:type="dxa" w:w="1560"/>
            <w:tcBorders>
              <w:top w:val="single" w:color="000000" w:sz="2"/>
              <w:left w:val="single" w:color="000000" w:sz="1"/>
              <w:bottom w:val="single" w:color="000000" w:sz="2"/>
              <w:right w:val="single" w:color="000000" w:sz="1"/>
            </w:tcBorders>
            <w:shd w:fill="1A237E" w:val="clear"/>
          </w:tcPr>
          <w:p>
            <w:pPr>
              <w:jc w:val="center"/>
            </w:pPr>
            <w:r>
              <w:rPr>
                <w:b/>
                <w:bCs/>
                <w:color w:val="FFFFFF"/>
                <w:sz w:val="20"/>
                <w:szCs w:val="20"/>
              </w:rPr>
              <w:t xml:space="preserve">Operating Income</w:t>
            </w:r>
          </w:p>
        </w:tc>
        <w:tc>
          <w:tcPr>
            <w:tcW w:type="dxa" w:w="1560"/>
            <w:tcBorders>
              <w:top w:val="single" w:color="000000" w:sz="2"/>
              <w:left w:val="single" w:color="000000" w:sz="1"/>
              <w:bottom w:val="single" w:color="000000" w:sz="2"/>
              <w:right w:val="single" w:color="000000" w:sz="1"/>
            </w:tcBorders>
            <w:shd w:fill="1A237E" w:val="clear"/>
          </w:tcPr>
          <w:p>
            <w:pPr>
              <w:jc w:val="center"/>
            </w:pPr>
            <w:r>
              <w:rPr>
                <w:b/>
                <w:bCs/>
                <w:color w:val="FFFFFF"/>
                <w:sz w:val="20"/>
                <w:szCs w:val="20"/>
              </w:rPr>
              <w:t xml:space="preserve">NOL Utilization</w:t>
            </w:r>
          </w:p>
        </w:tc>
        <w:tc>
          <w:tcPr>
            <w:tcW w:type="dxa" w:w="1560"/>
            <w:tcBorders>
              <w:top w:val="single" w:color="000000" w:sz="2"/>
              <w:left w:val="single" w:color="000000" w:sz="1"/>
              <w:bottom w:val="single" w:color="000000" w:sz="2"/>
              <w:right w:val="single" w:color="000000" w:sz="1"/>
            </w:tcBorders>
            <w:shd w:fill="1A237E" w:val="clear"/>
          </w:tcPr>
          <w:p>
            <w:pPr>
              <w:jc w:val="center"/>
            </w:pPr>
            <w:r>
              <w:rPr>
                <w:b/>
                <w:bCs/>
                <w:color w:val="FFFFFF"/>
                <w:sz w:val="20"/>
                <w:szCs w:val="20"/>
              </w:rPr>
              <w:t xml:space="preserve">Tax Savings</w:t>
            </w:r>
          </w:p>
        </w:tc>
      </w:tr>
      <w:tr>
        <w:tc>
          <w:tcPr>
            <w:tcW w:type="dxa" w:w="1560"/>
            <w:tcBorders>
              <w:top w:val="single" w:color="CCCCCC" w:sz="1"/>
              <w:left w:val="single" w:color="CCCCCC" w:sz="1"/>
              <w:bottom w:val="single" w:color="CCCCCC" w:sz="1"/>
              <w:right w:val="single" w:color="CCCCCC" w:sz="1"/>
            </w:tcBorders>
            <w:shd w:fill="E8EAF6" w:val="clear"/>
          </w:tcPr>
          <w:p>
            <w:pPr>
              <w:jc w:val="center"/>
            </w:pPr>
            <w:r>
              <w:rPr>
                <w:sz w:val="20"/>
                <w:szCs w:val="20"/>
              </w:rPr>
              <w:t xml:space="preserve">Y1 (2026)</w:t>
            </w:r>
          </w:p>
        </w:tc>
        <w:tc>
          <w:tcPr>
            <w:tcW w:type="dxa" w:w="1560"/>
            <w:tcBorders>
              <w:top w:val="single" w:color="CCCCCC" w:sz="1"/>
              <w:left w:val="single" w:color="CCCCCC" w:sz="1"/>
              <w:bottom w:val="single" w:color="CCCCCC" w:sz="1"/>
              <w:right w:val="single" w:color="CCCCCC" w:sz="1"/>
            </w:tcBorders>
            <w:shd w:fill="E8EAF6" w:val="clear"/>
          </w:tcPr>
          <w:p>
            <w:pPr>
              <w:jc w:val="center"/>
            </w:pPr>
            <w:r>
              <w:rPr>
                <w:sz w:val="20"/>
                <w:szCs w:val="20"/>
              </w:rPr>
              <w:t xml:space="preserve">SRS (Sub)</w:t>
            </w:r>
          </w:p>
        </w:tc>
        <w:tc>
          <w:tcPr>
            <w:tcW w:type="dxa" w:w="1560"/>
            <w:tcBorders>
              <w:top w:val="single" w:color="CCCCCC" w:sz="1"/>
              <w:left w:val="single" w:color="CCCCCC" w:sz="1"/>
              <w:bottom w:val="single" w:color="CCCCCC" w:sz="1"/>
              <w:right w:val="single" w:color="CCCCCC" w:sz="1"/>
            </w:tcBorders>
            <w:shd w:fill="E8EAF6" w:val="clear"/>
          </w:tcPr>
          <w:p>
            <w:pPr>
              <w:jc w:val="center"/>
            </w:pPr>
            <w:r>
              <w:rPr>
                <w:sz w:val="20"/>
                <w:szCs w:val="20"/>
              </w:rPr>
              <w:t xml:space="preserve">$125,000</w:t>
            </w:r>
          </w:p>
        </w:tc>
        <w:tc>
          <w:tcPr>
            <w:tcW w:type="dxa" w:w="1560"/>
            <w:tcBorders>
              <w:top w:val="single" w:color="CCCCCC" w:sz="1"/>
              <w:left w:val="single" w:color="CCCCCC" w:sz="1"/>
              <w:bottom w:val="single" w:color="CCCCCC" w:sz="1"/>
              <w:right w:val="single" w:color="CCCCCC" w:sz="1"/>
            </w:tcBorders>
            <w:shd w:fill="E8EAF6" w:val="clear"/>
          </w:tcPr>
          <w:p>
            <w:pPr>
              <w:jc w:val="center"/>
            </w:pPr>
            <w:r>
              <w:rPr>
                <w:sz w:val="20"/>
                <w:szCs w:val="20"/>
              </w:rPr>
              <w:t xml:space="preserve">$35,000</w:t>
            </w:r>
          </w:p>
        </w:tc>
        <w:tc>
          <w:tcPr>
            <w:tcW w:type="dxa" w:w="1560"/>
            <w:tcBorders>
              <w:top w:val="single" w:color="CCCCCC" w:sz="1"/>
              <w:left w:val="single" w:color="CCCCCC" w:sz="1"/>
              <w:bottom w:val="single" w:color="CCCCCC" w:sz="1"/>
              <w:right w:val="single" w:color="CCCCCC" w:sz="1"/>
            </w:tcBorders>
            <w:shd w:fill="E8EAF6" w:val="clear"/>
          </w:tcPr>
          <w:p>
            <w:pPr>
              <w:jc w:val="center"/>
            </w:pPr>
            <w:r>
              <w:rPr>
                <w:sz w:val="20"/>
                <w:szCs w:val="20"/>
              </w:rPr>
              <w:t xml:space="preserve">$35,000</w:t>
            </w:r>
          </w:p>
        </w:tc>
        <w:tc>
          <w:tcPr>
            <w:tcW w:type="dxa" w:w="1560"/>
            <w:tcBorders>
              <w:top w:val="single" w:color="CCCCCC" w:sz="1"/>
              <w:left w:val="single" w:color="CCCCCC" w:sz="1"/>
              <w:bottom w:val="single" w:color="CCCCCC" w:sz="1"/>
              <w:right w:val="single" w:color="CCCCCC" w:sz="1"/>
            </w:tcBorders>
            <w:shd w:fill="E8EAF6" w:val="clear"/>
          </w:tcPr>
          <w:p>
            <w:pPr>
              <w:jc w:val="center"/>
            </w:pPr>
            <w:r>
              <w:rPr>
                <w:sz w:val="20"/>
                <w:szCs w:val="20"/>
              </w:rPr>
              <w:t xml:space="preserve">$8,400</w:t>
            </w:r>
          </w:p>
        </w:tc>
      </w:tr>
      <w:tr>
        <w:tc>
          <w:tcPr>
            <w:tcW w:type="dxa" w:w="1560"/>
            <w:tcBorders>
              <w:top w:val="single" w:color="CCCCCC" w:sz="1"/>
              <w:left w:val="single" w:color="CCCCCC" w:sz="1"/>
              <w:bottom w:val="single" w:color="CCCCCC" w:sz="1"/>
              <w:right w:val="single" w:color="CCCCCC" w:sz="1"/>
            </w:tcBorders>
          </w:tcP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SDA (Parent)</w:t>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$0</w:t>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($75,000) (R&amp;D)</w:t>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(Creates Corp NOL)</w:t>
            </w:r>
          </w:p>
        </w:tc>
        <w:tc>
          <w:tcPr>
            <w:tcW w:type="dxa" w:w="1560"/>
            <w:tcBorders>
              <w:top w:val="single" w:color="CCCCCC" w:sz="1"/>
              <w:left w:val="single" w:color="CCCCCC" w:sz="1"/>
              <w:bottom w:val="single" w:color="CCCCCC" w:sz="1"/>
              <w:right w:val="single" w:color="CCCCCC" w:sz="1"/>
            </w:tcBorders>
          </w:tcPr>
          <w:p/>
        </w:tc>
      </w:tr>
      <w:tr>
        <w:tc>
          <w:tcPr>
            <w:tcW w:type="dxa" w:w="1560"/>
            <w:tcBorders>
              <w:top w:val="single" w:color="CCCCCC" w:sz="1"/>
              <w:left w:val="single" w:color="CCCCCC" w:sz="1"/>
              <w:bottom w:val="single" w:color="CCCCCC" w:sz="1"/>
              <w:right w:val="single" w:color="CCCCCC" w:sz="1"/>
            </w:tcBorders>
            <w:shd w:fill="E8EAF6" w:val="clear"/>
          </w:tcPr>
          <w:p>
            <w:pPr>
              <w:jc w:val="center"/>
            </w:pPr>
            <w:r>
              <w:rPr>
                <w:sz w:val="20"/>
                <w:szCs w:val="20"/>
              </w:rPr>
              <w:t xml:space="preserve">Y2 (2027)</w:t>
            </w:r>
          </w:p>
        </w:tc>
        <w:tc>
          <w:tcPr>
            <w:tcW w:type="dxa" w:w="1560"/>
            <w:tcBorders>
              <w:top w:val="single" w:color="CCCCCC" w:sz="1"/>
              <w:left w:val="single" w:color="CCCCCC" w:sz="1"/>
              <w:bottom w:val="single" w:color="CCCCCC" w:sz="1"/>
              <w:right w:val="single" w:color="CCCCCC" w:sz="1"/>
            </w:tcBorders>
            <w:shd w:fill="E8EAF6" w:val="clear"/>
          </w:tcPr>
          <w:p>
            <w:pPr>
              <w:jc w:val="center"/>
            </w:pPr>
            <w:r>
              <w:rPr>
                <w:sz w:val="20"/>
                <w:szCs w:val="20"/>
              </w:rPr>
              <w:t xml:space="preserve">SRS (Sub)</w:t>
            </w:r>
          </w:p>
        </w:tc>
        <w:tc>
          <w:tcPr>
            <w:tcW w:type="dxa" w:w="1560"/>
            <w:tcBorders>
              <w:top w:val="single" w:color="CCCCCC" w:sz="1"/>
              <w:left w:val="single" w:color="CCCCCC" w:sz="1"/>
              <w:bottom w:val="single" w:color="CCCCCC" w:sz="1"/>
              <w:right w:val="single" w:color="CCCCCC" w:sz="1"/>
            </w:tcBorders>
            <w:shd w:fill="E8EAF6" w:val="clear"/>
          </w:tcPr>
          <w:p>
            <w:pPr>
              <w:jc w:val="center"/>
            </w:pPr>
            <w:r>
              <w:rPr>
                <w:sz w:val="20"/>
                <w:szCs w:val="20"/>
              </w:rPr>
              <w:t xml:space="preserve">$156,000</w:t>
            </w:r>
          </w:p>
        </w:tc>
        <w:tc>
          <w:tcPr>
            <w:tcW w:type="dxa" w:w="1560"/>
            <w:tcBorders>
              <w:top w:val="single" w:color="CCCCCC" w:sz="1"/>
              <w:left w:val="single" w:color="CCCCCC" w:sz="1"/>
              <w:bottom w:val="single" w:color="CCCCCC" w:sz="1"/>
              <w:right w:val="single" w:color="CCCCCC" w:sz="1"/>
            </w:tcBorders>
            <w:shd w:fill="E8EAF6" w:val="clear"/>
          </w:tcPr>
          <w:p>
            <w:pPr>
              <w:jc w:val="center"/>
            </w:pPr>
            <w:r>
              <w:rPr>
                <w:sz w:val="20"/>
                <w:szCs w:val="20"/>
              </w:rPr>
              <w:t xml:space="preserve">$50,000</w:t>
            </w:r>
          </w:p>
        </w:tc>
        <w:tc>
          <w:tcPr>
            <w:tcW w:type="dxa" w:w="1560"/>
            <w:tcBorders>
              <w:top w:val="single" w:color="CCCCCC" w:sz="1"/>
              <w:left w:val="single" w:color="CCCCCC" w:sz="1"/>
              <w:bottom w:val="single" w:color="CCCCCC" w:sz="1"/>
              <w:right w:val="single" w:color="CCCCCC" w:sz="1"/>
            </w:tcBorders>
            <w:shd w:fill="E8EAF6" w:val="clear"/>
          </w:tcPr>
          <w:p/>
        </w:tc>
        <w:tc>
          <w:tcPr>
            <w:tcW w:type="dxa" w:w="1560"/>
            <w:tcBorders>
              <w:top w:val="single" w:color="CCCCCC" w:sz="1"/>
              <w:left w:val="single" w:color="CCCCCC" w:sz="1"/>
              <w:bottom w:val="single" w:color="CCCCCC" w:sz="1"/>
              <w:right w:val="single" w:color="CCCCCC" w:sz="1"/>
            </w:tcBorders>
            <w:shd w:fill="E8EAF6" w:val="clear"/>
          </w:tcPr>
          <w:p/>
        </w:tc>
      </w:tr>
      <w:tr>
        <w:tc>
          <w:tcPr>
            <w:tcW w:type="dxa" w:w="1560"/>
            <w:tcBorders>
              <w:top w:val="single" w:color="CCCCCC" w:sz="1"/>
              <w:left w:val="single" w:color="CCCCCC" w:sz="1"/>
              <w:bottom w:val="single" w:color="CCCCCC" w:sz="1"/>
              <w:right w:val="single" w:color="CCCCCC" w:sz="1"/>
            </w:tcBorders>
          </w:tcP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SDA (Parent)</w:t>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$75,000</w:t>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($40,000) (R&amp;D)</w:t>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$40,000</w:t>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$9,600</w:t>
            </w:r>
          </w:p>
        </w:tc>
      </w:tr>
      <w:tr>
        <w:tc>
          <w:tcPr>
            <w:tcW w:type="dxa" w:w="1560"/>
            <w:tcBorders>
              <w:top w:val="single" w:color="CCCCCC" w:sz="1"/>
              <w:left w:val="single" w:color="CCCCCC" w:sz="1"/>
              <w:bottom w:val="single" w:color="CCCCCC" w:sz="1"/>
              <w:right w:val="single" w:color="CCCCCC" w:sz="1"/>
            </w:tcBorders>
            <w:shd w:fill="E8EAF6" w:val="clear"/>
          </w:tcPr>
          <w:p>
            <w:pPr>
              <w:jc w:val="center"/>
            </w:pPr>
            <w:r>
              <w:rPr>
                <w:sz w:val="20"/>
                <w:szCs w:val="20"/>
              </w:rPr>
              <w:t xml:space="preserve">Y3 (2028)</w:t>
            </w:r>
          </w:p>
        </w:tc>
        <w:tc>
          <w:tcPr>
            <w:tcW w:type="dxa" w:w="1560"/>
            <w:tcBorders>
              <w:top w:val="single" w:color="CCCCCC" w:sz="1"/>
              <w:left w:val="single" w:color="CCCCCC" w:sz="1"/>
              <w:bottom w:val="single" w:color="CCCCCC" w:sz="1"/>
              <w:right w:val="single" w:color="CCCCCC" w:sz="1"/>
            </w:tcBorders>
            <w:shd w:fill="E8EAF6" w:val="clear"/>
          </w:tcPr>
          <w:p>
            <w:pPr>
              <w:jc w:val="center"/>
            </w:pPr>
            <w:r>
              <w:rPr>
                <w:sz w:val="20"/>
                <w:szCs w:val="20"/>
              </w:rPr>
              <w:t xml:space="preserve">Combined</w:t>
            </w:r>
          </w:p>
        </w:tc>
        <w:tc>
          <w:tcPr>
            <w:tcW w:type="dxa" w:w="1560"/>
            <w:tcBorders>
              <w:top w:val="single" w:color="CCCCCC" w:sz="1"/>
              <w:left w:val="single" w:color="CCCCCC" w:sz="1"/>
              <w:bottom w:val="single" w:color="CCCCCC" w:sz="1"/>
              <w:right w:val="single" w:color="CCCCCC" w:sz="1"/>
            </w:tcBorders>
            <w:shd w:fill="E8EAF6" w:val="clear"/>
          </w:tcPr>
          <w:p>
            <w:pPr>
              <w:jc w:val="center"/>
            </w:pPr>
            <w:r>
              <w:rPr>
                <w:sz w:val="20"/>
                <w:szCs w:val="20"/>
              </w:rPr>
              <w:t xml:space="preserve">$395,000</w:t>
            </w:r>
          </w:p>
        </w:tc>
        <w:tc>
          <w:tcPr>
            <w:tcW w:type="dxa" w:w="1560"/>
            <w:tcBorders>
              <w:top w:val="single" w:color="CCCCCC" w:sz="1"/>
              <w:left w:val="single" w:color="CCCCCC" w:sz="1"/>
              <w:bottom w:val="single" w:color="CCCCCC" w:sz="1"/>
              <w:right w:val="single" w:color="CCCCCC" w:sz="1"/>
            </w:tcBorders>
            <w:shd w:fill="E8EAF6" w:val="clear"/>
          </w:tcPr>
          <w:p>
            <w:pPr>
              <w:jc w:val="center"/>
            </w:pPr>
            <w:r>
              <w:rPr>
                <w:sz w:val="20"/>
                <w:szCs w:val="20"/>
              </w:rPr>
              <w:t xml:space="preserve">$125,000</w:t>
            </w:r>
          </w:p>
        </w:tc>
        <w:tc>
          <w:tcPr>
            <w:tcW w:type="dxa" w:w="1560"/>
            <w:tcBorders>
              <w:top w:val="single" w:color="CCCCCC" w:sz="1"/>
              <w:left w:val="single" w:color="CCCCCC" w:sz="1"/>
              <w:bottom w:val="single" w:color="CCCCCC" w:sz="1"/>
              <w:right w:val="single" w:color="CCCCCC" w:sz="1"/>
            </w:tcBorders>
            <w:shd w:fill="E8EAF6" w:val="clear"/>
          </w:tcPr>
          <w:p>
            <w:pPr>
              <w:jc w:val="center"/>
            </w:pPr>
            <w:r>
              <w:rPr>
                <w:sz w:val="20"/>
                <w:szCs w:val="20"/>
              </w:rPr>
              <w:t xml:space="preserve">$75,000 (partial)</w:t>
            </w:r>
          </w:p>
        </w:tc>
        <w:tc>
          <w:tcPr>
            <w:tcW w:type="dxa" w:w="1560"/>
            <w:tcBorders>
              <w:top w:val="single" w:color="CCCCCC" w:sz="1"/>
              <w:left w:val="single" w:color="CCCCCC" w:sz="1"/>
              <w:bottom w:val="single" w:color="CCCCCC" w:sz="1"/>
              <w:right w:val="single" w:color="CCCCCC" w:sz="1"/>
            </w:tcBorders>
            <w:shd w:fill="E8EAF6" w:val="clear"/>
          </w:tcPr>
          <w:p>
            <w:pPr>
              <w:jc w:val="center"/>
            </w:pPr>
            <w:r>
              <w:rPr>
                <w:sz w:val="20"/>
                <w:szCs w:val="20"/>
              </w:rPr>
              <w:t xml:space="preserve">$18,000</w:t>
            </w:r>
          </w:p>
        </w:tc>
      </w:tr>
      <w:tr>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Y4 (2029)</w:t>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Combined</w:t>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$744,000</w:t>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$350,000</w:t>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$150,000 (Corp NOL)</w:t>
            </w:r>
          </w:p>
        </w:tc>
        <w:tc>
          <w:tcPr>
            <w:tcW w:type="dxa" w:w="1560"/>
            <w:tcBorders>
              <w:top w:val="single" w:color="CCCCCC" w:sz="1"/>
              <w:left w:val="single" w:color="CCCCCC" w:sz="1"/>
              <w:bottom w:val="single" w:color="CCCCCC" w:sz="1"/>
              <w:right w:val="single" w:color="CCCCCC" w:sz="1"/>
            </w:tcBorders>
          </w:tcPr>
          <w:p>
            <w:pPr>
              <w:jc w:val="center"/>
            </w:pPr>
            <w:r>
              <w:rPr>
                <w:sz w:val="20"/>
                <w:szCs w:val="20"/>
              </w:rPr>
              <w:t xml:space="preserve">$36,000</w:t>
            </w:r>
          </w:p>
        </w:tc>
      </w:tr>
      <w:tr>
        <w:tc>
          <w:tcPr>
            <w:tcW w:type="dxa" w:w="1560"/>
            <w:tcBorders>
              <w:top w:val="single" w:color="CCCCCC" w:sz="1"/>
              <w:left w:val="single" w:color="CCCCCC" w:sz="1"/>
              <w:bottom w:val="single" w:color="CCCCCC" w:sz="1"/>
              <w:right w:val="single" w:color="CCCCCC" w:sz="1"/>
            </w:tcBorders>
            <w:shd w:fill="E8EAF6" w:val="clear"/>
          </w:tcPr>
          <w:p>
            <w:pPr>
              <w:jc w:val="center"/>
            </w:pPr>
            <w:r>
              <w:rPr>
                <w:sz w:val="20"/>
                <w:szCs w:val="20"/>
              </w:rPr>
              <w:t xml:space="preserve">Y5 (2030)</w:t>
            </w:r>
          </w:p>
        </w:tc>
        <w:tc>
          <w:tcPr>
            <w:tcW w:type="dxa" w:w="1560"/>
            <w:tcBorders>
              <w:top w:val="single" w:color="CCCCCC" w:sz="1"/>
              <w:left w:val="single" w:color="CCCCCC" w:sz="1"/>
              <w:bottom w:val="single" w:color="CCCCCC" w:sz="1"/>
              <w:right w:val="single" w:color="CCCCCC" w:sz="1"/>
            </w:tcBorders>
            <w:shd w:fill="E8EAF6" w:val="clear"/>
          </w:tcPr>
          <w:p>
            <w:pPr>
              <w:jc w:val="center"/>
            </w:pPr>
            <w:r>
              <w:rPr>
                <w:sz w:val="20"/>
                <w:szCs w:val="20"/>
              </w:rPr>
              <w:t xml:space="preserve">Combined</w:t>
            </w:r>
          </w:p>
        </w:tc>
        <w:tc>
          <w:tcPr>
            <w:tcW w:type="dxa" w:w="1560"/>
            <w:tcBorders>
              <w:top w:val="single" w:color="CCCCCC" w:sz="1"/>
              <w:left w:val="single" w:color="CCCCCC" w:sz="1"/>
              <w:bottom w:val="single" w:color="CCCCCC" w:sz="1"/>
              <w:right w:val="single" w:color="CCCCCC" w:sz="1"/>
            </w:tcBorders>
            <w:shd w:fill="E8EAF6" w:val="clear"/>
          </w:tcPr>
          <w:p>
            <w:pPr>
              <w:jc w:val="center"/>
            </w:pPr>
            <w:r>
              <w:rPr>
                <w:sz w:val="20"/>
                <w:szCs w:val="20"/>
              </w:rPr>
              <w:t xml:space="preserve">$1,200,000</w:t>
            </w:r>
          </w:p>
        </w:tc>
        <w:tc>
          <w:tcPr>
            <w:tcW w:type="dxa" w:w="1560"/>
            <w:tcBorders>
              <w:top w:val="single" w:color="CCCCCC" w:sz="1"/>
              <w:left w:val="single" w:color="CCCCCC" w:sz="1"/>
              <w:bottom w:val="single" w:color="CCCCCC" w:sz="1"/>
              <w:right w:val="single" w:color="CCCCCC" w:sz="1"/>
            </w:tcBorders>
            <w:shd w:fill="E8EAF6" w:val="clear"/>
          </w:tcPr>
          <w:p/>
        </w:tc>
        <w:tc>
          <w:tcPr>
            <w:tcW w:type="dxa" w:w="1560"/>
            <w:tcBorders>
              <w:top w:val="single" w:color="CCCCCC" w:sz="1"/>
              <w:left w:val="single" w:color="CCCCCC" w:sz="1"/>
              <w:bottom w:val="single" w:color="CCCCCC" w:sz="1"/>
              <w:right w:val="single" w:color="CCCCCC" w:sz="1"/>
            </w:tcBorders>
            <w:shd w:fill="E8EAF6" w:val="clear"/>
          </w:tcPr>
          <w:p/>
        </w:tc>
        <w:tc>
          <w:tcPr>
            <w:tcW w:type="dxa" w:w="1560"/>
            <w:tcBorders>
              <w:top w:val="single" w:color="CCCCCC" w:sz="1"/>
              <w:left w:val="single" w:color="CCCCCC" w:sz="1"/>
              <w:bottom w:val="single" w:color="CCCCCC" w:sz="1"/>
              <w:right w:val="single" w:color="CCCCCC" w:sz="1"/>
            </w:tcBorders>
            <w:shd w:fill="E8EAF6" w:val="clear"/>
          </w:tcPr>
          <w:p/>
        </w:tc>
      </w:tr>
      <w:tr>
        <w:tc>
          <w:tcPr>
            <w:tcW w:type="dxa" w:w="1560"/>
            <w:tcBorders>
              <w:top w:val="single" w:color="000000" w:sz="1"/>
              <w:left w:val="single" w:color="000000" w:sz="1"/>
              <w:bottom w:val="single" w:color="000000" w:sz="2"/>
              <w:right w:val="single" w:color="000000" w:sz="1"/>
            </w:tcBorders>
            <w:shd w:fill="27AE60" w:val="clear"/>
          </w:tcPr>
          <w:p>
            <w:pPr>
              <w:jc w:val="center"/>
            </w:pPr>
            <w:r>
              <w:rPr>
                <w:b/>
                <w:bCs/>
                <w:color w:val="FFFFFF"/>
                <w:sz w:val="20"/>
                <w:szCs w:val="20"/>
              </w:rPr>
              <w:t xml:space="preserve">Exit @ 4x</w:t>
            </w:r>
          </w:p>
        </w:tc>
        <w:tc>
          <w:tcPr>
            <w:tcW w:type="dxa" w:w="1560"/>
            <w:tcBorders>
              <w:top w:val="single" w:color="000000" w:sz="1"/>
              <w:left w:val="single" w:color="000000" w:sz="1"/>
              <w:bottom w:val="single" w:color="000000" w:sz="2"/>
              <w:right w:val="single" w:color="000000" w:sz="1"/>
            </w:tcBorders>
            <w:shd w:fill="27AE60" w:val="clear"/>
          </w:tcPr>
          <w:p>
            <w:pPr>
              <w:jc w:val="center"/>
            </w:pPr>
            <w:r>
              <w:rPr>
                <w:b/>
                <w:bCs/>
                <w:color w:val="FFFFFF"/>
                <w:sz w:val="20"/>
                <w:szCs w:val="20"/>
              </w:rPr>
              <w:t xml:space="preserve">$4,800,000</w:t>
            </w:r>
          </w:p>
        </w:tc>
        <w:tc>
          <w:tcPr>
            <w:tcW w:type="dxa" w:w="1560"/>
            <w:tcBorders>
              <w:top w:val="single" w:color="000000" w:sz="1"/>
              <w:left w:val="single" w:color="000000" w:sz="1"/>
              <w:bottom w:val="single" w:color="000000" w:sz="2"/>
              <w:right w:val="single" w:color="000000" w:sz="1"/>
            </w:tcBorders>
            <w:shd w:fill="27AE60" w:val="clear"/>
          </w:tcPr>
          <w:p/>
        </w:tc>
        <w:tc>
          <w:tcPr>
            <w:tcW w:type="dxa" w:w="1560"/>
            <w:tcBorders>
              <w:top w:val="single" w:color="000000" w:sz="1"/>
              <w:left w:val="single" w:color="000000" w:sz="1"/>
              <w:bottom w:val="single" w:color="000000" w:sz="2"/>
              <w:right w:val="single" w:color="000000" w:sz="1"/>
            </w:tcBorders>
            <w:shd w:fill="27AE60" w:val="clear"/>
          </w:tcPr>
          <w:p/>
        </w:tc>
        <w:tc>
          <w:tcPr>
            <w:tcW w:type="dxa" w:w="1560"/>
            <w:tcBorders>
              <w:top w:val="single" w:color="000000" w:sz="1"/>
              <w:left w:val="single" w:color="000000" w:sz="1"/>
              <w:bottom w:val="single" w:color="000000" w:sz="2"/>
              <w:right w:val="single" w:color="000000" w:sz="1"/>
            </w:tcBorders>
            <w:shd w:fill="27AE60" w:val="clear"/>
          </w:tcPr>
          <w:p/>
        </w:tc>
        <w:tc>
          <w:tcPr>
            <w:tcW w:type="dxa" w:w="1560"/>
            <w:tcBorders>
              <w:top w:val="single" w:color="000000" w:sz="1"/>
              <w:left w:val="single" w:color="000000" w:sz="1"/>
              <w:bottom w:val="single" w:color="000000" w:sz="2"/>
              <w:right w:val="single" w:color="000000" w:sz="1"/>
            </w:tcBorders>
            <w:shd w:fill="27AE60" w:val="clear"/>
          </w:tcPr>
          <w:p/>
        </w:tc>
      </w:tr>
    </w:tbl>
    <w:p>
      <w:pPr>
        <w:spacing w:after="360"/>
      </w:pPr>
    </w:p>
    <w:p>
      <w:pPr>
        <w:spacing w:after="240"/>
      </w:pPr>
      <w:r>
        <w:rPr>
          <w:b/>
          <w:bCs/>
          <w:color w:val="003366"/>
          <w:sz w:val="26"/>
          <w:szCs w:val="26"/>
        </w:rPr>
        <w:t xml:space="preserve">Total Five-Year Value Creation:</w:t>
      </w:r>
    </w:p>
    <w:p>
      <w:r>
        <w:t xml:space="preserve">Operational Tax Savings (NOLs): $72,000</w:t>
      </w:r>
    </w:p>
    <w:p>
      <w:r>
        <w:t xml:space="preserve">QSBS Tax Savings (100% exclusion on $4.75M gain @ 23.8% rate): $1,130,500</w:t>
      </w:r>
    </w:p>
    <w:p>
      <w:r>
        <w:t xml:space="preserve">Brand Equity Preservation: $50,000</w:t>
      </w:r>
    </w:p>
    <w:p>
      <w:r>
        <w:t xml:space="preserve">Strategic Flexibility Value: $150,000</w:t>
      </w:r>
    </w:p>
    <w:p>
      <w:pPr>
        <w:pStyle w:val="FinancialHighlight"/>
      </w:pPr>
      <w:r>
        <w:t xml:space="preserve">Total Projected Value: $1,402,500</w:t>
      </w:r>
    </w:p>
    <w:p>
      <w:pPr>
        <w:pStyle w:val="Heading2"/>
      </w:pPr>
      <w:r>
        <w:t xml:space="preserve">Return on Investment Analysis</w:t>
      </w:r>
    </w:p>
    <w:p>
      <w:pPr>
        <w:spacing w:after="180"/>
      </w:pPr>
      <w:r>
        <w:rPr>
          <w:b/>
          <w:bCs/>
          <w:sz w:val="24"/>
          <w:szCs w:val="24"/>
        </w:rPr>
        <w:t xml:space="preserve">Costs of Dual-Entity Structure (5 Years):</w:t>
      </w:r>
    </w:p>
    <w:p>
      <w:pPr>
        <w:spacing w:after="240"/>
      </w:pPr>
      <w:r>
        <w:t xml:space="preserve">Additional Tax Prep, Registered Agent, Fees: ~$25,000</w:t>
      </w:r>
    </w:p>
    <w:p>
      <w:pPr>
        <w:pStyle w:val="KeyPoint"/>
      </w:pPr>
      <w:r>
        <w:t xml:space="preserve">Net Value Creation: $1,377,500</w:t>
      </w:r>
    </w:p>
    <w:p>
      <w:pPr>
        <w:pStyle w:val="FinancialHighlight"/>
      </w:pPr>
      <w:r>
        <w:t xml:space="preserve">Return on Investment: 5,510%</w:t>
      </w:r>
    </w:p>
    <w:p>
      <w:r>
        <w:br w:type="page"/>
      </w:r>
    </w:p>
    <w:p>
      <w:pPr>
        <w:pStyle w:val="Heading1"/>
      </w:pPr>
      <w:r>
        <w:t xml:space="preserve">PART VI. IMPLEMENTATION ROADMAP &amp; RESEARCH PLAN</w:t>
      </w:r>
    </w:p>
    <w:p>
      <w:pPr>
        <w:spacing w:after="360"/>
      </w:pPr>
      <w:r>
        <w:t xml:space="preserve">This is the definitive action plan.</w:t>
      </w:r>
    </w:p>
    <w:p>
      <w:pPr>
        <w:pStyle w:val="Heading2"/>
      </w:pPr>
      <w:r>
        <w:t xml:space="preserve">Phase One: Formation and Initial Structuring (November - December 2025)</w:t>
      </w:r>
    </w:p>
    <w:p>
      <w:pPr>
        <w:pStyle w:val="CriticalAction"/>
      </w:pPr>
      <w:r>
        <w:t xml:space="preserve">Action Item 1: Form SparkData Analytics, Inc. (CRITICAL)</w:t>
      </w:r>
    </w:p>
    <w:p>
      <w:pPr>
        <w:spacing w:after="180"/>
      </w:pPr>
      <w:r>
        <w:rPr>
          <w:b/>
          <w:bCs/>
        </w:rPr>
        <w:t xml:space="preserve">Timeline: </w:t>
      </w:r>
      <w:r>
        <w:t xml:space="preserve">Complete by December 15, 2025.</w:t>
      </w:r>
    </w:p>
    <w:p>
      <w:pPr>
        <w:spacing w:after="120"/>
      </w:pPr>
      <w:r>
        <w:rPr>
          <w:b/>
          <w:bCs/>
        </w:rPr>
        <w:t xml:space="preserve">Steps:</w:t>
      </w:r>
    </w:p>
    <w:p>
      <w:pPr>
        <w:pStyle w:val="ListParagraph"/>
        <w:numPr>
          <w:ilvl w:val="0"/>
          <w:numId w:val="2"/>
        </w:numPr>
      </w:pPr>
      <w:r>
        <w:t xml:space="preserve">File Certificate of Incorporation with Delaware Division of Corporations (as a C-Corp).</w:t>
      </w:r>
    </w:p>
    <w:p>
      <w:pPr>
        <w:pStyle w:val="ListParagraph"/>
        <w:numPr>
          <w:ilvl w:val="0"/>
          <w:numId w:val="2"/>
        </w:numPr>
      </w:pPr>
      <w:r>
        <w:t xml:space="preserve">Obtain Federal Employer Identification Number (EIN) from the IRS.</w:t>
      </w:r>
    </w:p>
    <w:p>
      <w:pPr>
        <w:pStyle w:val="ListParagraph"/>
        <w:numPr>
          <w:ilvl w:val="0"/>
          <w:numId w:val="2"/>
        </w:numPr>
      </w:pPr>
      <w:r>
        <w:t xml:space="preserve">Adopt bylaws, hold organizational meeting (even as sole founder), and issue founder stock.</w:t>
      </w:r>
    </w:p>
    <w:p>
      <w:pPr>
        <w:pStyle w:val="ListParagraph"/>
        <w:numPr>
          <w:ilvl w:val="0"/>
          <w:numId w:val="2"/>
        </w:numPr>
      </w:pPr>
      <w:r>
        <w:t xml:space="preserve">File 83(b) election within 30 days if stock is subject to vesting.</w:t>
      </w:r>
    </w:p>
    <w:p>
      <w:pPr>
        <w:pStyle w:val="ListParagraph"/>
        <w:numPr>
          <w:ilvl w:val="0"/>
          <w:numId w:val="2"/>
        </w:numPr>
        <w:spacing w:after="360"/>
      </w:pPr>
      <w:r>
        <w:t xml:space="preserve">Open a new corporate bank account for SparkData Analytics, Inc.</w:t>
      </w:r>
    </w:p>
    <w:p>
      <w:pPr>
        <w:pStyle w:val="CriticalAction"/>
      </w:pPr>
      <w:r>
        <w:t xml:space="preserve">Action Item 2: Execute IP, Asset, &amp; LLC Contribution (CRITICAL)</w:t>
      </w:r>
    </w:p>
    <w:p>
      <w:pPr>
        <w:spacing w:after="180"/>
      </w:pPr>
      <w:r>
        <w:rPr>
          <w:b/>
          <w:bCs/>
        </w:rPr>
        <w:t xml:space="preserve">Timeline: </w:t>
      </w:r>
      <w:r>
        <w:t xml:space="preserve">Complete by December 31, 2025.</w:t>
      </w:r>
    </w:p>
    <w:p>
      <w:pPr>
        <w:spacing w:after="120"/>
      </w:pPr>
      <w:r>
        <w:rPr>
          <w:b/>
          <w:bCs/>
        </w:rPr>
        <w:t xml:space="preserve">Steps:</w:t>
      </w:r>
    </w:p>
    <w:p>
      <w:pPr>
        <w:pStyle w:val="ListParagraph"/>
        <w:numPr>
          <w:ilvl w:val="0"/>
          <w:numId w:val="2"/>
        </w:numPr>
      </w:pPr>
      <w:r>
        <w:t xml:space="preserve">Draft and execute an Intellectual Property Assignment Agreement (transferring all IP from you to SDA).</w:t>
      </w:r>
    </w:p>
    <w:p>
      <w:pPr>
        <w:pStyle w:val="ListParagraph"/>
        <w:numPr>
          <w:ilvl w:val="0"/>
          <w:numId w:val="2"/>
        </w:numPr>
      </w:pPr>
      <w:r>
        <w:t xml:space="preserve">Draft and execute a Bill of Sale (transferring equipment from you to SDA).</w:t>
      </w:r>
    </w:p>
    <w:p>
      <w:pPr>
        <w:pStyle w:val="ListParagraph"/>
        <w:numPr>
          <w:ilvl w:val="0"/>
          <w:numId w:val="2"/>
        </w:numPr>
      </w:pPr>
      <w:r>
        <w:t xml:space="preserve">Draft and execute an Assignment of Membership Interest (transferring your 100% ownership of SRS, LLC to SDA).</w:t>
      </w:r>
    </w:p>
    <w:p>
      <w:pPr>
        <w:pStyle w:val="ListParagraph"/>
        <w:numPr>
          <w:ilvl w:val="0"/>
          <w:numId w:val="2"/>
        </w:numPr>
        <w:spacing w:after="360"/>
      </w:pPr>
      <w:r>
        <w:t xml:space="preserve">Draft a Contribution Agreement (the master document) specifying these transfers are a tax-free Section 351 exchange for your founder stock.</w:t>
      </w:r>
    </w:p>
    <w:p>
      <w:pPr>
        <w:spacing w:after="180"/>
      </w:pPr>
      <w:r>
        <w:rPr>
          <w:b/>
          <w:bCs/>
          <w:color w:val="003366"/>
          <w:sz w:val="24"/>
          <w:szCs w:val="24"/>
        </w:rPr>
        <w:t xml:space="preserve">Action Item 3: Update Southwest Resume Services Governance</w:t>
      </w:r>
    </w:p>
    <w:p>
      <w:pPr>
        <w:spacing w:after="180"/>
      </w:pPr>
      <w:r>
        <w:rPr>
          <w:b/>
          <w:bCs/>
        </w:rPr>
        <w:t xml:space="preserve">Timeline: </w:t>
      </w:r>
      <w:r>
        <w:t xml:space="preserve">By January 15, 2026.</w:t>
      </w:r>
    </w:p>
    <w:p>
      <w:pPr>
        <w:spacing w:after="120"/>
      </w:pPr>
      <w:r>
        <w:rPr>
          <w:b/>
          <w:bCs/>
        </w:rPr>
        <w:t xml:space="preserve">Steps:</w:t>
      </w:r>
    </w:p>
    <w:p>
      <w:pPr>
        <w:pStyle w:val="ListParagraph"/>
        <w:numPr>
          <w:ilvl w:val="0"/>
          <w:numId w:val="2"/>
        </w:numPr>
      </w:pPr>
      <w:r>
        <w:t xml:space="preserve">Amend the Southwest Resume Services, LLC Operating Agreement to name SparkData Analytics, Inc. as the new sole member.</w:t>
      </w:r>
    </w:p>
    <w:p>
      <w:pPr>
        <w:pStyle w:val="ListParagraph"/>
        <w:numPr>
          <w:ilvl w:val="0"/>
          <w:numId w:val="2"/>
        </w:numPr>
        <w:spacing w:after="360"/>
      </w:pPr>
      <w:r>
        <w:t xml:space="preserve">Notify the LLC's bank of the change in ownership (you will still be the signatory, but as an officer of the parent corp).</w:t>
      </w:r>
    </w:p>
    <w:p>
      <w:pPr>
        <w:pStyle w:val="Heading2"/>
      </w:pPr>
      <w:r>
        <w:t xml:space="preserve">Phase Two: Comprehensive Tax Research &amp; Filing (January - July 2026)</w:t>
      </w:r>
    </w:p>
    <w:p>
      <w:pPr>
        <w:pStyle w:val="CriticalAction"/>
      </w:pPr>
      <w:r>
        <w:t xml:space="preserve">Action Item 4: Comprehensive OBBBA Benefit Research &amp; Documentation (CRITICAL RESEARCH)</w:t>
      </w:r>
    </w:p>
    <w:p>
      <w:pPr>
        <w:spacing w:after="180"/>
      </w:pPr>
      <w:r>
        <w:rPr>
          <w:b/>
          <w:bCs/>
        </w:rPr>
        <w:t xml:space="preserve">Timeline: </w:t>
      </w:r>
      <w:r>
        <w:t xml:space="preserve">January 2026.</w:t>
      </w:r>
    </w:p>
    <w:p>
      <w:pPr>
        <w:spacing w:after="240"/>
      </w:pPr>
      <w:r>
        <w:rPr>
          <w:b/>
          <w:bCs/>
        </w:rPr>
        <w:t xml:space="preserve">Purpose: </w:t>
      </w:r>
      <w:r>
        <w:t xml:space="preserve">To audit all 2024-2025 expenses and build the evidentiary package for all OBBBA benefits.</w:t>
      </w:r>
    </w:p>
    <w:p>
      <w:pPr>
        <w:spacing w:after="120"/>
      </w:pPr>
      <w:r>
        <w:rPr>
          <w:b/>
          <w:bCs/>
          <w:color w:val="003366"/>
        </w:rPr>
        <w:t xml:space="preserve">4.A: R&amp;D Expense Deduction Audit:</w:t>
      </w:r>
    </w:p>
    <w:p>
      <w:pPr>
        <w:pStyle w:val="ListParagraph"/>
        <w:numPr>
          <w:ilvl w:val="0"/>
          <w:numId w:val="2"/>
        </w:numPr>
      </w:pPr>
      <w:r>
        <w:t xml:space="preserve">Compile all 2024-2025 expenses (subscriptions, hardware, API costs, etc.).</w:t>
      </w:r>
    </w:p>
    <w:p>
      <w:pPr>
        <w:pStyle w:val="ListParagraph"/>
        <w:numPr>
          <w:ilvl w:val="0"/>
          <w:numId w:val="2"/>
        </w:numPr>
        <w:spacing w:after="240"/>
      </w:pPr>
      <w:r>
        <w:t xml:space="preserve">Create a technical narrative linking each expense to a specific research activity (e.g., "OpenAI API cost used to test prompt engineering for keyword extraction"). This is required for the R&amp;D deduction.</w:t>
      </w:r>
    </w:p>
    <w:p>
      <w:pPr>
        <w:spacing w:after="120"/>
      </w:pPr>
      <w:r>
        <w:rPr>
          <w:b/>
          <w:bCs/>
          <w:color w:val="003366"/>
        </w:rPr>
        <w:t xml:space="preserve">4.B: R&amp;D Tax Credit Analysis:</w:t>
      </w:r>
    </w:p>
    <w:p>
      <w:r>
        <w:rPr>
          <w:b/>
          <w:bCs/>
        </w:rPr>
        <w:t xml:space="preserve">Task: </w:t>
      </w:r>
      <w:r>
        <w:t xml:space="preserve">Research your eligibility for the R&amp;D Tax Credit (Form 6765), which is a separate dollar-for-dollar credit, not a deduction.</w:t>
      </w:r>
    </w:p>
    <w:p>
      <w:pPr>
        <w:spacing w:after="240"/>
      </w:pPr>
      <w:r>
        <w:rPr>
          <w:b/>
          <w:bCs/>
        </w:rPr>
        <w:t xml:space="preserve">Metric: </w:t>
      </w:r>
      <w:r>
        <w:t xml:space="preserve">Quantify "Qualified Research Expenses" (QREs) and calculate the potential credit value.</w:t>
      </w:r>
    </w:p>
    <w:p>
      <w:pPr>
        <w:spacing w:after="120"/>
      </w:pPr>
      <w:r>
        <w:rPr>
          <w:b/>
          <w:bCs/>
          <w:color w:val="003366"/>
        </w:rPr>
        <w:t xml:space="preserve">4.C: R&amp;D Payroll Tax Offset Research:</w:t>
      </w:r>
    </w:p>
    <w:p>
      <w:r>
        <w:rPr>
          <w:b/>
          <w:bCs/>
        </w:rPr>
        <w:t xml:space="preserve">Task: </w:t>
      </w:r>
      <w:r>
        <w:t xml:space="preserve">This is the startup "workaround." Research the OBBBA provision allowing qualified small businesses to apply the R&amp;D credit directly against payroll taxes (via Form 8974).</w:t>
      </w:r>
    </w:p>
    <w:p>
      <w:r>
        <w:rPr>
          <w:b/>
          <w:bCs/>
        </w:rPr>
        <w:t xml:space="preserve">Metric: </w:t>
      </w:r>
      <w:r>
        <w:t xml:space="preserve">Determine the exact mechanism and potential cash-flow savings this provides for 2026.</w:t>
      </w:r>
    </w:p>
    <w:p>
      <w:pPr>
        <w:spacing w:after="360"/>
      </w:pPr>
      <w:r>
        <w:rPr>
          <w:b/>
          <w:bCs/>
        </w:rPr>
        <w:t xml:space="preserve">Metric: </w:t>
      </w:r>
      <w:r>
        <w:t xml:space="preserve">Produce an evidence package (dated photos of the dedicated office space, a simple floor plan showing the exclusive area, written policy) to protect all equipment deductions (chairs, $15k in computers, etc.) from an audit.</w:t>
      </w:r>
    </w:p>
    <w:p>
      <w:pPr>
        <w:pStyle w:val="CriticalAction"/>
      </w:pPr>
      <w:r>
        <w:t xml:space="preserve">Action Item 5: Prepare &amp; File Amended 2024 / 2025 Tax Returns (CRITICAL DEADLINE)</w:t>
      </w:r>
    </w:p>
    <w:p>
      <w:pPr>
        <w:spacing w:after="180"/>
      </w:pPr>
      <w:r>
        <w:rPr>
          <w:b/>
          <w:bCs/>
        </w:rPr>
        <w:t xml:space="preserve">Timeline: </w:t>
      </w:r>
      <w:r>
        <w:t xml:space="preserve">File by May 2026 (Absolute Deadline: July 3, 2026).</w:t>
      </w:r>
    </w:p>
    <w:p>
      <w:pPr>
        <w:spacing w:after="120"/>
      </w:pPr>
      <w:r>
        <w:rPr>
          <w:b/>
          <w:bCs/>
        </w:rPr>
        <w:t xml:space="preserve">Steps:</w:t>
      </w:r>
    </w:p>
    <w:p>
      <w:pPr>
        <w:pStyle w:val="ListParagraph"/>
        <w:numPr>
          <w:ilvl w:val="0"/>
          <w:numId w:val="2"/>
        </w:numPr>
      </w:pPr>
      <w:r>
        <w:t xml:space="preserve">Engage a CPA with specific OBBBA and R&amp;D credit expertise.</w:t>
      </w:r>
    </w:p>
    <w:p>
      <w:pPr>
        <w:pStyle w:val="ListParagraph"/>
        <w:numPr>
          <w:ilvl w:val="0"/>
          <w:numId w:val="2"/>
        </w:numPr>
      </w:pPr>
      <w:r>
        <w:t xml:space="preserve">Provide the complete documentation package from Action Item 4.</w:t>
      </w:r>
    </w:p>
    <w:p>
      <w:pPr>
        <w:pStyle w:val="ListParagraph"/>
        <w:numPr>
          <w:ilvl w:val="0"/>
          <w:numId w:val="2"/>
        </w:numPr>
      </w:pPr>
      <w:r>
        <w:rPr>
          <w:b/>
          <w:bCs/>
        </w:rPr>
        <w:t xml:space="preserve">File Amended 2024 Return (Form 1040-X): </w:t>
      </w:r>
      <w:r>
        <w:t xml:space="preserve">Based on the audit, retroactively claim the full R&amp;D deduction for 2024 (per Section 174A). This will likely generate a refund or increase your personal NOL.</w:t>
      </w:r>
    </w:p>
    <w:p>
      <w:pPr>
        <w:pStyle w:val="ListParagraph"/>
        <w:numPr>
          <w:ilvl w:val="0"/>
          <w:numId w:val="2"/>
        </w:numPr>
      </w:pPr>
      <w:r>
        <w:rPr>
          <w:b/>
          <w:bCs/>
        </w:rPr>
        <w:t xml:space="preserve">File 2025 Personal Return (Form 1040): </w:t>
      </w:r>
      <w:r>
        <w:t xml:space="preserve">Include your W-2 income, final Schedule C for SRS, and claim all deductions. This will establish your final personal NOL carryforward.</w:t>
      </w:r>
    </w:p>
    <w:p>
      <w:pPr>
        <w:pStyle w:val="ListParagraph"/>
        <w:numPr>
          <w:ilvl w:val="0"/>
          <w:numId w:val="2"/>
        </w:numPr>
      </w:pPr>
      <w:r>
        <w:rPr>
          <w:b/>
          <w:bCs/>
        </w:rPr>
        <w:t xml:space="preserve">File 2025 Corporate Return (Form 1120): </w:t>
      </w:r>
      <w:r>
        <w:t xml:space="preserve">File the initial (likely short-year) return for SparkData Analytics, Inc.</w:t>
      </w:r>
    </w:p>
    <w:p>
      <w:pPr>
        <w:pStyle w:val="ListParagraph"/>
        <w:numPr>
          <w:ilvl w:val="0"/>
          <w:numId w:val="2"/>
        </w:numPr>
      </w:pPr>
      <w:r>
        <w:rPr>
          <w:b/>
          <w:bCs/>
        </w:rPr>
        <w:t xml:space="preserve">Claim 100% Bonus Depreciation: </w:t>
      </w:r>
      <w:r>
        <w:t xml:space="preserve">Instruct the CPA to claim 100% bonus depreciation (not Section 179) on all qualifying equipment (e.g., the $15,000 in computers) placed in service after Jan 19, 2025. This is critical as it has no income limit and can be used to create the corporate NOL.</w:t>
      </w:r>
    </w:p>
    <w:p>
      <w:pPr>
        <w:pStyle w:val="ListParagraph"/>
        <w:numPr>
          <w:ilvl w:val="0"/>
          <w:numId w:val="2"/>
        </w:numPr>
        <w:spacing w:after="360"/>
      </w:pPr>
      <w:r>
        <w:rPr>
          <w:b/>
          <w:bCs/>
        </w:rPr>
        <w:t xml:space="preserve">Integrate Credits: </w:t>
      </w:r>
      <w:r>
        <w:t xml:space="preserve">Ensure the CPA files Form 6765 (for the R&amp;D Credit) and plans to file Form 8974 (for the Payroll Tax Offset) with your first 2026 payroll runs.</w:t>
      </w:r>
    </w:p>
    <w:p>
      <w:pPr>
        <w:pStyle w:val="Heading2"/>
      </w:pPr>
      <w:r>
        <w:t xml:space="preserve">Phase Three: Ongoing Operations &amp; Compliance (2026 and Beyond)</w:t>
      </w:r>
    </w:p>
    <w:p>
      <w:pPr>
        <w:spacing w:after="180"/>
      </w:pPr>
      <w:r>
        <w:rPr>
          <w:b/>
          <w:bCs/>
          <w:color w:val="003366"/>
          <w:sz w:val="24"/>
          <w:szCs w:val="24"/>
        </w:rPr>
        <w:t xml:space="preserve">Action Item 6: Establish Separate Accounting &amp; Governance</w:t>
      </w:r>
    </w:p>
    <w:p>
      <w:pPr>
        <w:spacing w:after="180"/>
      </w:pPr>
      <w:r>
        <w:rPr>
          <w:b/>
          <w:bCs/>
        </w:rPr>
        <w:t xml:space="preserve">Timeline: </w:t>
      </w:r>
      <w:r>
        <w:t xml:space="preserve">Q1 2026.</w:t>
      </w:r>
    </w:p>
    <w:p>
      <w:pPr>
        <w:spacing w:after="120"/>
      </w:pPr>
      <w:r>
        <w:rPr>
          <w:b/>
          <w:bCs/>
        </w:rPr>
        <w:t xml:space="preserve">Steps:</w:t>
      </w:r>
    </w:p>
    <w:p>
      <w:pPr>
        <w:pStyle w:val="ListParagraph"/>
        <w:numPr>
          <w:ilvl w:val="0"/>
          <w:numId w:val="2"/>
        </w:numPr>
      </w:pPr>
      <w:r>
        <w:t xml:space="preserve">Maintain separate bank accounts and accounting books (e.g., QuickBooks files) for SDA (Parent) and SRS (Subsidiary). This is crucial for liability protection.</w:t>
      </w:r>
    </w:p>
    <w:p>
      <w:pPr>
        <w:pStyle w:val="ListParagraph"/>
        <w:numPr>
          <w:ilvl w:val="0"/>
          <w:numId w:val="2"/>
        </w:numPr>
      </w:pPr>
      <w:r>
        <w:t xml:space="preserve">Hold an "Annual Meeting" (even just for yourself) and document minutes to maintain corporate formalities.</w:t>
      </w:r>
    </w:p>
    <w:p>
      <w:pPr>
        <w:pStyle w:val="ListParagraph"/>
        <w:numPr>
          <w:ilvl w:val="0"/>
          <w:numId w:val="2"/>
        </w:numPr>
        <w:spacing w:after="360"/>
      </w:pPr>
      <w:r>
        <w:t xml:space="preserve">File the Delaware Annual Franchise Tax report (due March 1 annually).</w:t>
      </w:r>
    </w:p>
    <w:p>
      <w:pPr>
        <w:spacing w:after="180"/>
      </w:pPr>
      <w:r>
        <w:rPr>
          <w:b/>
          <w:bCs/>
          <w:color w:val="003366"/>
          <w:sz w:val="24"/>
          <w:szCs w:val="24"/>
        </w:rPr>
        <w:t xml:space="preserve">Action Item 7: Monitor QSBS Compliance</w:t>
      </w:r>
    </w:p>
    <w:p>
      <w:pPr>
        <w:spacing w:after="180"/>
      </w:pPr>
      <w:r>
        <w:rPr>
          <w:b/>
          <w:bCs/>
        </w:rPr>
        <w:t xml:space="preserve">Timeline: </w:t>
      </w:r>
      <w:r>
        <w:t xml:space="preserve">Ongoing.</w:t>
      </w:r>
    </w:p>
    <w:p>
      <w:pPr>
        <w:spacing w:after="120"/>
      </w:pPr>
      <w:r>
        <w:rPr>
          <w:b/>
          <w:bCs/>
        </w:rPr>
        <w:t xml:space="preserve">Steps:</w:t>
      </w:r>
    </w:p>
    <w:p>
      <w:pPr>
        <w:pStyle w:val="ListParagraph"/>
        <w:numPr>
          <w:ilvl w:val="0"/>
          <w:numId w:val="2"/>
        </w:numPr>
      </w:pPr>
      <w:r>
        <w:t xml:space="preserve">Continuously verify that the company meets the 80% "Active Business" test.</w:t>
      </w:r>
    </w:p>
    <w:p>
      <w:pPr>
        <w:pStyle w:val="ListParagraph"/>
        <w:numPr>
          <w:ilvl w:val="0"/>
          <w:numId w:val="2"/>
        </w:numPr>
        <w:spacing w:after="480"/>
      </w:pPr>
      <w:r>
        <w:t xml:space="preserve">Before any future stock issuance (e.g., to employees or investors), confirm aggregate gross assets are still below the $75M threshold.</w:t>
      </w:r>
    </w:p>
    <w:p>
      <w:r>
        <w:br w:type="page"/>
      </w:r>
    </w:p>
    <w:p>
      <w:pPr>
        <w:pStyle w:val="Heading1"/>
      </w:pPr>
      <w:r>
        <w:t xml:space="preserve">PART VII. RISK ANALYSIS &amp; MITIGATION</w:t>
      </w:r>
    </w:p>
    <w:p>
      <w:pPr>
        <w:spacing w:after="120"/>
      </w:pPr>
      <w:r>
        <w:rPr>
          <w:b/>
          <w:bCs/>
          <w:color w:val="E74C3C"/>
          <w:sz w:val="24"/>
          <w:szCs w:val="24"/>
        </w:rPr>
        <w:t xml:space="preserve">Tax Examination Risk:</w:t>
      </w:r>
    </w:p>
    <w:p>
      <w:pPr>
        <w:spacing w:after="120"/>
      </w:pPr>
      <w:r>
        <w:rPr>
          <w:b/>
          <w:bCs/>
        </w:rPr>
        <w:t xml:space="preserve">Risk: </w:t>
      </w:r>
      <w:r>
        <w:t xml:space="preserve">The IRS challenges your R&amp;D claims or home office deductions.</w:t>
      </w:r>
    </w:p>
    <w:p>
      <w:pPr>
        <w:spacing w:after="360"/>
      </w:pPr>
      <w:r>
        <w:rPr>
          <w:b/>
          <w:bCs/>
          <w:color w:val="27AE60"/>
        </w:rPr>
        <w:t xml:space="preserve">Mitigation: </w:t>
      </w:r>
      <w:r>
        <w:t xml:space="preserve">The research and documentation from Action Item 4 is your defense. Contemporaneous technical narratives and photos are the strongest possible evidence.</w:t>
      </w:r>
    </w:p>
    <w:p>
      <w:pPr>
        <w:spacing w:after="120"/>
      </w:pPr>
      <w:r>
        <w:rPr>
          <w:b/>
          <w:bCs/>
          <w:color w:val="E74C3C"/>
          <w:sz w:val="24"/>
          <w:szCs w:val="24"/>
        </w:rPr>
        <w:t xml:space="preserve">QSBS Qualification Risk:</w:t>
      </w:r>
    </w:p>
    <w:p>
      <w:pPr>
        <w:spacing w:after="120"/>
      </w:pPr>
      <w:r>
        <w:rPr>
          <w:b/>
          <w:bCs/>
        </w:rPr>
        <w:t xml:space="preserve">Risk: </w:t>
      </w:r>
      <w:r>
        <w:t xml:space="preserve">Failing to maintain the "Active Business" test or other C-Corp formalities.</w:t>
      </w:r>
    </w:p>
    <w:p>
      <w:pPr>
        <w:spacing w:after="360"/>
      </w:pPr>
      <w:r>
        <w:rPr>
          <w:b/>
          <w:bCs/>
          <w:color w:val="27AE60"/>
        </w:rPr>
        <w:t xml:space="preserve">Mitigation: </w:t>
      </w:r>
      <w:r>
        <w:t xml:space="preserve">Action Item 7 (Ongoing Compliance). Do not let cash or passive investments accumulate to more than 20% of the company's assets.</w:t>
      </w:r>
    </w:p>
    <w:p>
      <w:pPr>
        <w:spacing w:after="120"/>
      </w:pPr>
      <w:r>
        <w:rPr>
          <w:b/>
          <w:bCs/>
          <w:color w:val="E74C3C"/>
          <w:sz w:val="24"/>
          <w:szCs w:val="24"/>
        </w:rPr>
        <w:t xml:space="preserve">Business Failure Risk:</w:t>
      </w:r>
    </w:p>
    <w:p>
      <w:pPr>
        <w:spacing w:after="120"/>
      </w:pPr>
      <w:r>
        <w:rPr>
          <w:b/>
          <w:bCs/>
        </w:rPr>
        <w:t xml:space="preserve">Risk: </w:t>
      </w:r>
      <w:r>
        <w:t xml:space="preserve">The startup fails, making the QSBS planning moot.</w:t>
      </w:r>
    </w:p>
    <w:p>
      <w:pPr>
        <w:spacing w:after="480"/>
      </w:pPr>
      <w:r>
        <w:rPr>
          <w:b/>
          <w:bCs/>
          <w:color w:val="27AE60"/>
        </w:rPr>
        <w:t xml:space="preserve">Mitigation: </w:t>
      </w:r>
      <w:r>
        <w:t xml:space="preserve">This structure maximizes your near-term cash flow via the R&amp;D credits (Payroll Offset) and deductions (NOLs), giving you a longer runway and a better chance of success.</w:t>
      </w:r>
    </w:p>
    <w:p>
      <w:pPr>
        <w:pStyle w:val="Heading1"/>
      </w:pPr>
      <w:r>
        <w:t xml:space="preserve">PART VIII. PROFESSIONAL ADVISOR REQUIREMENTS</w:t>
      </w:r>
    </w:p>
    <w:p>
      <w:pPr>
        <w:spacing w:after="120"/>
      </w:pPr>
      <w:r>
        <w:rPr>
          <w:b/>
          <w:bCs/>
          <w:color w:val="003366"/>
          <w:sz w:val="24"/>
          <w:szCs w:val="24"/>
        </w:rPr>
        <w:t xml:space="preserve">Corporate Attorney (Immediate):</w:t>
      </w:r>
    </w:p>
    <w:p>
      <w:pPr>
        <w:spacing w:after="120"/>
      </w:pPr>
      <w:r>
        <w:rPr>
          <w:b/>
          <w:bCs/>
        </w:rPr>
        <w:t xml:space="preserve">Task: </w:t>
      </w:r>
      <w:r>
        <w:t xml:space="preserve">Handle Delaware C-Corp formation, draft Section 351 Contribution Agreements, and draft the IP Assignment.</w:t>
      </w:r>
    </w:p>
    <w:p>
      <w:pPr>
        <w:spacing w:after="360"/>
      </w:pPr>
      <w:r>
        <w:rPr>
          <w:b/>
          <w:bCs/>
        </w:rPr>
        <w:t xml:space="preserve">Budget: </w:t>
      </w:r>
      <w:r>
        <w:t xml:space="preserve">$2,500 - $5,000.</w:t>
      </w:r>
    </w:p>
    <w:p>
      <w:pPr>
        <w:spacing w:after="120"/>
      </w:pPr>
      <w:r>
        <w:rPr>
          <w:b/>
          <w:bCs/>
          <w:color w:val="003366"/>
          <w:sz w:val="24"/>
          <w:szCs w:val="24"/>
        </w:rPr>
        <w:t xml:space="preserve">Tax Advisor/CPA (Immediate):</w:t>
      </w:r>
    </w:p>
    <w:p>
      <w:pPr>
        <w:spacing w:after="120"/>
      </w:pPr>
      <w:r>
        <w:rPr>
          <w:b/>
          <w:bCs/>
        </w:rPr>
        <w:t xml:space="preserve">Task: </w:t>
      </w:r>
      <w:r>
        <w:t xml:space="preserve">Must have OBBBA &amp; R&amp;D credit experience. Will handle the analysis for Action Item 4, file the amended 2024 return, and structure the R&amp;D Payroll Tax Offset.</w:t>
      </w:r>
    </w:p>
    <w:p>
      <w:pPr>
        <w:spacing w:after="480"/>
      </w:pPr>
      <w:r>
        <w:rPr>
          <w:b/>
          <w:bCs/>
        </w:rPr>
        <w:t xml:space="preserve">Budget: </w:t>
      </w:r>
      <w:r>
        <w:t xml:space="preserve">$5,000 - $10,000 (for planning and multi-year returns).</w:t>
      </w:r>
    </w:p>
    <w:p>
      <w:r>
        <w:br w:type="page"/>
      </w:r>
    </w:p>
    <w:p>
      <w:pPr>
        <w:pStyle w:val="Heading1"/>
      </w:pPr>
      <w:r>
        <w:t xml:space="preserve">PART IX. CONCLUSION AND STRATEGIC AFFIRMATION</w:t>
      </w:r>
    </w:p>
    <w:p>
      <w:pPr>
        <w:spacing w:after="240"/>
      </w:pPr>
      <w:r>
        <w:t xml:space="preserve">This dual-entity, parent-subsidiary structure represents the most sophisticated and optimized approach for your specific situation.</w:t>
      </w:r>
    </w:p>
    <w:p>
      <w:pPr>
        <w:spacing w:after="240"/>
      </w:pPr>
      <w:r>
        <w:t xml:space="preserve">It is not merely a "workaround"; it is the intended use of the OBBBA provisions designed to support R&amp;D-intensive domestic startups.</w:t>
      </w:r>
    </w:p>
    <w:p>
      <w:pPr>
        <w:spacing w:after="240"/>
      </w:pPr>
      <w:r>
        <w:t xml:space="preserve">This plan achieves all key objectives:</w:t>
      </w:r>
    </w:p>
    <w:p>
      <w:pPr>
        <w:pStyle w:val="ListParagraph"/>
        <w:numPr>
          <w:ilvl w:val="0"/>
          <w:numId w:val="2"/>
        </w:numPr>
      </w:pPr>
      <w:r>
        <w:rPr>
          <w:b/>
          <w:bCs/>
        </w:rPr>
        <w:t xml:space="preserve">Starts the QSBS Clock: </w:t>
      </w:r>
      <w:r>
        <w:t xml:space="preserve">Secures your path to a potential $15M tax-free exit.</w:t>
      </w:r>
    </w:p>
    <w:p>
      <w:pPr>
        <w:pStyle w:val="ListParagraph"/>
        <w:numPr>
          <w:ilvl w:val="0"/>
          <w:numId w:val="2"/>
        </w:numPr>
      </w:pPr>
      <w:r>
        <w:rPr>
          <w:b/>
          <w:bCs/>
        </w:rPr>
        <w:t xml:space="preserve">Preserves NOLs: </w:t>
      </w:r>
      <w:r>
        <w:t xml:space="preserve">Saves your $57k-$72k in personal NOLs to offset future salary.</w:t>
      </w:r>
    </w:p>
    <w:p>
      <w:pPr>
        <w:pStyle w:val="ListParagraph"/>
        <w:numPr>
          <w:ilvl w:val="0"/>
          <w:numId w:val="2"/>
        </w:numPr>
      </w:pPr>
      <w:r>
        <w:rPr>
          <w:b/>
          <w:bCs/>
        </w:rPr>
        <w:t xml:space="preserve">Protects Assets: </w:t>
      </w:r>
      <w:r>
        <w:t xml:space="preserve">Uses the subsidiary structure to isolate liability.</w:t>
      </w:r>
    </w:p>
    <w:p>
      <w:pPr>
        <w:pStyle w:val="ListParagraph"/>
        <w:numPr>
          <w:ilvl w:val="0"/>
          <w:numId w:val="2"/>
        </w:numPr>
        <w:spacing w:after="360"/>
      </w:pPr>
      <w:r>
        <w:rPr>
          <w:b/>
          <w:bCs/>
        </w:rPr>
        <w:t xml:space="preserve">Maximizes Cash Flow: </w:t>
      </w:r>
      <w:r>
        <w:t xml:space="preserve">Implements a research plan to capture not just deductions but immediate cash-value tax credits via the payroll tax offset.</w:t>
      </w:r>
    </w:p>
    <w:p>
      <w:pPr>
        <w:spacing w:after="360"/>
      </w:pPr>
      <w:r>
        <w:t xml:space="preserve">The immediate priorities are forming SparkData Analytics, Inc. by December 31, 2025, and executing the comprehensive research plan in Action Item 4 to capture all retroactive and current benefits.</w:t>
      </w:r>
    </w:p>
    <w:p>
      <w:pPr>
        <w:pStyle w:val="Heading2"/>
      </w:pPr>
      <w:r>
        <w:t xml:space="preserve">Strategic Affirmation</w:t>
      </w:r>
    </w:p>
    <w:p>
      <w:pPr>
        <w:spacing w:after="240"/>
      </w:pPr>
      <w:r>
        <w:t xml:space="preserve">This memorandum serves as the formal documentation of the Company's strategic decision. The analysis demonstrates this structure:</w:t>
      </w:r>
    </w:p>
    <w:p>
      <w:pPr>
        <w:pStyle w:val="ListParagraph"/>
        <w:numPr>
          <w:ilvl w:val="0"/>
          <w:numId w:val="2"/>
        </w:numPr>
      </w:pPr>
      <w:r>
        <w:t xml:space="preserve">Aligns with Congressional intent under OBBBA.</w:t>
      </w:r>
    </w:p>
    <w:p>
      <w:pPr>
        <w:pStyle w:val="ListParagraph"/>
        <w:numPr>
          <w:ilvl w:val="0"/>
          <w:numId w:val="2"/>
        </w:numPr>
      </w:pPr>
      <w:r>
        <w:t xml:space="preserve">Maximizes all available tax benefits (Deductions, Credits, and QSBS).</w:t>
      </w:r>
    </w:p>
    <w:p>
      <w:pPr>
        <w:pStyle w:val="ListParagraph"/>
        <w:numPr>
          <w:ilvl w:val="0"/>
          <w:numId w:val="2"/>
        </w:numPr>
      </w:pPr>
      <w:r>
        <w:t xml:space="preserve">Preserves substantial business value through brand equity and liability protection.</w:t>
      </w:r>
    </w:p>
    <w:p>
      <w:pPr>
        <w:pStyle w:val="ListParagraph"/>
        <w:numPr>
          <w:ilvl w:val="0"/>
          <w:numId w:val="2"/>
        </w:numPr>
        <w:spacing w:after="480"/>
      </w:pPr>
      <w:r>
        <w:t xml:space="preserve">Positions both entities for sustainable success and maximum enterprise value.</w:t>
      </w:r>
    </w:p>
    <w:p>
      <w:pPr>
        <w:spacing w:before="240" w:after="240"/>
        <w:jc w:val="center"/>
      </w:pPr>
      <w:r>
        <w:rPr>
          <w:color w:val="D4AF37"/>
          <w:sz w:val="16"/>
          <w:szCs w:val="16"/>
        </w:rPr>
        <w:t xml:space="preserve">━━━━━━━━━━━━━━━━━━━━━━━━━━━━━━</w:t>
      </w:r>
    </w:p>
    <w:p>
      <w:pPr>
        <w:jc w:val="center"/>
      </w:pPr>
      <w:r>
        <w:rPr>
          <w:b/>
          <w:bCs/>
          <w:i/>
          <w:iCs/>
          <w:color w:val="003366"/>
          <w:sz w:val="24"/>
          <w:szCs w:val="24"/>
        </w:rPr>
        <w:t xml:space="preserve">[END OF MEMORANDUM]</w:t>
      </w:r>
    </w:p>
    <w:sectPr>
      <w:headerReference w:type="default" r:id="rId6"/>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CEFF1" w:sz="2"/>
      </w:pBdr>
      <w:jc w:val="center"/>
    </w:pPr>
    <w:r>
      <w:rPr>
        <w:color w:val="546E7A"/>
        <w:sz w:val="18"/>
        <w:szCs w:val="18"/>
      </w:rPr>
      <w:t xml:space="preserve">Southwest Resume Services, LLC | SparkData Analytics, Inc. | </w:t>
    </w:r>
    <w:r>
      <w:rPr>
        <w:color w:val="546E7A"/>
        <w:sz w:val="18"/>
        <w:szCs w:val="18"/>
      </w:rPr>
      <w:t xml:space="preserve">Page </w:t>
    </w:r>
    <w:r>
      <w:rPr>
        <w:b/>
        <w:bCs/>
        <w:color w:val="003366"/>
        <w:sz w:val="18"/>
        <w:szCs w:val="18"/>
      </w:rPr>
      <w:fldChar w:fldCharType="begin"/>
      <w:instrText xml:space="preserve">PAGE</w:instrText>
      <w:fldChar w:fldCharType="separate"/>
      <w:fldChar w:fldCharType="end"/>
    </w:r>
    <w:r>
      <w:rPr>
        <w:color w:val="546E7A"/>
        <w:sz w:val="18"/>
        <w:szCs w:val="18"/>
      </w:rPr>
      <w:t xml:space="preserve"> of </w:t>
    </w:r>
    <w:r>
      <w:rPr>
        <w:b/>
        <w:bCs/>
        <w:color w:val="0033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6"/>
      </w:pBdr>
      <w:jc w:val="center"/>
    </w:pPr>
    <w:r>
      <w:rPr>
        <w:b/>
        <w:bCs/>
        <w:color w:val="E74C3C"/>
        <w:sz w:val="20"/>
        <w:szCs w:val="20"/>
      </w:rPr>
      <w:t xml:space="preserve">CONFIDENTIAL</w:t>
    </w:r>
    <w:r>
      <w:rPr>
        <w:color w:val="546E7A"/>
        <w:sz w:val="20"/>
        <w:szCs w:val="20"/>
      </w:rPr>
      <w:t xml:space="preserve"> | STRATEGIC PLANNING DOCUMENT | </w:t>
    </w:r>
    <w:r>
      <w:rPr>
        <w:b/>
        <w:bCs/>
        <w:color w:val="E74C3C"/>
        <w:sz w:val="20"/>
        <w:szCs w:val="20"/>
      </w:rPr>
      <w:t xml:space="preserve">PROPRIETARY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egoe UI Symbol" w:cs="Segoe UI Symbol" w:eastAsia="Segoe UI Symbol" w:hAnsi="Segoe UI Symbol"/>
        <w:color w:val="D4AF37"/>
        <w:sz w:val="28"/>
        <w:szCs w:val="28"/>
      </w:rPr>
    </w:lvl>
  </w:abstractNum>
  <w:abstractNum w:abstractNumId="3" w15:restartNumberingAfterBreak="0">
    <w:multiLevelType w:val="hybridMultilevel"/>
    <w:lvl w:ilvl="0" w15:tentative="1">
      <w:start w:val="1"/>
      <w:numFmt w:val="decimal"/>
      <w:lvlText w:val="%1."/>
      <w:lvlJc w:val="left"/>
      <w:pPr>
        <w:ind w:left="720" w:hanging="360"/>
      </w:pPr>
      <w:rPr>
        <w:b/>
        <w:bCs/>
        <w:color w:val="003366"/>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pBdr>
        <w:bottom w:val="thick" w:color="D4AF37" w:sz="12" w:space="20"/>
      </w:pBdr>
      <w:spacing w:before="0" w:after="360"/>
      <w:jc w:val="center"/>
    </w:pPr>
    <w:rPr>
      <w:rFonts w:ascii="Segoe UI Light" w:cs="Segoe UI Light" w:eastAsia="Segoe UI Light" w:hAnsi="Segoe UI Light"/>
      <w:b w:val="false"/>
      <w:bCs w:val="false"/>
      <w:caps/>
      <w:color w:val="003366"/>
      <w:sz w:val="48"/>
      <w:szCs w:val="48"/>
    </w:rPr>
  </w:style>
  <w:style w:type="paragraph" w:styleId="Subtitle">
    <w:name w:val="Subtitle"/>
    <w:basedOn w:val="Normal"/>
    <w:pPr>
      <w:spacing w:before="0" w:after="480"/>
      <w:jc w:val="center"/>
    </w:pPr>
    <w:rPr>
      <w:rFonts w:ascii="Segoe UI Semibold" w:cs="Segoe UI Semibold" w:eastAsia="Segoe UI Semibold" w:hAnsi="Segoe UI Semibold"/>
      <w:i/>
      <w:iCs/>
      <w:color w:val="546E7A"/>
      <w:sz w:val="32"/>
      <w:szCs w:val="32"/>
    </w:rPr>
  </w:style>
  <w:style w:type="paragraph" w:styleId="ExecutiveSummary">
    <w:name w:val="Executive Summary"/>
    <w:basedOn w:val="Normal"/>
    <w:pPr>
      <w:pBdr>
        <w:left w:val="thick" w:color="D4AF37" w:sz="24" w:space="10"/>
      </w:pBdr>
      <w:shd w:fill="ECEFF1" w:val="clear"/>
      <w:spacing w:before="360" w:after="240"/>
      <w:ind w:left="-720"/>
    </w:pPr>
    <w:rPr>
      <w:rFonts w:ascii="Segoe UI" w:cs="Segoe UI" w:eastAsia="Segoe UI" w:hAnsi="Segoe UI"/>
      <w:b/>
      <w:bCs/>
      <w:caps/>
      <w:color w:val="0D47A1"/>
      <w:sz w:val="36"/>
      <w:szCs w:val="36"/>
    </w:rPr>
  </w:style>
  <w:style w:type="paragraph" w:styleId="Heading1">
    <w:name w:val="Heading 1"/>
    <w:basedOn w:val="Normal"/>
    <w:pPr>
      <w:pBdr>
        <w:top w:val="single" w:color="003366" w:sz="2" w:space="5"/>
        <w:left w:val="single" w:color="D4AF37" w:sz="36" w:space="10"/>
      </w:pBdr>
      <w:shd w:fill="F0F4F8" w:val="clear"/>
      <w:spacing w:before="480" w:after="240"/>
      <w:ind w:left="240"/>
      <w:outlineLvl w:val="0"/>
    </w:pPr>
    <w:rPr>
      <w:rFonts w:ascii="Segoe UI Semibold" w:cs="Segoe UI Semibold" w:eastAsia="Segoe UI Semibold" w:hAnsi="Segoe UI Semibold"/>
      <w:b/>
      <w:bCs/>
      <w:caps/>
      <w:color w:val="003366"/>
      <w:sz w:val="34"/>
      <w:szCs w:val="34"/>
    </w:rPr>
  </w:style>
  <w:style w:type="paragraph" w:styleId="Heading2">
    <w:name w:val="Heading 2"/>
    <w:basedOn w:val="Normal"/>
    <w:pPr>
      <w:pBdr>
        <w:bottom w:val="dotDash" w:color="D4AF37" w:sz="3" w:space="5"/>
      </w:pBdr>
      <w:spacing w:before="360" w:after="180"/>
      <w:outlineLvl w:val="1"/>
    </w:pPr>
    <w:rPr>
      <w:rFonts w:ascii="Segoe UI" w:cs="Segoe UI" w:eastAsia="Segoe UI" w:hAnsi="Segoe UI"/>
      <w:b/>
      <w:bCs/>
      <w:color w:val="2C3E50"/>
      <w:sz w:val="28"/>
      <w:szCs w:val="28"/>
    </w:rPr>
  </w:style>
  <w:style w:type="paragraph" w:styleId="Heading3">
    <w:name w:val="Heading 3"/>
    <w:basedOn w:val="Normal"/>
    <w:pPr>
      <w:spacing w:before="240" w:after="120"/>
      <w:outlineLvl w:val="2"/>
    </w:pPr>
    <w:rPr>
      <w:rFonts w:ascii="Segoe UI" w:cs="Segoe UI" w:eastAsia="Segoe UI" w:hAnsi="Segoe UI"/>
      <w:b/>
      <w:bCs/>
      <w:i/>
      <w:iCs/>
      <w:color w:val="546E7A"/>
      <w:sz w:val="26"/>
      <w:szCs w:val="26"/>
    </w:rPr>
  </w:style>
  <w:style w:type="paragraph" w:styleId="KeyPoint">
    <w:name w:val="Key Point"/>
    <w:basedOn w:val="Normal"/>
    <w:pPr>
      <w:pBdr>
        <w:left w:val="double" w:color="D4AF37" w:sz="6" w:space="5"/>
      </w:pBdr>
      <w:shd w:fill="FFF9C4" w:val="clear"/>
      <w:spacing w:before="180" w:after="180"/>
      <w:ind w:left="360" w:right="360"/>
    </w:pPr>
    <w:rPr>
      <w:rFonts w:ascii="Calibri" w:cs="Calibri" w:eastAsia="Calibri" w:hAnsi="Calibri"/>
      <w:b/>
      <w:bCs/>
      <w:color w:val="003366"/>
      <w:sz w:val="24"/>
      <w:szCs w:val="24"/>
    </w:rPr>
  </w:style>
  <w:style w:type="paragraph" w:styleId="CriticalAction">
    <w:name w:val="Critical Action"/>
    <w:basedOn w:val="Normal"/>
    <w:pPr>
      <w:pBdr>
        <w:top w:val="single" w:color="E74C3C" w:sz="2"/>
        <w:bottom w:val="single" w:color="E74C3C" w:sz="2"/>
        <w:left w:val="thick" w:color="E74C3C" w:sz="12" w:space="10"/>
      </w:pBdr>
      <w:shd w:fill="FFEBEE" w:val="clear"/>
      <w:spacing w:before="240" w:after="240"/>
      <w:ind w:left="480" w:right="480"/>
    </w:pPr>
    <w:rPr>
      <w:rFonts w:ascii="Segoe UI Semibold" w:cs="Segoe UI Semibold" w:eastAsia="Segoe UI Semibold" w:hAnsi="Segoe UI Semibold"/>
      <w:b/>
      <w:bCs/>
      <w:color w:val="E74C3C"/>
      <w:sz w:val="24"/>
      <w:szCs w:val="24"/>
    </w:rPr>
  </w:style>
  <w:style w:type="paragraph" w:styleId="PhaseHeader">
    <w:name w:val="Phase Header"/>
    <w:basedOn w:val="Normal"/>
    <w:pPr>
      <w:shd w:fill="003366" w:val="clear"/>
      <w:spacing w:before="240" w:after="180"/>
      <w:ind w:left="360"/>
      <w:jc w:val="left"/>
    </w:pPr>
    <w:rPr>
      <w:rFonts w:ascii="Segoe UI" w:cs="Segoe UI" w:eastAsia="Segoe UI" w:hAnsi="Segoe UI"/>
      <w:b/>
      <w:bCs/>
      <w:color w:val="FFFFFF"/>
      <w:sz w:val="26"/>
      <w:szCs w:val="26"/>
    </w:rPr>
  </w:style>
  <w:style w:type="paragraph" w:styleId="FinancialHighlight">
    <w:name w:val="Financial Highlight"/>
    <w:basedOn w:val="Normal"/>
    <w:pPr>
      <w:pBdr>
        <w:top w:val="double" w:color="27AE60" w:sz="6"/>
        <w:bottom w:val="double" w:color="27AE60" w:sz="6"/>
      </w:pBdr>
      <w:shd w:fill="E8F5E9" w:val="clear"/>
      <w:spacing w:before="240" w:after="240"/>
      <w:jc w:val="center"/>
    </w:pPr>
    <w:rPr>
      <w:rFonts w:ascii="Segoe UI Semibold" w:cs="Segoe UI Semibold" w:eastAsia="Segoe UI Semibold" w:hAnsi="Segoe UI Semibold"/>
      <w:b/>
      <w:bCs/>
      <w:color w:val="27AE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2025-11-07T04:37:48.304Z</dcterms:created>
  <dcterms:modified xsi:type="dcterms:W3CDTF">2025-11-07T04:37:48.305Z</dcterms:modified>
</cp:coreProperties>
</file>

<file path=docProps/custom.xml><?xml version="1.0" encoding="utf-8"?>
<Properties xmlns="http://schemas.openxmlformats.org/officeDocument/2006/custom-properties" xmlns:vt="http://schemas.openxmlformats.org/officeDocument/2006/docPropsVTypes"/>
</file>