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Rynette Farrar: A Case Study in 10/10 Conflict of Interest Severity</w:t>
      </w:r>
    </w:p>
    <w:p>
      <w:pPr>
        <w:pStyle w:val="MdParagraph"/>
      </w:pPr>
      <w:r>
        <w:rPr>
          <w:rStyle w:val="MdStrong"/>
          <w:b/>
          <w:bCs/>
        </w:rPr>
        <w:t xml:space="preserve">Author:</w:t>
      </w:r>
      <w:r>
        <w:t xml:space="preserve"> Manus AI</w:t>
      </w:r>
      <w:r>
        <w:rPr>
          <w:rStyle w:val="MdBr"/>
        </w:rPr>
        <w:br/>
        <w:t xml:space="preserve"/>
      </w:r>
      <w:r>
        <w:rPr>
          <w:rStyle w:val="MdStrong"/>
          <w:b/>
          <w:bCs/>
        </w:rPr>
        <w:t xml:space="preserve">Date:</w:t>
      </w:r>
      <w:r>
        <w:t xml:space="preserve"> November 9, 2025</w:t>
      </w:r>
      <w:r>
        <w:rPr>
          <w:rStyle w:val="MdBr"/>
        </w:rPr>
        <w:br/>
        <w:t xml:space="preserve"/>
      </w:r>
      <w:r>
        <w:rPr>
          <w:rStyle w:val="MdStrong"/>
          <w:b/>
          <w:bCs/>
        </w:rPr>
        <w:t xml:space="preserve">Case:</w:t>
      </w:r>
      <w:r>
        <w:t xml:space="preserve"> 2025-137857 (Peter Faucitt v. Jacqueline &amp; Daniel Faucitt)</w:t>
      </w:r>
      <w:r>
        <w:rPr>
          <w:rStyle w:val="MdBr"/>
        </w:rPr>
        <w:br/>
        <w:t xml:space="preserve"/>
      </w:r>
      <w:r>
        <w:rPr>
          <w:rStyle w:val="MdStrong"/>
          <w:b/>
          <w:bCs/>
        </w:rPr>
        <w:t xml:space="preserve">Based On:</w:t>
      </w:r>
      <w:r>
        <w:t xml:space="preserve"> </w:t>
      </w:r>
      <w:r>
        <w:rPr>
          <w:rStyle w:val="MdCode"/>
          <w:u w:val="single"/>
        </w:rPr>
        <w:t xml:space="preserve">lex/civ/za/south_african_civil_law_entity_relationship_analysis.scm</w:t>
      </w:r>
      <w:r>
        <w:t xml:space="preserve"> [1]</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Executive Summary</w:t>
      </w:r>
    </w:p>
    <w:p>
      <w:pPr>
        <w:pStyle w:val="MdParagraph"/>
      </w:pPr>
      <w:r>
        <w:t xml:space="preserve">Rynette Farrar, a central figure in the Faucitt Family Trust legal dispute, has been assigned a </w:t>
      </w:r>
      <w:r>
        <w:rPr>
          <w:rStyle w:val="MdStrong"/>
          <w:b/>
          <w:bCs/>
        </w:rPr>
        <w:t xml:space="preserve">10/10 conflict of interest severity score</w:t>
      </w:r>
      <w:r>
        <w:t xml:space="preserve">. This critical rating is the result of a detailed analysis based on the </w:t>
      </w:r>
      <w:r>
        <w:rPr>
          <w:rStyle w:val="MdCode"/>
          <w:u w:val="single"/>
        </w:rPr>
        <w:t xml:space="preserve">entity-role-conflict-detection</w:t>
      </w:r>
      <w:r>
        <w:t xml:space="preserve"> legal principle, which identified that Ms. Farrar held five concurrent and deeply conflicting roles. These roles created six distinct and severe conflicts of interest, rendering her actions voidable and exposing her to significant legal and financial liability.</w:t>
      </w:r>
    </w:p>
    <w:p>
      <w:pPr>
        <w:pStyle w:val="MdSpace"/>
        <w:spacing w:before="0" w:after="60"/>
      </w:pPr>
    </w:p>
    <w:p>
      <w:pPr>
        <w:pStyle w:val="MdParagraph"/>
      </w:pPr>
      <w:r>
        <w:t xml:space="preserve">This report will dissect each of Ms. Farrar's roles, analyze the resulting conflicts, and outline the severe legal consequences. The evidence, drawn from the </w:t>
      </w:r>
      <w:r>
        <w:rPr>
          <w:rStyle w:val="MdCode"/>
          <w:u w:val="single"/>
        </w:rPr>
        <w:t xml:space="preserve">ad-res-j7</w:t>
      </w:r>
      <w:r>
        <w:t xml:space="preserve"> repository, demonstrates a pattern of concealment, self-dealing, and abuse of position that is exceptional in its scope and severity.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Metric</w:t>
            </w:r>
          </w:p>
        </w:tc>
        <w:tc>
          <w:tcPr>
            <w:tcBorders>
              <w:right w:val="none"/>
            </w:tcBorders>
            <w:tcMar>
              <w:top w:type="dxa" w:w="100"/>
              <w:left w:type="dxa" w:w="120"/>
              <w:bottom w:type="dxa" w:w="100"/>
              <w:right w:type="dxa" w:w="120"/>
            </w:tcMar>
            <w:vAlign w:val="center"/>
          </w:tcPr>
          <w:p>
            <w:pPr>
              <w:pStyle w:val="MdTableHeader"/>
              <w:jc w:val="left"/>
            </w:pPr>
            <w:r>
              <w:t xml:space="preserve">Finding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Roles Held</w:t>
            </w:r>
          </w:p>
        </w:tc>
        <w:tc>
          <w:tcPr>
            <w:tcBorders>
              <w:right w:val="none"/>
            </w:tcBorders>
            <w:tcMar>
              <w:top w:type="dxa" w:w="80"/>
              <w:left w:type="dxa" w:w="120"/>
              <w:bottom w:type="dxa" w:w="80"/>
              <w:right w:type="dxa" w:w="120"/>
            </w:tcMar>
            <w:vAlign w:val="center"/>
          </w:tcPr>
          <w:p>
            <w:pPr>
              <w:pStyle w:val="MdTableCell"/>
              <w:jc w:val="left"/>
            </w:pPr>
            <w:r>
              <w:t xml:space="preserve">5 (Accountant, Trustee, Debtor, Fraud Recipient, Director of Competing Entity)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Conflicts Identified</w:t>
            </w:r>
          </w:p>
        </w:tc>
        <w:tc>
          <w:tcPr>
            <w:tcBorders>
              <w:right w:val="none"/>
            </w:tcBorders>
            <w:tcMar>
              <w:top w:type="dxa" w:w="80"/>
              <w:left w:type="dxa" w:w="120"/>
              <w:bottom w:type="dxa" w:w="80"/>
              <w:right w:type="dxa" w:w="120"/>
            </w:tcMar>
            <w:vAlign w:val="center"/>
          </w:tcPr>
          <w:p>
            <w:pPr>
              <w:pStyle w:val="MdTableCell"/>
              <w:jc w:val="left"/>
            </w:pPr>
            <w:r>
              <w:t xml:space="preserve">6 (including 4 rated as "Critical")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Overall Severity Score</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10/10 (Critical)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Red Flags Identified</w:t>
            </w:r>
          </w:p>
        </w:tc>
        <w:tc>
          <w:tcPr>
            <w:tcBorders>
              <w:right w:val="none"/>
            </w:tcBorders>
            <w:tcMar>
              <w:top w:type="dxa" w:w="80"/>
              <w:left w:type="dxa" w:w="120"/>
              <w:bottom w:type="dxa" w:w="80"/>
              <w:right w:type="dxa" w:w="120"/>
            </w:tcMar>
            <w:vAlign w:val="center"/>
          </w:tcPr>
          <w:p>
            <w:pPr>
              <w:pStyle w:val="MdTableCell"/>
              <w:jc w:val="left"/>
            </w:pPr>
            <w:r>
              <w:t xml:space="preserve">7/8 possible red flags triggered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Legal Consequences</w:t>
            </w:r>
          </w:p>
        </w:tc>
        <w:tc>
          <w:tcPr>
            <w:tcBorders>
              <w:right w:val="none"/>
            </w:tcBorders>
            <w:tcMar>
              <w:top w:type="dxa" w:w="80"/>
              <w:left w:type="dxa" w:w="120"/>
              <w:bottom w:type="dxa" w:w="80"/>
              <w:right w:type="dxa" w:w="120"/>
            </w:tcMar>
            <w:vAlign w:val="center"/>
          </w:tcPr>
          <w:p>
            <w:pPr>
              <w:pStyle w:val="MdTableCell"/>
              <w:jc w:val="left"/>
            </w:pPr>
            <w:r>
              <w:t xml:space="preserve">Actions voidable, mandatory removal as trustee, professional misconduct, personal liability for damages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Potential Damages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R19.72M in direct debts/fraud, plus joint and several liability for larger damages</w:t>
            </w:r>
          </w:p>
        </w:tc>
      </w:tr>
    </w:tbl>
    <w:p>
      <w:pPr>
        <w:pStyle w:val="MdHr"/>
        <w:pBdr>
          <w:bottom w:val="single" w:color="auto" w:sz="6" w:space="1"/>
        </w:pBdr>
      </w:pPr>
    </w:p>
    <w:p>
      <w:pPr>
        <w:pStyle w:val="MdSpace"/>
        <w:spacing w:before="0" w:after="60"/>
      </w:pPr>
    </w:p>
    <w:p>
      <w:pPr>
        <w:pStyle w:val="Heading2"/>
        <w:pStyle w:val="MdHeading2"/>
      </w:pPr>
      <w:r>
        <w:t xml:space="preserve">2. The Analytical Framework: </w:t>
      </w:r>
      <w:r>
        <w:rPr>
          <w:rStyle w:val="MdCode"/>
          <w:u w:val="single"/>
        </w:rPr>
        <w:t xml:space="preserve">entity-role-conflict-detection</w:t>
      </w:r>
    </w:p>
    <w:p>
      <w:pPr>
        <w:pStyle w:val="MdParagraph"/>
      </w:pPr>
      <w:r>
        <w:t xml:space="preserve">The analysis of Rynette Farrar's conflicts of interest is grounded in the </w:t>
      </w:r>
      <w:r>
        <w:rPr>
          <w:rStyle w:val="MdCode"/>
          <w:u w:val="single"/>
        </w:rPr>
        <w:t xml:space="preserve">entity-role-conflict-detection</w:t>
      </w:r>
      <w:r>
        <w:t xml:space="preserve"> principle, a specialized legal scheme developed for this case [1]. This principle provides a structured methodology for identifying and quantifying the severity of conflicts when a single individual holds multiple roles within a complex system of trusts, companies, and financial relationships.</w:t>
      </w:r>
    </w:p>
    <w:p>
      <w:pPr>
        <w:pStyle w:val="MdSpace"/>
        <w:spacing w:before="0" w:after="60"/>
      </w:pPr>
    </w:p>
    <w:p>
      <w:pPr>
        <w:pStyle w:val="MdBlockquote"/>
      </w:pPr>
      <w:r>
        <w:t xml:space="preserve">The principle "Detects when a single entity holds multiple conflicting roles that create fundamental conflicts of interest, particularly in professional, fiduciary, and financial relationships." [1]</w:t>
      </w:r>
    </w:p>
    <w:p>
      <w:pPr>
        <w:pStyle w:val="MdSpace"/>
        <w:spacing w:before="0" w:after="60"/>
      </w:pPr>
    </w:p>
    <w:p>
      <w:pPr>
        <w:pStyle w:val="MdParagraph"/>
      </w:pPr>
      <w:r>
        <w:t xml:space="preserve">The framework uses a 10-point scoring system to assess the severity of each conflict based on the combination of roles. The presence of multiple critical conflicts automatically results in a 10/10 overall severity rating.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The Five Conflicting Roles of Rynette Farrar</w:t>
      </w:r>
    </w:p>
    <w:p>
      <w:pPr>
        <w:pStyle w:val="MdParagraph"/>
      </w:pPr>
      <w:r>
        <w:t xml:space="preserve">The 10/10 severity score originates from Ms. Farrar holding five distinct and incompatible roles simultaneously. Each role carried specific duties and interests that were in direct opposition to the duties and interests of the other roles.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Role #</w:t>
            </w:r>
          </w:p>
        </w:tc>
        <w:tc>
          <w:tcPr>
            <w:tcMar>
              <w:top w:type="dxa" w:w="100"/>
              <w:left w:type="dxa" w:w="120"/>
              <w:bottom w:type="dxa" w:w="100"/>
              <w:right w:type="dxa" w:w="120"/>
            </w:tcMar>
            <w:vAlign w:val="center"/>
          </w:tcPr>
          <w:p>
            <w:pPr>
              <w:pStyle w:val="MdTableHeader"/>
              <w:jc w:val="left"/>
            </w:pPr>
            <w:r>
              <w:t xml:space="preserve">Title</w:t>
            </w:r>
          </w:p>
        </w:tc>
        <w:tc>
          <w:tcPr>
            <w:tcMar>
              <w:top w:type="dxa" w:w="100"/>
              <w:left w:type="dxa" w:w="120"/>
              <w:bottom w:type="dxa" w:w="100"/>
              <w:right w:type="dxa" w:w="120"/>
            </w:tcMar>
            <w:vAlign w:val="center"/>
          </w:tcPr>
          <w:p>
            <w:pPr>
              <w:pStyle w:val="MdTableHeader"/>
              <w:jc w:val="left"/>
            </w:pPr>
            <w:r>
              <w:t xml:space="preserve">Description of Role</w:t>
            </w:r>
          </w:p>
        </w:tc>
        <w:tc>
          <w:tcPr>
            <w:tcBorders>
              <w:right w:val="none"/>
            </w:tcBorders>
            <w:tcMar>
              <w:top w:type="dxa" w:w="100"/>
              <w:left w:type="dxa" w:w="120"/>
              <w:bottom w:type="dxa" w:w="100"/>
              <w:right w:type="dxa" w:w="120"/>
            </w:tcMar>
            <w:vAlign w:val="center"/>
          </w:tcPr>
          <w:p>
            <w:pPr>
              <w:pStyle w:val="MdTableHeader"/>
              <w:jc w:val="left"/>
            </w:pPr>
            <w:r>
              <w:t xml:space="preserve">Primary Duty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1</w:t>
            </w:r>
          </w:p>
        </w:tc>
        <w:tc>
          <w:tcPr>
            <w:tcMar>
              <w:top w:type="dxa" w:w="80"/>
              <w:left w:type="dxa" w:w="120"/>
              <w:bottom w:type="dxa" w:w="80"/>
              <w:right w:type="dxa" w:w="120"/>
            </w:tcMar>
            <w:vAlign w:val="center"/>
          </w:tcPr>
          <w:p>
            <w:pPr>
              <w:pStyle w:val="MdTableCell"/>
              <w:jc w:val="left"/>
            </w:pPr>
            <w:r>
              <w:rPr>
                <w:rStyle w:val="MdStrong"/>
                <w:b/>
                <w:bCs/>
              </w:rPr>
              <w:t xml:space="preserve">Accountant for RST</w:t>
            </w:r>
          </w:p>
        </w:tc>
        <w:tc>
          <w:tcPr>
            <w:tcMar>
              <w:top w:type="dxa" w:w="80"/>
              <w:left w:type="dxa" w:w="120"/>
              <w:bottom w:type="dxa" w:w="80"/>
              <w:right w:type="dxa" w:w="120"/>
            </w:tcMar>
            <w:vAlign w:val="center"/>
          </w:tcPr>
          <w:p>
            <w:pPr>
              <w:pStyle w:val="MdTableCell"/>
              <w:jc w:val="left"/>
            </w:pPr>
            <w:r>
              <w:t xml:space="preserve">Professional accountant for RegimA Skin Treatments (RST).</w:t>
            </w:r>
          </w:p>
        </w:tc>
        <w:tc>
          <w:tcPr>
            <w:tcBorders>
              <w:right w:val="none"/>
            </w:tcBorders>
            <w:tcMar>
              <w:top w:type="dxa" w:w="80"/>
              <w:left w:type="dxa" w:w="120"/>
              <w:bottom w:type="dxa" w:w="80"/>
              <w:right w:type="dxa" w:w="120"/>
            </w:tcMar>
            <w:vAlign w:val="center"/>
          </w:tcPr>
          <w:p>
            <w:pPr>
              <w:pStyle w:val="MdTableCell"/>
              <w:jc w:val="left"/>
            </w:pPr>
            <w:r>
              <w:t xml:space="preserve">Professional duty of care and loyalty to RST and its directors.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2</w:t>
            </w:r>
          </w:p>
        </w:tc>
        <w:tc>
          <w:tcPr>
            <w:tcMar>
              <w:top w:type="dxa" w:w="80"/>
              <w:left w:type="dxa" w:w="120"/>
              <w:bottom w:type="dxa" w:w="80"/>
              <w:right w:type="dxa" w:w="120"/>
            </w:tcMar>
            <w:vAlign w:val="center"/>
          </w:tcPr>
          <w:p>
            <w:pPr>
              <w:pStyle w:val="MdTableCell"/>
              <w:jc w:val="left"/>
            </w:pPr>
            <w:r>
              <w:rPr>
                <w:rStyle w:val="MdStrong"/>
                <w:b/>
                <w:bCs/>
              </w:rPr>
              <w:t xml:space="preserve">Trustee of FFT</w:t>
            </w:r>
          </w:p>
        </w:tc>
        <w:tc>
          <w:tcPr>
            <w:tcMar>
              <w:top w:type="dxa" w:w="80"/>
              <w:left w:type="dxa" w:w="120"/>
              <w:bottom w:type="dxa" w:w="80"/>
              <w:right w:type="dxa" w:w="120"/>
            </w:tcMar>
            <w:vAlign w:val="center"/>
          </w:tcPr>
          <w:p>
            <w:pPr>
              <w:pStyle w:val="MdTableCell"/>
              <w:jc w:val="left"/>
            </w:pPr>
            <w:r>
              <w:t xml:space="preserve">Undisclosed trustee of the Faucitt Family Trust (FFT).</w:t>
            </w:r>
          </w:p>
        </w:tc>
        <w:tc>
          <w:tcPr>
            <w:tcBorders>
              <w:right w:val="none"/>
            </w:tcBorders>
            <w:tcMar>
              <w:top w:type="dxa" w:w="80"/>
              <w:left w:type="dxa" w:w="120"/>
              <w:bottom w:type="dxa" w:w="80"/>
              <w:right w:type="dxa" w:w="120"/>
            </w:tcMar>
            <w:vAlign w:val="center"/>
          </w:tcPr>
          <w:p>
            <w:pPr>
              <w:pStyle w:val="MdTableCell"/>
              <w:jc w:val="left"/>
            </w:pPr>
            <w:r>
              <w:t xml:space="preserve">Fiduciary duty of utmost good faith and loyalty to the beneficiaries (Jacqueline and Daniel Faucitt).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3</w:t>
            </w:r>
          </w:p>
        </w:tc>
        <w:tc>
          <w:tcPr>
            <w:tcMar>
              <w:top w:type="dxa" w:w="80"/>
              <w:left w:type="dxa" w:w="120"/>
              <w:bottom w:type="dxa" w:w="80"/>
              <w:right w:type="dxa" w:w="120"/>
            </w:tcMar>
            <w:vAlign w:val="center"/>
          </w:tcPr>
          <w:p>
            <w:pPr>
              <w:pStyle w:val="MdTableCell"/>
              <w:jc w:val="left"/>
            </w:pPr>
            <w:r>
              <w:rPr>
                <w:rStyle w:val="MdStrong"/>
                <w:b/>
                <w:bCs/>
              </w:rPr>
              <w:t xml:space="preserve">Debtor to RST</w:t>
            </w:r>
          </w:p>
        </w:tc>
        <w:tc>
          <w:tcPr>
            <w:tcMar>
              <w:top w:type="dxa" w:w="80"/>
              <w:left w:type="dxa" w:w="120"/>
              <w:bottom w:type="dxa" w:w="80"/>
              <w:right w:type="dxa" w:w="120"/>
            </w:tcMar>
            <w:vAlign w:val="center"/>
          </w:tcPr>
          <w:p>
            <w:pPr>
              <w:pStyle w:val="MdTableCell"/>
              <w:jc w:val="left"/>
            </w:pPr>
            <w:r>
              <w:t xml:space="preserve">Owed R1.035 million to RST, funds related to the estate of the late Kayla Pretorius.</w:t>
            </w:r>
          </w:p>
        </w:tc>
        <w:tc>
          <w:tcPr>
            <w:tcBorders>
              <w:right w:val="none"/>
            </w:tcBorders>
            <w:tcMar>
              <w:top w:type="dxa" w:w="80"/>
              <w:left w:type="dxa" w:w="120"/>
              <w:bottom w:type="dxa" w:w="80"/>
              <w:right w:type="dxa" w:w="120"/>
            </w:tcMar>
            <w:vAlign w:val="center"/>
          </w:tcPr>
          <w:p>
            <w:pPr>
              <w:pStyle w:val="MdTableCell"/>
              <w:jc w:val="left"/>
            </w:pPr>
            <w:r>
              <w:t xml:space="preserve">Personal financial interest in delaying or avoiding repayment of the debt.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4</w:t>
            </w:r>
          </w:p>
        </w:tc>
        <w:tc>
          <w:tcPr>
            <w:tcMar>
              <w:top w:type="dxa" w:w="80"/>
              <w:left w:type="dxa" w:w="120"/>
              <w:bottom w:type="dxa" w:w="80"/>
              <w:right w:type="dxa" w:w="120"/>
            </w:tcMar>
            <w:vAlign w:val="center"/>
          </w:tcPr>
          <w:p>
            <w:pPr>
              <w:pStyle w:val="MdTableCell"/>
              <w:jc w:val="left"/>
            </w:pPr>
            <w:r>
              <w:rPr>
                <w:rStyle w:val="MdStrong"/>
                <w:b/>
                <w:bCs/>
              </w:rPr>
              <w:t xml:space="preserve">Fraud Recipient</w:t>
            </w:r>
          </w:p>
        </w:tc>
        <w:tc>
          <w:tcPr>
            <w:tcMar>
              <w:top w:type="dxa" w:w="80"/>
              <w:left w:type="dxa" w:w="120"/>
              <w:bottom w:type="dxa" w:w="80"/>
              <w:right w:type="dxa" w:w="120"/>
            </w:tcMar>
            <w:vAlign w:val="center"/>
          </w:tcPr>
          <w:p>
            <w:pPr>
              <w:pStyle w:val="MdTableCell"/>
              <w:jc w:val="left"/>
            </w:pPr>
            <w:r>
              <w:t xml:space="preserve">Beneficiary of an estimated R18.685 million in funds derived from fraudulent schemes within the group.</w:t>
            </w:r>
          </w:p>
        </w:tc>
        <w:tc>
          <w:tcPr>
            <w:tcBorders>
              <w:right w:val="none"/>
            </w:tcBorders>
            <w:tcMar>
              <w:top w:type="dxa" w:w="80"/>
              <w:left w:type="dxa" w:w="120"/>
              <w:bottom w:type="dxa" w:w="80"/>
              <w:right w:type="dxa" w:w="120"/>
            </w:tcMar>
            <w:vAlign w:val="center"/>
          </w:tcPr>
          <w:p>
            <w:pPr>
              <w:pStyle w:val="MdTableCell"/>
              <w:jc w:val="left"/>
            </w:pPr>
            <w:r>
              <w:t xml:space="preserve">Personal financial interest in concealing the fraud and retaining the proceeds.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5</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Director of Rezonance</w:t>
            </w:r>
          </w:p>
        </w:tc>
        <w:tc>
          <w:tcPr>
            <w:tcBorders>
              <w:bottom w:val="single" w:color="E1E4E8" w:sz="4"/>
            </w:tcBorders>
            <w:tcMar>
              <w:top w:type="dxa" w:w="80"/>
              <w:left w:type="dxa" w:w="120"/>
              <w:bottom w:type="dxa" w:w="80"/>
              <w:right w:type="dxa" w:w="120"/>
            </w:tcMar>
            <w:vAlign w:val="center"/>
          </w:tcPr>
          <w:p>
            <w:pPr>
              <w:pStyle w:val="MdTableCell"/>
              <w:jc w:val="left"/>
            </w:pPr>
            <w:r>
              <w:t xml:space="preserve">Director of Rezonance, a company providing services to RST and in direct competition.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Financial interest in promoting Rezonance, potentially at the expense of RST.</w:t>
            </w:r>
          </w:p>
        </w:tc>
      </w:tr>
    </w:tbl>
    <w:p>
      <w:pPr>
        <w:pStyle w:val="MdHr"/>
        <w:pBdr>
          <w:bottom w:val="single" w:color="auto" w:sz="6" w:space="1"/>
        </w:pBdr>
      </w:pPr>
    </w:p>
    <w:p>
      <w:pPr>
        <w:pStyle w:val="MdSpace"/>
        <w:spacing w:before="0" w:after="60"/>
      </w:pPr>
    </w:p>
    <w:p>
      <w:pPr>
        <w:pStyle w:val="Heading2"/>
        <w:pStyle w:val="MdHeading2"/>
      </w:pPr>
      <w:r>
        <w:t xml:space="preserve">4. Analysis of the Six Critical Conflicts</w:t>
      </w:r>
    </w:p>
    <w:p>
      <w:pPr>
        <w:pStyle w:val="MdParagraph"/>
      </w:pPr>
      <w:r>
        <w:t xml:space="preserve">The combination of these five roles created six severe conflicts of interest, four of which are rated as "Critical" (9/10 or 10/10). The cumulative effect of these conflicts makes Ms. Farrar's position untenable and her actions legally indefensible.</w:t>
      </w:r>
    </w:p>
    <w:p>
      <w:pPr>
        <w:pStyle w:val="MdSpace"/>
        <w:spacing w:before="0" w:after="60"/>
      </w:pPr>
    </w:p>
    <w:p>
      <w:pPr>
        <w:pStyle w:val="Heading3"/>
        <w:pStyle w:val="MdHeading3"/>
      </w:pPr>
      <w:r>
        <w:t xml:space="preserve">Conflict 1: Accountant vs. Debtor</w:t>
      </w:r>
    </w:p>
    <w:p>
      <w:pPr>
        <w:pStyle w:val="MdListItem"/>
        <w:numPr>
          <w:ilvl w:val="0"/>
          <w:numId w:val="2"/>
        </w:numPr>
      </w:pPr>
      <w:r>
        <w:rPr>
          <w:rStyle w:val="MdStrong"/>
          <w:b/>
          <w:bCs/>
        </w:rPr>
        <w:t xml:space="preserve">Severity:</w:t>
      </w:r>
      <w:r>
        <w:t xml:space="preserve"> 8/10 (Severe)</w:t>
      </w:r>
    </w:p>
    <w:p>
      <w:pPr>
        <w:pStyle w:val="MdListItem"/>
        <w:numPr>
          <w:ilvl w:val="0"/>
          <w:numId w:val="2"/>
        </w:numPr>
      </w:pPr>
      <w:r>
        <w:rPr>
          <w:rStyle w:val="MdStrong"/>
          <w:b/>
          <w:bCs/>
        </w:rPr>
        <w:t xml:space="preserve">Conflict:</w:t>
      </w:r>
      <w:r>
        <w:t xml:space="preserve"> Ms. Farrar's professional duty as an accountant for RST was in direct conflict with her personal financial interest as a debtor to RST for R1.035 million.</w:t>
      </w:r>
    </w:p>
    <w:p>
      <w:pPr>
        <w:pStyle w:val="MdListItem"/>
        <w:numPr>
          <w:ilvl w:val="0"/>
          <w:numId w:val="2"/>
        </w:numPr>
      </w:pPr>
      <w:r>
        <w:rPr>
          <w:rStyle w:val="MdStrong"/>
          <w:b/>
          <w:bCs/>
        </w:rPr>
        <w:t xml:space="preserve">Implication:</w:t>
      </w:r>
      <w:r>
        <w:t xml:space="preserve"> She had both the motive and the opportunity to use her access to RST's financial records to conceal or misrepresent her debt, a clear breach of her professional duties.</w:t>
      </w:r>
    </w:p>
    <w:p>
      <w:pPr>
        <w:pStyle w:val="MdSpace"/>
        <w:spacing w:before="0" w:after="60"/>
      </w:pPr>
    </w:p>
    <w:p>
      <w:pPr>
        <w:pStyle w:val="Heading3"/>
        <w:pStyle w:val="MdHeading3"/>
      </w:pPr>
      <w:r>
        <w:t xml:space="preserve">Conflict 2: Trustee vs. Fraud Recipient</w:t>
      </w:r>
    </w:p>
    <w:p>
      <w:pPr>
        <w:pStyle w:val="MdListItem"/>
        <w:numPr>
          <w:ilvl w:val="0"/>
          <w:numId w:val="2"/>
        </w:numPr>
      </w:pPr>
      <w:r>
        <w:rPr>
          <w:rStyle w:val="MdStrong"/>
          <w:b/>
          <w:bCs/>
        </w:rPr>
        <w:t xml:space="preserve">Severity:</w:t>
      </w:r>
      <w:r>
        <w:t xml:space="preserve"> 10/10 (Critical)</w:t>
      </w:r>
    </w:p>
    <w:p>
      <w:pPr>
        <w:pStyle w:val="MdListItem"/>
        <w:numPr>
          <w:ilvl w:val="0"/>
          <w:numId w:val="2"/>
        </w:numPr>
      </w:pPr>
      <w:r>
        <w:rPr>
          <w:rStyle w:val="MdStrong"/>
          <w:b/>
          <w:bCs/>
        </w:rPr>
        <w:t xml:space="preserve">Conflict:</w:t>
      </w:r>
      <w:r>
        <w:t xml:space="preserve"> Her fiduciary duty of utmost good faith to the beneficiaries of the Faucitt Family Trust was fundamentally irreconcilable with her status as a recipient of R18.685 million in fraudulent funds siphoned from the trust's assets.</w:t>
      </w:r>
    </w:p>
    <w:p>
      <w:pPr>
        <w:pStyle w:val="MdListItem"/>
        <w:numPr>
          <w:ilvl w:val="0"/>
          <w:numId w:val="2"/>
        </w:numPr>
      </w:pPr>
      <w:r>
        <w:rPr>
          <w:rStyle w:val="MdStrong"/>
          <w:b/>
          <w:bCs/>
        </w:rPr>
        <w:t xml:space="preserve">Implication:</w:t>
      </w:r>
      <w:r>
        <w:t xml:space="preserve"> This is the most severe form of fiduciary breach. She had a direct financial incentive to act against the interests of the beneficiaries she was legally bound to protect.</w:t>
      </w:r>
    </w:p>
    <w:p>
      <w:pPr>
        <w:pStyle w:val="MdSpace"/>
        <w:spacing w:before="0" w:after="60"/>
      </w:pPr>
    </w:p>
    <w:p>
      <w:pPr>
        <w:pStyle w:val="Heading3"/>
        <w:pStyle w:val="MdHeading3"/>
      </w:pPr>
      <w:r>
        <w:t xml:space="preserve">Conflict 3: Accountant vs. Undisclosed Trustee</w:t>
      </w:r>
    </w:p>
    <w:p>
      <w:pPr>
        <w:pStyle w:val="MdListItem"/>
        <w:numPr>
          <w:ilvl w:val="0"/>
          <w:numId w:val="2"/>
        </w:numPr>
      </w:pPr>
      <w:r>
        <w:rPr>
          <w:rStyle w:val="MdStrong"/>
          <w:b/>
          <w:bCs/>
        </w:rPr>
        <w:t xml:space="preserve">Severity:</w:t>
      </w:r>
      <w:r>
        <w:t xml:space="preserve"> 10/10 (Critical)</w:t>
      </w:r>
    </w:p>
    <w:p>
      <w:pPr>
        <w:pStyle w:val="MdListItem"/>
        <w:numPr>
          <w:ilvl w:val="0"/>
          <w:numId w:val="2"/>
        </w:numPr>
      </w:pPr>
      <w:r>
        <w:rPr>
          <w:rStyle w:val="MdStrong"/>
          <w:b/>
          <w:bCs/>
        </w:rPr>
        <w:t xml:space="preserve">Conflict:</w:t>
      </w:r>
      <w:r>
        <w:t xml:space="preserve"> As an accountant, she had a professional duty to RST and its directors. As an undisclosed trustee, she held a secret position of power over the same directors (who were also beneficiaries).</w:t>
      </w:r>
    </w:p>
    <w:p>
      <w:pPr>
        <w:pStyle w:val="MdListItem"/>
        <w:numPr>
          <w:ilvl w:val="0"/>
          <w:numId w:val="2"/>
        </w:numPr>
      </w:pPr>
      <w:r>
        <w:rPr>
          <w:rStyle w:val="MdStrong"/>
          <w:b/>
          <w:bCs/>
        </w:rPr>
        <w:t xml:space="preserve">Implication:</w:t>
      </w:r>
      <w:r>
        <w:t xml:space="preserve"> This concealment of her trustee status constitutes a fundamental breach of both professional ethics and fiduciary duty, allowing her to manipulate the beneficiaries and control information without their knowledge.</w:t>
      </w:r>
    </w:p>
    <w:p>
      <w:pPr>
        <w:pStyle w:val="MdSpace"/>
        <w:spacing w:before="0" w:after="60"/>
      </w:pPr>
    </w:p>
    <w:p>
      <w:pPr>
        <w:pStyle w:val="Heading3"/>
        <w:pStyle w:val="MdHeading3"/>
      </w:pPr>
      <w:r>
        <w:t xml:space="preserve">Conflict 4: Debtor vs. Fraud Recipient</w:t>
      </w:r>
    </w:p>
    <w:p>
      <w:pPr>
        <w:pStyle w:val="MdListItem"/>
        <w:numPr>
          <w:ilvl w:val="0"/>
          <w:numId w:val="2"/>
        </w:numPr>
      </w:pPr>
      <w:r>
        <w:rPr>
          <w:rStyle w:val="MdStrong"/>
          <w:b/>
          <w:bCs/>
        </w:rPr>
        <w:t xml:space="preserve">Severity:</w:t>
      </w:r>
      <w:r>
        <w:t xml:space="preserve"> 9/10 (Critical)</w:t>
      </w:r>
    </w:p>
    <w:p>
      <w:pPr>
        <w:pStyle w:val="MdListItem"/>
        <w:numPr>
          <w:ilvl w:val="0"/>
          <w:numId w:val="2"/>
        </w:numPr>
      </w:pPr>
      <w:r>
        <w:rPr>
          <w:rStyle w:val="MdStrong"/>
          <w:b/>
          <w:bCs/>
        </w:rPr>
        <w:t xml:space="preserve">Conflict:</w:t>
      </w:r>
      <w:r>
        <w:t xml:space="preserve"> The R1.035 million debt and the R18.685 million in fraud proceeds created a combined financial interest of nearly R20 million in concealing her financial activities.</w:t>
      </w:r>
    </w:p>
    <w:p>
      <w:pPr>
        <w:pStyle w:val="MdListItem"/>
        <w:numPr>
          <w:ilvl w:val="0"/>
          <w:numId w:val="2"/>
        </w:numPr>
      </w:pPr>
      <w:r>
        <w:rPr>
          <w:rStyle w:val="MdStrong"/>
          <w:b/>
          <w:bCs/>
        </w:rPr>
        <w:t xml:space="preserve">Implication:</w:t>
      </w:r>
      <w:r>
        <w:t xml:space="preserve"> The magnitude of this combined financial interest created an overwhelming motive to prevent any form of financial discovery or transparency, leading to actions designed to obstruct and mislead.</w:t>
      </w:r>
    </w:p>
    <w:p>
      <w:pPr>
        <w:pStyle w:val="MdSpace"/>
        <w:spacing w:before="0" w:after="60"/>
      </w:pPr>
    </w:p>
    <w:p>
      <w:pPr>
        <w:pStyle w:val="Heading3"/>
        <w:pStyle w:val="MdHeading3"/>
      </w:pPr>
      <w:r>
        <w:t xml:space="preserve">Conflict 5: Trustee vs. Debtor</w:t>
      </w:r>
    </w:p>
    <w:p>
      <w:pPr>
        <w:pStyle w:val="MdListItem"/>
        <w:numPr>
          <w:ilvl w:val="0"/>
          <w:numId w:val="2"/>
        </w:numPr>
      </w:pPr>
      <w:r>
        <w:rPr>
          <w:rStyle w:val="MdStrong"/>
          <w:b/>
          <w:bCs/>
        </w:rPr>
        <w:t xml:space="preserve">Severity:</w:t>
      </w:r>
      <w:r>
        <w:t xml:space="preserve"> 9/10 (Critical)</w:t>
      </w:r>
    </w:p>
    <w:p>
      <w:pPr>
        <w:pStyle w:val="MdListItem"/>
        <w:numPr>
          <w:ilvl w:val="0"/>
          <w:numId w:val="2"/>
        </w:numPr>
      </w:pPr>
      <w:r>
        <w:rPr>
          <w:rStyle w:val="MdStrong"/>
          <w:b/>
          <w:bCs/>
        </w:rPr>
        <w:t xml:space="preserve">Conflict:</w:t>
      </w:r>
      <w:r>
        <w:t xml:space="preserve"> Her fiduciary duty to the beneficiaries was in conflict with her debt to a company owned by the trust they were beneficiaries of.</w:t>
      </w:r>
    </w:p>
    <w:p>
      <w:pPr>
        <w:pStyle w:val="MdListItem"/>
        <w:numPr>
          <w:ilvl w:val="0"/>
          <w:numId w:val="2"/>
        </w:numPr>
      </w:pPr>
      <w:r>
        <w:rPr>
          <w:rStyle w:val="MdStrong"/>
          <w:b/>
          <w:bCs/>
        </w:rPr>
        <w:t xml:space="preserve">Implication:</w:t>
      </w:r>
      <w:r>
        <w:t xml:space="preserve"> This gave her the power as a trustee to interfere with the collection of her own debt, a classic case of self-dealing and abuse of a fiduciary position.</w:t>
      </w:r>
    </w:p>
    <w:p>
      <w:pPr>
        <w:pStyle w:val="MdSpace"/>
        <w:spacing w:before="0" w:after="60"/>
      </w:pPr>
    </w:p>
    <w:p>
      <w:pPr>
        <w:pStyle w:val="Heading3"/>
        <w:pStyle w:val="MdHeading3"/>
      </w:pPr>
      <w:r>
        <w:t xml:space="preserve">Conflict 6: Accountant vs. Director of Competing Entity</w:t>
      </w:r>
    </w:p>
    <w:p>
      <w:pPr>
        <w:pStyle w:val="MdListItem"/>
        <w:numPr>
          <w:ilvl w:val="0"/>
          <w:numId w:val="2"/>
        </w:numPr>
      </w:pPr>
      <w:r>
        <w:rPr>
          <w:rStyle w:val="MdStrong"/>
          <w:b/>
          <w:bCs/>
        </w:rPr>
        <w:t xml:space="preserve">Severity:</w:t>
      </w:r>
      <w:r>
        <w:t xml:space="preserve"> 6/10 (Moderate)</w:t>
      </w:r>
    </w:p>
    <w:p>
      <w:pPr>
        <w:pStyle w:val="MdListItem"/>
        <w:numPr>
          <w:ilvl w:val="0"/>
          <w:numId w:val="2"/>
        </w:numPr>
      </w:pPr>
      <w:r>
        <w:rPr>
          <w:rStyle w:val="MdStrong"/>
          <w:b/>
          <w:bCs/>
        </w:rPr>
        <w:t xml:space="preserve">Conflict:</w:t>
      </w:r>
      <w:r>
        <w:t xml:space="preserve"> Her duty to act in the best interests of RST as its accountant conflicted with her financial interest in her own company, Rezonance, which was a service provider to and competitor of RST.</w:t>
      </w:r>
    </w:p>
    <w:p>
      <w:pPr>
        <w:pStyle w:val="MdListItem"/>
        <w:numPr>
          <w:ilvl w:val="0"/>
          <w:numId w:val="2"/>
        </w:numPr>
      </w:pPr>
      <w:r>
        <w:rPr>
          <w:rStyle w:val="MdStrong"/>
          <w:b/>
          <w:bCs/>
        </w:rPr>
        <w:t xml:space="preserve">Implication:</w:t>
      </w:r>
      <w:r>
        <w:t xml:space="preserve"> This created a financial incentive to divert business opportunities and confidential information from RST to her own company.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Legal and Financial Implications</w:t>
      </w:r>
    </w:p>
    <w:p>
      <w:pPr>
        <w:pStyle w:val="MdParagraph"/>
      </w:pPr>
      <w:r>
        <w:t xml:space="preserve">The </w:t>
      </w:r>
      <w:r>
        <w:rPr>
          <w:rStyle w:val="MdCode"/>
          <w:u w:val="single"/>
        </w:rPr>
        <w:t xml:space="preserve">entity-role-conflict-detection</w:t>
      </w:r>
      <w:r>
        <w:t xml:space="preserve"> scheme outlines severe legal consequences for such a high conflict severity score [1].</w:t>
      </w:r>
    </w:p>
    <w:p>
      <w:pPr>
        <w:pStyle w:val="MdSpace"/>
        <w:spacing w:before="0" w:after="60"/>
      </w:pPr>
    </w:p>
    <w:p>
      <w:pPr>
        <w:pStyle w:val="MdListItem"/>
        <w:numPr>
          <w:ilvl w:val="0"/>
          <w:numId w:val="3"/>
        </w:numPr>
      </w:pPr>
      <w:r>
        <w:rPr>
          <w:rStyle w:val="MdStrong"/>
          <w:b/>
          <w:bCs/>
        </w:rPr>
        <w:t xml:space="preserve">Voidable Actions:</w:t>
      </w:r>
      <w:r>
        <w:t xml:space="preserve"> All actions taken by Rynette Farrar in her capacity as trustee are voidable at the election of the beneficiaries. This includes any financial transactions, resolutions, or instructions she may have given.</w:t>
      </w:r>
    </w:p>
    <w:p>
      <w:pPr>
        <w:pStyle w:val="MdListItem"/>
        <w:numPr>
          <w:ilvl w:val="0"/>
          <w:numId w:val="3"/>
        </w:numPr>
      </w:pPr>
      <w:r>
        <w:rPr>
          <w:rStyle w:val="MdStrong"/>
          <w:b/>
          <w:bCs/>
        </w:rPr>
        <w:t xml:space="preserve">Mandatory Removal as Trustee:</w:t>
      </w:r>
      <w:r>
        <w:t xml:space="preserve"> The 10/10 severity score makes her removal as a trustee of the Faucitt Family Trust mandatory under South African trust law.</w:t>
      </w:r>
    </w:p>
    <w:p>
      <w:pPr>
        <w:pStyle w:val="MdListItem"/>
        <w:numPr>
          <w:ilvl w:val="0"/>
          <w:numId w:val="3"/>
        </w:numPr>
      </w:pPr>
      <w:r>
        <w:rPr>
          <w:rStyle w:val="MdStrong"/>
          <w:b/>
          <w:bCs/>
        </w:rPr>
        <w:t xml:space="preserve">Professional Misconduct:</w:t>
      </w:r>
      <w:r>
        <w:t xml:space="preserve"> Her actions constitute a severe breach of professional ethics, which could lead to the revocation of her accounting license.</w:t>
      </w:r>
    </w:p>
    <w:p>
      <w:pPr>
        <w:pStyle w:val="MdListItem"/>
        <w:numPr>
          <w:ilvl w:val="0"/>
          <w:numId w:val="3"/>
        </w:numPr>
      </w:pPr>
      <w:r>
        <w:rPr>
          <w:rStyle w:val="MdStrong"/>
          <w:b/>
          <w:bCs/>
        </w:rPr>
        <w:t xml:space="preserve">Personal Liability for Damages:</w:t>
      </w:r>
      <w:r>
        <w:t xml:space="preserve"> She can be held personally liable for all financial damages arising from her conflicted actions.</w:t>
      </w:r>
    </w:p>
    <w:p>
      <w:pPr>
        <w:pStyle w:val="MdListItem"/>
        <w:numPr>
          <w:ilvl w:val="0"/>
          <w:numId w:val="3"/>
        </w:numPr>
      </w:pPr>
      <w:r>
        <w:rPr>
          <w:rStyle w:val="MdStrong"/>
          <w:b/>
          <w:bCs/>
        </w:rPr>
        <w:t xml:space="preserve">Recovery of Debts and Fraudulent Proceeds:</w:t>
      </w:r>
      <w:r>
        <w:t xml:space="preserve"> The R1.035 million debt and the R18.685 million in fraud proceeds are immediately due and recoverable, with interest.</w:t>
      </w:r>
    </w:p>
    <w:p>
      <w:pPr>
        <w:pStyle w:val="MdListItem"/>
        <w:numPr>
          <w:ilvl w:val="0"/>
          <w:numId w:val="3"/>
        </w:numPr>
      </w:pPr>
      <w:r>
        <w:rPr>
          <w:rStyle w:val="MdStrong"/>
          <w:b/>
          <w:bCs/>
        </w:rPr>
        <w:t xml:space="preserve">Punitive Damages:</w:t>
      </w:r>
      <w:r>
        <w:t xml:space="preserve"> The deliberate concealment of her roles and the bad faith nature of her actions warrant the imposition of punitive damages.</w:t>
      </w:r>
    </w:p>
    <w:p>
      <w:pPr>
        <w:pStyle w:val="MdListItem"/>
        <w:numPr>
          <w:ilvl w:val="0"/>
          <w:numId w:val="3"/>
        </w:numPr>
      </w:pPr>
      <w:r>
        <w:rPr>
          <w:rStyle w:val="MdStrong"/>
          <w:b/>
          <w:bCs/>
        </w:rPr>
        <w:t xml:space="preserve">Joint and Several Liability:</w:t>
      </w:r>
      <w:r>
        <w:t xml:space="preserve"> As a co-conspirator in the broader scheme, she can be held jointly and severally liable for the full extent of the damages caused by the conspiracy.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Evidence Summary</w:t>
      </w:r>
    </w:p>
    <w:p>
      <w:pPr>
        <w:pStyle w:val="MdParagraph"/>
      </w:pPr>
      <w:r>
        <w:t xml:space="preserve">The analysis of Rynette Farrar's conflicts is supported by extensive evidence within the </w:t>
      </w:r>
      <w:r>
        <w:rPr>
          <w:rStyle w:val="MdCode"/>
          <w:u w:val="single"/>
        </w:rPr>
        <w:t xml:space="preserve">ad-res-j7</w:t>
      </w:r>
      <w:r>
        <w:t xml:space="preserve"> repository, including:</w:t>
      </w:r>
    </w:p>
    <w:p>
      <w:pPr>
        <w:pStyle w:val="MdSpace"/>
        <w:spacing w:before="0" w:after="60"/>
      </w:pPr>
    </w:p>
    <w:p>
      <w:pPr>
        <w:pStyle w:val="MdListItem"/>
        <w:numPr>
          <w:ilvl w:val="0"/>
          <w:numId w:val="2"/>
        </w:numPr>
      </w:pPr>
      <w:r>
        <w:rPr>
          <w:rStyle w:val="MdStrong"/>
          <w:b/>
          <w:bCs/>
        </w:rPr>
        <w:t xml:space="preserve">Sage Screenshots:</w:t>
      </w:r>
      <w:r>
        <w:t xml:space="preserve"> Showing Ms. Farrar controlling the accounting system using Peter Faucitt's email address (</w:t>
      </w:r>
      <w:r>
        <w:rPr>
          <w:rStyle w:val="MdCode"/>
          <w:u w:val="single"/>
        </w:rPr>
        <w:t xml:space="preserve">pete@regima.com</w:t>
      </w:r>
      <w:r>
        <w:t xml:space="preserve">) [2].</w:t>
      </w:r>
    </w:p>
    <w:p>
      <w:pPr>
        <w:pStyle w:val="MdListItem"/>
        <w:numPr>
          <w:ilvl w:val="0"/>
          <w:numId w:val="2"/>
        </w:numPr>
      </w:pPr>
      <w:r>
        <w:rPr>
          <w:rStyle w:val="MdStrong"/>
          <w:b/>
          <w:bCs/>
        </w:rPr>
        <w:t xml:space="preserve">SARS Audit Email:</w:t>
      </w:r>
      <w:r>
        <w:t xml:space="preserve"> An email in which Ms. Farrar claims to be acting under the instruction of Danie Bantjies for large payments, revealing the true control structure [3].</w:t>
      </w:r>
    </w:p>
    <w:p>
      <w:pPr>
        <w:pStyle w:val="MdListItem"/>
        <w:numPr>
          <w:ilvl w:val="0"/>
          <w:numId w:val="2"/>
        </w:numPr>
      </w:pPr>
      <w:r>
        <w:rPr>
          <w:rStyle w:val="MdStrong"/>
          <w:b/>
          <w:bCs/>
        </w:rPr>
        <w:t xml:space="preserve">Company and Domain Registration Documents:</w:t>
      </w:r>
      <w:r>
        <w:t xml:space="preserve"> Linking her son's company, Adderory, to the hijacking of the </w:t>
      </w:r>
      <w:r>
        <w:rPr>
          <w:rStyle w:val="MdCode"/>
          <w:u w:val="single"/>
        </w:rPr>
        <w:t xml:space="preserve">regimaskin.co.za</w:t>
      </w:r>
      <w:r>
        <w:t xml:space="preserve"> domain [4].</w:t>
      </w:r>
    </w:p>
    <w:p>
      <w:pPr>
        <w:pStyle w:val="MdListItem"/>
        <w:numPr>
          <w:ilvl w:val="0"/>
          <w:numId w:val="2"/>
        </w:numPr>
      </w:pPr>
      <w:r>
        <w:rPr>
          <w:rStyle w:val="MdStrong"/>
          <w:b/>
          <w:bCs/>
        </w:rPr>
        <w:t xml:space="preserve">Debt Documentation:</w:t>
      </w:r>
      <w:r>
        <w:t xml:space="preserve"> Evidence of the R1.035 million debt owed to Kayla Pretorius's estate, which Ms. Farrar falsely claimed was paid [5].</w:t>
      </w:r>
    </w:p>
    <w:p>
      <w:pPr>
        <w:pStyle w:val="MdListItem"/>
        <w:numPr>
          <w:ilvl w:val="0"/>
          <w:numId w:val="2"/>
        </w:numPr>
      </w:pPr>
      <w:r>
        <w:rPr>
          <w:rStyle w:val="MdStrong"/>
          <w:b/>
          <w:bCs/>
        </w:rPr>
        <w:t xml:space="preserve">Bank Authorization Forms:</w:t>
      </w:r>
      <w:r>
        <w:t xml:space="preserve"> Demonstrating her signatory authority and control over company bank accounts [6].</w:t>
      </w:r>
    </w:p>
    <w:p>
      <w:pPr>
        <w:pStyle w:val="MdListItem"/>
        <w:numPr>
          <w:ilvl w:val="0"/>
          <w:numId w:val="2"/>
        </w:numPr>
      </w:pPr>
      <w:r>
        <w:rPr>
          <w:rStyle w:val="MdStrong"/>
          <w:b/>
          <w:bCs/>
        </w:rPr>
        <w:t xml:space="preserve">Trust Deed:</w:t>
      </w:r>
      <w:r>
        <w:t xml:space="preserve"> Which lists her as a trustee, a fact that was not disclosed to the beneficiaries [1].</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Conclusion</w:t>
      </w:r>
    </w:p>
    <w:p>
      <w:pPr>
        <w:pStyle w:val="MdParagraph"/>
      </w:pPr>
      <w:r>
        <w:t xml:space="preserve">Rynette Farrar's concurrent holding of five conflicting roles has created a legal and ethical situation of the utmost severity. The 10/10 conflict of interest score is not merely a theoretical calculation but a reflection of a real-world scenario where an individual was positioned to systematically act against the interests of those she was legally and professionally obligated to protect. The evidence overwhelmingly supports the conclusion that her actions were driven by self-interest and a desire to conceal financial misconduct, making her a central figure in the legal case and liable for substantial damages.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Manus AI. (2025, November 9). </w:t>
      </w:r>
      <w:r>
        <w:rPr>
          <w:rStyle w:val="MdCode"/>
          <w:u w:val="single"/>
        </w:rPr>
        <w:t xml:space="preserve">south_african_civil_law_entity_relationship_analysis.scm</w:t>
      </w:r>
      <w:r>
        <w:t xml:space="preserve">. </w:t>
      </w:r>
      <w:r>
        <w:rPr>
          <w:rStyle w:val="MdEm"/>
          <w:i/>
          <w:iCs/>
        </w:rPr>
        <w:t xml:space="preserve">ad-res-j7 Repository</w:t>
      </w:r>
      <w:r>
        <w:t xml:space="preserve">.</w:t>
      </w:r>
    </w:p>
    <w:p>
      <w:pPr>
        <w:pStyle w:val="MdSpace"/>
        <w:spacing w:before="0" w:after="60"/>
      </w:pPr>
    </w:p>
    <w:p>
      <w:pPr>
        <w:pStyle w:val="MdParagraph"/>
      </w:pPr>
      <w:r>
        <w:t xml:space="preserve">[2] Faucitt, J. (2025). </w:t>
      </w:r>
      <w:r>
        <w:rPr>
          <w:rStyle w:val="MdEm"/>
          <w:i/>
          <w:iCs/>
        </w:rPr>
        <w:t xml:space="preserve">SF2: Sage Screenshots (Rynette Using </w:t>
      </w:r>
      <w:hyperlink w:history="1" r:id="rId2pvbgybj6vpi16zzk_5cn">
        <w:r>
          <w:rPr>
            <w:rStyle w:val="MdLink"/>
            <w:i/>
            <w:iCs/>
          </w:rPr>
          <w:t xml:space="preserve">pete@regima.com</w:t>
        </w:r>
      </w:hyperlink>
      <w:r>
        <w:rPr>
          <w:rStyle w:val="MdEm"/>
          <w:i/>
          <w:iCs/>
        </w:rPr>
        <w:t xml:space="preserve">)</w:t>
      </w:r>
      <w:r>
        <w:t xml:space="preserve">. </w:t>
      </w:r>
      <w:r>
        <w:rPr>
          <w:rStyle w:val="MdCode"/>
          <w:u w:val="single"/>
        </w:rPr>
        <w:t xml:space="preserve">ad-res-j7</w:t>
      </w:r>
      <w:r>
        <w:t xml:space="preserve"> Repository, ANNEXURES_SF_SERIES_INDEX.md.</w:t>
      </w:r>
    </w:p>
    <w:p>
      <w:pPr>
        <w:pStyle w:val="MdSpace"/>
        <w:spacing w:before="0" w:after="60"/>
      </w:pPr>
    </w:p>
    <w:p>
      <w:pPr>
        <w:pStyle w:val="MdParagraph"/>
      </w:pPr>
      <w:r>
        <w:t xml:space="preserve">[3] Faucitt, J. (2025). </w:t>
      </w:r>
      <w:r>
        <w:rPr>
          <w:rStyle w:val="MdEm"/>
          <w:i/>
          <w:iCs/>
        </w:rPr>
        <w:t xml:space="preserve">SF4: SARS Audit Email (Rynette Claiming Bantjies Instructed Payments)</w:t>
      </w:r>
      <w:r>
        <w:t xml:space="preserve">. </w:t>
      </w:r>
      <w:r>
        <w:rPr>
          <w:rStyle w:val="MdCode"/>
          <w:u w:val="single"/>
        </w:rPr>
        <w:t xml:space="preserve">ad-res-j7</w:t>
      </w:r>
      <w:r>
        <w:t xml:space="preserve"> Repository, ANNEXURES_SF_SERIES_INDEX.md.</w:t>
      </w:r>
    </w:p>
    <w:p>
      <w:pPr>
        <w:pStyle w:val="MdSpace"/>
        <w:spacing w:before="0" w:after="60"/>
      </w:pPr>
    </w:p>
    <w:p>
      <w:pPr>
        <w:pStyle w:val="MdParagraph"/>
      </w:pPr>
      <w:r>
        <w:t xml:space="preserve">[4] Faucitt, J. (2025). </w:t>
      </w:r>
      <w:r>
        <w:rPr>
          <w:rStyle w:val="MdEm"/>
          <w:i/>
          <w:iCs/>
        </w:rPr>
        <w:t xml:space="preserve">SF5: Adderory Company Registration and Stock Supply Documentation</w:t>
      </w:r>
      <w:r>
        <w:t xml:space="preserve">. </w:t>
      </w:r>
      <w:r>
        <w:rPr>
          <w:rStyle w:val="MdCode"/>
          <w:u w:val="single"/>
        </w:rPr>
        <w:t xml:space="preserve">ad-res-j7</w:t>
      </w:r>
      <w:r>
        <w:t xml:space="preserve"> Repository, ANNEXURES_SF_SERIES_INDEX.md.</w:t>
      </w:r>
    </w:p>
    <w:p>
      <w:pPr>
        <w:pStyle w:val="MdSpace"/>
        <w:spacing w:before="0" w:after="60"/>
      </w:pPr>
    </w:p>
    <w:p>
      <w:pPr>
        <w:pStyle w:val="MdParagraph"/>
      </w:pPr>
      <w:r>
        <w:t xml:space="preserve">[5] Faucitt, J. (2025). </w:t>
      </w:r>
      <w:r>
        <w:rPr>
          <w:rStyle w:val="MdEm"/>
          <w:i/>
          <w:iCs/>
        </w:rPr>
        <w:t xml:space="preserve">SF6: Kayla Pretorius Estate Documentation</w:t>
      </w:r>
      <w:r>
        <w:t xml:space="preserve">. </w:t>
      </w:r>
      <w:r>
        <w:rPr>
          <w:rStyle w:val="MdCode"/>
          <w:u w:val="single"/>
        </w:rPr>
        <w:t xml:space="preserve">ad-res-j7</w:t>
      </w:r>
      <w:r>
        <w:t xml:space="preserve"> Repository, ANNEXURES_SF_SERIES_INDEX.md.</w:t>
      </w:r>
    </w:p>
    <w:p>
      <w:pPr>
        <w:pStyle w:val="MdSpace"/>
        <w:spacing w:before="0" w:after="60"/>
      </w:pPr>
    </w:p>
    <w:p>
      <w:pPr>
        <w:pStyle w:val="MdParagraph"/>
      </w:pPr>
      <w:r>
        <w:t xml:space="preserve">[6] Faucitt, J. (2025). </w:t>
      </w:r>
      <w:r>
        <w:rPr>
          <w:rStyle w:val="MdEm"/>
          <w:i/>
          <w:iCs/>
        </w:rPr>
        <w:t xml:space="preserve">JF-RF3: Bank Authorization Forms</w:t>
      </w:r>
      <w:r>
        <w:t xml:space="preserve">. </w:t>
      </w:r>
      <w:r>
        <w:rPr>
          <w:rStyle w:val="MdCode"/>
          <w:u w:val="single"/>
        </w:rPr>
        <w:t xml:space="preserve">ad-res-j7</w:t>
      </w:r>
      <w:r>
        <w:t xml:space="preserve"> Repository, FINAL_AFFIDAVITS_SUMMARY.md.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2pvbgybj6vpi16zzk_5cn" Type="http://schemas.openxmlformats.org/officeDocument/2006/relationships/hyperlink" Target="mailto:pete@regima.com"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2025-11-09T08:40:00.511Z</dcterms:created>
  <dcterms:modified xsi:type="dcterms:W3CDTF">2025-11-09T08:40:00.511Z</dcterms:modified>
</cp:coreProperties>
</file>

<file path=docProps/custom.xml><?xml version="1.0" encoding="utf-8"?>
<Properties xmlns="http://schemas.openxmlformats.org/officeDocument/2006/custom-properties" xmlns:vt="http://schemas.openxmlformats.org/officeDocument/2006/docPropsVTypes"/>
</file>