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right"/>
      </w:pPr>
      <w:r>
        <w:rPr>
          <w:rFonts w:ascii="Arial" w:cs="Arial" w:eastAsia="Arial" w:hAnsi="Arial"/>
          <w:b/>
          <w:bCs/>
          <w:sz w:val="22"/>
          <w:szCs w:val="22"/>
        </w:rPr>
        <w:t xml:space="preserve">13 February 2026</w:t>
      </w:r>
    </w:p>
    <w:p>
      <w:pPr>
        <w:spacing w:after="100"/>
      </w:pPr>
    </w:p>
    <w:p>
      <w:pPr>
        <w:spacing w:after="200" w:line="276"/>
      </w:pPr>
      <w:r>
        <w:rPr>
          <w:rFonts w:ascii="Arial" w:cs="Arial" w:eastAsia="Arial" w:hAnsi="Arial"/>
          <w:b/>
          <w:bCs/>
          <w:sz w:val="22"/>
          <w:szCs w:val="22"/>
        </w:rPr>
        <w:t xml:space="preserve">Ref: RWD/NOTICE/001</w:t>
      </w:r>
    </w:p>
    <w:p>
      <w:pPr>
        <w:spacing w:after="100"/>
      </w:pPr>
    </w:p>
    <w:p>
      <w:pPr>
        <w:spacing w:after="200" w:line="276"/>
        <w:jc w:val="center"/>
      </w:pPr>
      <w:r>
        <w:rPr>
          <w:rFonts w:ascii="Arial" w:cs="Arial" w:eastAsia="Arial" w:hAnsi="Arial"/>
          <w:b/>
          <w:bCs/>
          <w:sz w:val="22"/>
          <w:szCs w:val="22"/>
        </w:rPr>
        <w:t xml:space="preserve">FORMAL NOTICE</w:t>
      </w:r>
    </w:p>
    <w:p>
      <w:pPr>
        <w:spacing w:after="200" w:line="276"/>
        <w:jc w:val="center"/>
      </w:pPr>
      <w:r>
        <w:rPr>
          <w:rFonts w:ascii="Arial" w:cs="Arial" w:eastAsia="Arial" w:hAnsi="Arial"/>
          <w:b/>
          <w:bCs/>
          <w:sz w:val="22"/>
          <w:szCs w:val="22"/>
        </w:rPr>
        <w:t xml:space="preserve">CORPORATE GOVERNANCE CONCERNS AND DOCUMENTARY EVIDENCE</w:t>
      </w:r>
    </w:p>
    <w:p>
      <w:pPr>
        <w:spacing w:after="200" w:line="276"/>
        <w:jc w:val="center"/>
      </w:pPr>
      <w:r>
        <w:rPr>
          <w:rFonts w:ascii="Arial" w:cs="Arial" w:eastAsia="Arial" w:hAnsi="Arial"/>
          <w:b/>
          <w:bCs/>
          <w:sz w:val="22"/>
          <w:szCs w:val="22"/>
        </w:rPr>
        <w:t xml:space="preserve">OF POTENTIAL IDENTITY MISAPPROPRIATION AND MATERIAL</w:t>
      </w:r>
    </w:p>
    <w:p>
      <w:pPr>
        <w:spacing w:after="200" w:line="276"/>
        <w:jc w:val="center"/>
      </w:pPr>
      <w:r>
        <w:rPr>
          <w:rFonts w:ascii="Arial" w:cs="Arial" w:eastAsia="Arial" w:hAnsi="Arial"/>
          <w:b/>
          <w:bCs/>
          <w:sz w:val="22"/>
          <w:szCs w:val="22"/>
        </w:rPr>
        <w:t xml:space="preserve">NON-DISCLOSURE IN CASE NO: 2025-137857</w:t>
      </w:r>
    </w:p>
    <w:p>
      <w:pPr>
        <w:spacing w:after="100"/>
      </w:pPr>
    </w:p>
    <w:p>
      <w:pPr>
        <w:spacing w:after="200" w:line="276"/>
      </w:pPr>
      <w:r>
        <w:rPr>
          <w:rFonts w:ascii="Arial" w:cs="Arial" w:eastAsia="Arial" w:hAnsi="Arial"/>
          <w:b/>
          <w:bCs/>
          <w:sz w:val="22"/>
          <w:szCs w:val="22"/>
        </w:rPr>
        <w:t xml:space="preserve">ADDRESSED TO:</w:t>
      </w:r>
    </w:p>
    <w:p>
      <w:pPr>
        <w:spacing w:after="200" w:line="276"/>
      </w:pPr>
      <w:r>
        <w:rPr>
          <w:rFonts w:ascii="Arial" w:cs="Arial" w:eastAsia="Arial" w:hAnsi="Arial"/>
          <w:b/>
          <w:bCs/>
          <w:sz w:val="22"/>
          <w:szCs w:val="22"/>
        </w:rPr>
        <w:t xml:space="preserve">TO: </w:t>
      </w:r>
      <w:r>
        <w:rPr>
          <w:rFonts w:ascii="Arial" w:cs="Arial" w:eastAsia="Arial" w:hAnsi="Arial"/>
          <w:sz w:val="22"/>
          <w:szCs w:val="22"/>
        </w:rPr>
        <w:t xml:space="preserve">Mr. Peter Andrew Faucitt</w:t>
      </w:r>
    </w:p>
    <w:p>
      <w:pPr>
        <w:spacing w:after="200" w:line="276"/>
        <w:ind w:left="720"/>
      </w:pPr>
      <w:r>
        <w:rPr>
          <w:rFonts w:ascii="Arial" w:cs="Arial" w:eastAsia="Arial" w:hAnsi="Arial"/>
          <w:i/>
          <w:iCs/>
          <w:sz w:val="22"/>
          <w:szCs w:val="22"/>
        </w:rPr>
        <w:t xml:space="preserve">Director of this Entity / Applicant in Case No: 2025-137857</w:t>
      </w:r>
    </w:p>
    <w:p>
      <w:pPr>
        <w:spacing w:after="200" w:line="276"/>
      </w:pPr>
      <w:r>
        <w:rPr>
          <w:rFonts w:ascii="Arial" w:cs="Arial" w:eastAsia="Arial" w:hAnsi="Arial"/>
          <w:b/>
          <w:bCs/>
          <w:sz w:val="22"/>
          <w:szCs w:val="22"/>
        </w:rPr>
        <w:t xml:space="preserve">AND TO: </w:t>
      </w:r>
      <w:r>
        <w:rPr>
          <w:rFonts w:ascii="Arial" w:cs="Arial" w:eastAsia="Arial" w:hAnsi="Arial"/>
          <w:sz w:val="22"/>
          <w:szCs w:val="22"/>
        </w:rPr>
        <w:t xml:space="preserve">Mrs. Jacqueline Faucitt</w:t>
      </w:r>
    </w:p>
    <w:p>
      <w:pPr>
        <w:spacing w:after="200" w:line="276"/>
        <w:ind w:left="720"/>
      </w:pPr>
      <w:r>
        <w:rPr>
          <w:rFonts w:ascii="Arial" w:cs="Arial" w:eastAsia="Arial" w:hAnsi="Arial"/>
          <w:i/>
          <w:iCs/>
          <w:sz w:val="22"/>
          <w:szCs w:val="22"/>
        </w:rPr>
        <w:t xml:space="preserve">Director of this Entity / First Respondent</w:t>
      </w:r>
    </w:p>
    <w:p>
      <w:pPr>
        <w:spacing w:after="200" w:line="276"/>
      </w:pPr>
      <w:r>
        <w:rPr>
          <w:rFonts w:ascii="Arial" w:cs="Arial" w:eastAsia="Arial" w:hAnsi="Arial"/>
          <w:b/>
          <w:bCs/>
          <w:sz w:val="22"/>
          <w:szCs w:val="22"/>
        </w:rPr>
        <w:t xml:space="preserve">AND TO: </w:t>
      </w:r>
      <w:r>
        <w:rPr>
          <w:rFonts w:ascii="Arial" w:cs="Arial" w:eastAsia="Arial" w:hAnsi="Arial"/>
          <w:sz w:val="22"/>
          <w:szCs w:val="22"/>
        </w:rPr>
        <w:t xml:space="preserve">Mr. Daniel James Faucitt</w:t>
      </w:r>
    </w:p>
    <w:p>
      <w:pPr>
        <w:spacing w:after="200" w:line="276"/>
        <w:ind w:left="720"/>
      </w:pPr>
      <w:r>
        <w:rPr>
          <w:rFonts w:ascii="Arial" w:cs="Arial" w:eastAsia="Arial" w:hAnsi="Arial"/>
          <w:i/>
          <w:iCs/>
          <w:sz w:val="22"/>
          <w:szCs w:val="22"/>
        </w:rPr>
        <w:t xml:space="preserve">Director of this Entity / Second Respondent</w:t>
      </w:r>
    </w:p>
    <w:p>
      <w:pPr>
        <w:spacing w:after="100"/>
      </w:pPr>
    </w:p>
    <w:p>
      <w:pPr>
        <w:spacing w:after="200" w:line="276"/>
      </w:pPr>
      <w:r>
        <w:rPr>
          <w:rFonts w:ascii="Arial" w:cs="Arial" w:eastAsia="Arial" w:hAnsi="Arial"/>
          <w:b/>
          <w:bCs/>
          <w:sz w:val="22"/>
          <w:szCs w:val="22"/>
        </w:rPr>
        <w:t xml:space="preserve">COPIED TO:</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Elliott Attorneys Inc</w:t>
      </w:r>
    </w:p>
    <w:p>
      <w:pPr>
        <w:spacing w:after="200" w:line="276"/>
        <w:ind w:left="720"/>
      </w:pPr>
      <w:r>
        <w:rPr>
          <w:rFonts w:ascii="Arial" w:cs="Arial" w:eastAsia="Arial" w:hAnsi="Arial"/>
          <w:i/>
          <w:iCs/>
          <w:sz w:val="22"/>
          <w:szCs w:val="22"/>
        </w:rPr>
        <w:t xml:space="preserve">Ref: KRE/KF0019 — Attorneys on record for the Applicant</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Pottas Attorneys</w:t>
      </w:r>
    </w:p>
    <w:p>
      <w:pPr>
        <w:spacing w:after="200" w:line="276"/>
        <w:ind w:left="720"/>
      </w:pPr>
      <w:r>
        <w:rPr>
          <w:rFonts w:ascii="Arial" w:cs="Arial" w:eastAsia="Arial" w:hAnsi="Arial"/>
          <w:i/>
          <w:iCs/>
          <w:sz w:val="22"/>
          <w:szCs w:val="22"/>
        </w:rPr>
        <w:t xml:space="preserve">Ref: MR R POTTAS/FAUCITT — Attorneys for First and Second Respondents</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Forvis Mazars</w:t>
      </w:r>
    </w:p>
    <w:p>
      <w:pPr>
        <w:spacing w:after="200" w:line="276"/>
        <w:ind w:left="720"/>
      </w:pPr>
      <w:r>
        <w:rPr>
          <w:rFonts w:ascii="Arial" w:cs="Arial" w:eastAsia="Arial" w:hAnsi="Arial"/>
          <w:i/>
          <w:iCs/>
          <w:sz w:val="22"/>
          <w:szCs w:val="22"/>
        </w:rPr>
        <w:t xml:space="preserve">Forensic investigators appointed under the void Settlement Agreement §2.1.1 (void by reason of evidence provided by the Seventh Respondent, FirstRand Bank Ltd)</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Mr. D.J. Bantjies (SAICA 00105928)</w:t>
      </w:r>
    </w:p>
    <w:p>
      <w:pPr>
        <w:spacing w:after="200" w:line="276"/>
        <w:ind w:left="720"/>
      </w:pPr>
      <w:r>
        <w:rPr>
          <w:rFonts w:ascii="Arial" w:cs="Arial" w:eastAsia="Arial" w:hAnsi="Arial"/>
          <w:i/>
          <w:iCs/>
          <w:sz w:val="22"/>
          <w:szCs w:val="22"/>
        </w:rPr>
        <w:t xml:space="preserve">Company accountant / Commissioner of Oaths</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FirstRand Bank Ltd t/a FNB</w:t>
      </w:r>
    </w:p>
    <w:p>
      <w:pPr>
        <w:spacing w:after="200" w:line="276"/>
        <w:ind w:left="720"/>
      </w:pPr>
      <w:r>
        <w:rPr>
          <w:rFonts w:ascii="Arial" w:cs="Arial" w:eastAsia="Arial" w:hAnsi="Arial"/>
          <w:i/>
          <w:iCs/>
          <w:sz w:val="22"/>
          <w:szCs w:val="22"/>
        </w:rPr>
        <w:t xml:space="preserve">Seventh Respondent — Holder of entity accounts</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ABSA Bank Limited</w:t>
      </w:r>
    </w:p>
    <w:p>
      <w:pPr>
        <w:spacing w:after="200" w:line="276"/>
        <w:ind w:left="720"/>
      </w:pPr>
      <w:r>
        <w:rPr>
          <w:rFonts w:ascii="Arial" w:cs="Arial" w:eastAsia="Arial" w:hAnsi="Arial"/>
          <w:i/>
          <w:iCs/>
          <w:sz w:val="22"/>
          <w:szCs w:val="22"/>
        </w:rPr>
        <w:t xml:space="preserve">Eighth Respondent</w:t>
      </w:r>
    </w:p>
    <w:p>
      <w:pPr>
        <w:spacing w:after="200" w:line="276"/>
      </w:pPr>
      <w:r>
        <w:rPr>
          <w:rFonts w:ascii="Arial" w:cs="Arial" w:eastAsia="Arial" w:hAnsi="Arial"/>
          <w:b/>
          <w:bCs/>
          <w:sz w:val="22"/>
          <w:szCs w:val="22"/>
        </w:rPr>
        <w:t xml:space="preserve">CC: </w:t>
      </w:r>
      <w:r>
        <w:rPr>
          <w:rFonts w:ascii="Arial" w:cs="Arial" w:eastAsia="Arial" w:hAnsi="Arial"/>
          <w:sz w:val="22"/>
          <w:szCs w:val="22"/>
        </w:rPr>
        <w:t xml:space="preserve">Companies and Intellectual Property Commission</w:t>
      </w:r>
    </w:p>
    <w:p>
      <w:pPr>
        <w:spacing w:after="200" w:line="276"/>
        <w:ind w:left="720"/>
      </w:pPr>
      <w:r>
        <w:rPr>
          <w:rFonts w:ascii="Arial" w:cs="Arial" w:eastAsia="Arial" w:hAnsi="Arial"/>
          <w:i/>
          <w:iCs/>
          <w:sz w:val="22"/>
          <w:szCs w:val="22"/>
        </w:rPr>
        <w:t xml:space="preserve">Ninth Respondent</w:t>
      </w:r>
    </w:p>
    <w:p>
      <w:pPr>
        <w:spacing w:after="100"/>
      </w:pPr>
    </w:p>
    <w:p>
      <w:pPr>
        <w:pStyle w:val="Heading1"/>
        <w:spacing w:before="360" w:after="240"/>
      </w:pPr>
      <w:r>
        <w:rPr>
          <w:rFonts w:ascii="Arial" w:cs="Arial" w:eastAsia="Arial" w:hAnsi="Arial"/>
          <w:b/>
          <w:bCs/>
          <w:sz w:val="28"/>
          <w:szCs w:val="28"/>
        </w:rPr>
        <w:t xml:space="preserve">A. INTRODUCTION AND STANDING</w:t>
      </w:r>
    </w:p>
    <w:p>
      <w:pPr>
        <w:spacing w:after="200" w:line="276"/>
      </w:pPr>
      <w:r>
        <w:rPr>
          <w:rFonts w:ascii="Arial" w:cs="Arial" w:eastAsia="Arial" w:hAnsi="Arial"/>
          <w:b/>
          <w:bCs/>
          <w:sz w:val="22"/>
          <w:szCs w:val="22"/>
        </w:rPr>
        <w:t xml:space="preserve">1. </w:t>
      </w:r>
      <w:r>
        <w:rPr>
          <w:rFonts w:ascii="Arial" w:cs="Arial" w:eastAsia="Arial" w:hAnsi="Arial"/>
          <w:sz w:val="22"/>
          <w:szCs w:val="22"/>
        </w:rPr>
        <w:t xml:space="preserve">This notice is issued by </w:t>
      </w:r>
      <w:r>
        <w:rPr>
          <w:rFonts w:ascii="Arial" w:cs="Arial" w:eastAsia="Arial" w:hAnsi="Arial"/>
          <w:b/>
          <w:bCs/>
          <w:sz w:val="22"/>
          <w:szCs w:val="22"/>
        </w:rPr>
        <w:t xml:space="preserve">Regima Worldwide Distribution (Pty) Ltd</w:t>
      </w:r>
      <w:r>
        <w:rPr>
          <w:rFonts w:ascii="Arial" w:cs="Arial" w:eastAsia="Arial" w:hAnsi="Arial"/>
          <w:sz w:val="22"/>
          <w:szCs w:val="22"/>
        </w:rPr>
        <w:t xml:space="preserve"> (Registration Number 2011/005722/07) (“</w:t>
      </w:r>
      <w:r>
        <w:rPr>
          <w:rFonts w:ascii="Arial" w:cs="Arial" w:eastAsia="Arial" w:hAnsi="Arial"/>
          <w:b/>
          <w:bCs/>
          <w:sz w:val="22"/>
          <w:szCs w:val="22"/>
        </w:rPr>
        <w:t xml:space="preserve">RWD</w:t>
      </w:r>
      <w:r>
        <w:rPr>
          <w:rFonts w:ascii="Arial" w:cs="Arial" w:eastAsia="Arial" w:hAnsi="Arial"/>
          <w:sz w:val="22"/>
          <w:szCs w:val="22"/>
        </w:rPr>
        <w:t xml:space="preserve">” or “</w:t>
      </w:r>
      <w:r>
        <w:rPr>
          <w:rFonts w:ascii="Arial" w:cs="Arial" w:eastAsia="Arial" w:hAnsi="Arial"/>
          <w:b/>
          <w:bCs/>
          <w:sz w:val="22"/>
          <w:szCs w:val="22"/>
        </w:rPr>
        <w:t xml:space="preserve">this Entity</w:t>
      </w:r>
      <w:r>
        <w:rPr>
          <w:rFonts w:ascii="Arial" w:cs="Arial" w:eastAsia="Arial" w:hAnsi="Arial"/>
          <w:sz w:val="22"/>
          <w:szCs w:val="22"/>
        </w:rPr>
        <w:t xml:space="preserve">”), a private company duly incorporated in terms of the Companies Act 71 of 2008, cited as the Third Respondent in the above proceedings.</w:t>
      </w:r>
    </w:p>
    <w:p>
      <w:pPr>
        <w:spacing w:after="200" w:line="276"/>
      </w:pPr>
      <w:r>
        <w:rPr>
          <w:rFonts w:ascii="Arial" w:cs="Arial" w:eastAsia="Arial" w:hAnsi="Arial"/>
          <w:b/>
          <w:bCs/>
          <w:sz w:val="22"/>
          <w:szCs w:val="22"/>
        </w:rPr>
        <w:t xml:space="preserve">2. </w:t>
      </w:r>
      <w:r>
        <w:rPr>
          <w:rFonts w:ascii="Arial" w:cs="Arial" w:eastAsia="Arial" w:hAnsi="Arial"/>
          <w:sz w:val="22"/>
          <w:szCs w:val="22"/>
        </w:rPr>
        <w:t xml:space="preserve">RWD acts through the majority of its Board of Directors, being Mrs. Jacqueline Faucitt and Mr. Daniel James Faucitt, who together constitute a quorum and have resolved that this notice be issued in the interests of the Entity, all its stakeholders, and </w:t>
      </w:r>
      <w:r>
        <w:rPr>
          <w:rFonts w:ascii="Arial" w:cs="Arial" w:eastAsia="Arial" w:hAnsi="Arial"/>
          <w:i/>
          <w:iCs/>
          <w:sz w:val="22"/>
          <w:szCs w:val="22"/>
        </w:rPr>
        <w:t xml:space="preserve">in particular</w:t>
      </w:r>
      <w:r>
        <w:rPr>
          <w:rFonts w:ascii="Arial" w:cs="Arial" w:eastAsia="Arial" w:hAnsi="Arial"/>
          <w:sz w:val="22"/>
          <w:szCs w:val="22"/>
        </w:rPr>
        <w:t xml:space="preserve"> in the interests of its co-director, Mr. Peter Andrew Faucitt, for the reasons set out herein.</w:t>
      </w:r>
    </w:p>
    <w:p>
      <w:pPr>
        <w:spacing w:after="200" w:line="276"/>
      </w:pPr>
      <w:r>
        <w:rPr>
          <w:rFonts w:ascii="Arial" w:cs="Arial" w:eastAsia="Arial" w:hAnsi="Arial"/>
          <w:b/>
          <w:bCs/>
          <w:sz w:val="22"/>
          <w:szCs w:val="22"/>
        </w:rPr>
        <w:t xml:space="preserve">3. </w:t>
      </w:r>
      <w:r>
        <w:rPr>
          <w:rFonts w:ascii="Arial" w:cs="Arial" w:eastAsia="Arial" w:hAnsi="Arial"/>
          <w:sz w:val="22"/>
          <w:szCs w:val="22"/>
        </w:rPr>
        <w:t xml:space="preserve">This Entity has, to date, had no independent voice in the proceedings under Case No: 2025-137857. The interdict of 19 August 2025 was obtained </w:t>
      </w:r>
      <w:r>
        <w:rPr>
          <w:rFonts w:ascii="Arial" w:cs="Arial" w:eastAsia="Arial" w:hAnsi="Arial"/>
          <w:i/>
          <w:iCs/>
          <w:sz w:val="22"/>
          <w:szCs w:val="22"/>
        </w:rPr>
        <w:t xml:space="preserve">ex parte</w:t>
      </w:r>
      <w:r>
        <w:rPr>
          <w:rFonts w:ascii="Arial" w:cs="Arial" w:eastAsia="Arial" w:hAnsi="Arial"/>
          <w:sz w:val="22"/>
          <w:szCs w:val="22"/>
        </w:rPr>
        <w:t xml:space="preserve"> and directly constrains this Entity’s operations, governance, and financial affairs. No person has deposed to any affidavit on behalf of this Entity. No legal representative has been instructed by this Entity. This Entity’s statutory obligations, governance rights, and independent legal interests have not been placed before the Court.</w:t>
      </w:r>
    </w:p>
    <w:p>
      <w:pPr>
        <w:spacing w:after="200" w:line="276"/>
      </w:pPr>
      <w:r>
        <w:rPr>
          <w:rFonts w:ascii="Arial" w:cs="Arial" w:eastAsia="Arial" w:hAnsi="Arial"/>
          <w:b/>
          <w:bCs/>
          <w:sz w:val="22"/>
          <w:szCs w:val="22"/>
        </w:rPr>
        <w:t xml:space="preserve">4. </w:t>
      </w:r>
      <w:r>
        <w:rPr>
          <w:rFonts w:ascii="Arial" w:cs="Arial" w:eastAsia="Arial" w:hAnsi="Arial"/>
          <w:sz w:val="22"/>
          <w:szCs w:val="22"/>
        </w:rPr>
        <w:t xml:space="preserve">This notice is not a court filing. It is a formal corporate communication issued by a juristic person in the discharge of its governance obligations, to place all stakeholders on notice of documentary evidence that has come to the attention of this Entity’s Board.</w:t>
      </w:r>
    </w:p>
    <w:p>
      <w:pPr>
        <w:pStyle w:val="Heading1"/>
        <w:spacing w:before="360" w:after="240"/>
      </w:pPr>
      <w:r>
        <w:rPr>
          <w:rFonts w:ascii="Arial" w:cs="Arial" w:eastAsia="Arial" w:hAnsi="Arial"/>
          <w:b/>
          <w:bCs/>
          <w:sz w:val="28"/>
          <w:szCs w:val="28"/>
        </w:rPr>
        <w:t xml:space="preserve">B. PRIMARY CONCERN — THE DEFENCE OF MR P.A. FAUCITT</w:t>
      </w:r>
    </w:p>
    <w:p>
      <w:pPr>
        <w:spacing w:after="200" w:line="276"/>
      </w:pPr>
      <w:r>
        <w:rPr>
          <w:rFonts w:ascii="Arial" w:cs="Arial" w:eastAsia="Arial" w:hAnsi="Arial"/>
          <w:b/>
          <w:bCs/>
          <w:sz w:val="22"/>
          <w:szCs w:val="22"/>
        </w:rPr>
        <w:t xml:space="preserve">5. </w:t>
      </w:r>
      <w:r>
        <w:rPr>
          <w:rFonts w:ascii="Arial" w:cs="Arial" w:eastAsia="Arial" w:hAnsi="Arial"/>
          <w:sz w:val="22"/>
          <w:szCs w:val="22"/>
        </w:rPr>
        <w:t xml:space="preserve">This Entity issues this notice with a primary concern that may, at first impression, appear counterintuitive: </w:t>
      </w:r>
      <w:r>
        <w:rPr>
          <w:rFonts w:ascii="Arial" w:cs="Arial" w:eastAsia="Arial" w:hAnsi="Arial"/>
          <w:b/>
          <w:bCs/>
          <w:sz w:val="22"/>
          <w:szCs w:val="22"/>
        </w:rPr>
        <w:t xml:space="preserve">this Entity believes that Mr. Peter Andrew Faucitt, its co-director, may himself be a victim of the conduct described herein.</w:t>
      </w:r>
    </w:p>
    <w:p>
      <w:pPr>
        <w:spacing w:after="200" w:line="276"/>
      </w:pPr>
      <w:r>
        <w:rPr>
          <w:rFonts w:ascii="Arial" w:cs="Arial" w:eastAsia="Arial" w:hAnsi="Arial"/>
          <w:b/>
          <w:bCs/>
          <w:sz w:val="22"/>
          <w:szCs w:val="22"/>
        </w:rPr>
        <w:t xml:space="preserve">6. </w:t>
      </w:r>
      <w:r>
        <w:rPr>
          <w:rFonts w:ascii="Arial" w:cs="Arial" w:eastAsia="Arial" w:hAnsi="Arial"/>
          <w:sz w:val="22"/>
          <w:szCs w:val="22"/>
        </w:rPr>
        <w:t xml:space="preserve">The growing body of documentary evidence available to this Entity’s Board indicates that Mr. Faucitt’s identity, authority, and directorial powers may have been systematically misappropriated by third parties claiming to “act on his behalf” as part of a broader, as yet not fully understood, series of acts related to fraud and/or embezzlement affecting this Entity and its related entities.</w:t>
      </w:r>
    </w:p>
    <w:p>
      <w:pPr>
        <w:spacing w:after="200" w:line="276"/>
      </w:pPr>
      <w:r>
        <w:rPr>
          <w:rFonts w:ascii="Arial" w:cs="Arial" w:eastAsia="Arial" w:hAnsi="Arial"/>
          <w:b/>
          <w:bCs/>
          <w:sz w:val="22"/>
          <w:szCs w:val="22"/>
        </w:rPr>
        <w:t xml:space="preserve">7. </w:t>
      </w:r>
      <w:r>
        <w:rPr>
          <w:rFonts w:ascii="Arial" w:cs="Arial" w:eastAsia="Arial" w:hAnsi="Arial"/>
          <w:sz w:val="22"/>
          <w:szCs w:val="22"/>
        </w:rPr>
        <w:t xml:space="preserve">It is a matter of record that Mr. Faucitt does not use electronic communication systems. He does not operate a computer. He does not send or receive emails. All digital communications attributed to Mr. Faucitt — including correspondence with this Entity’s bank, this Entity’s accounting systems, and the attorneys of record in the above proceedings — have been authored and transmitted by other persons.</w:t>
      </w:r>
    </w:p>
    <w:p>
      <w:pPr>
        <w:spacing w:after="200" w:line="276"/>
      </w:pPr>
      <w:r>
        <w:rPr>
          <w:rFonts w:ascii="Arial" w:cs="Arial" w:eastAsia="Arial" w:hAnsi="Arial"/>
          <w:b/>
          <w:bCs/>
          <w:sz w:val="22"/>
          <w:szCs w:val="22"/>
        </w:rPr>
        <w:t xml:space="preserve">8. </w:t>
      </w:r>
      <w:r>
        <w:rPr>
          <w:rFonts w:ascii="Arial" w:cs="Arial" w:eastAsia="Arial" w:hAnsi="Arial"/>
          <w:sz w:val="22"/>
          <w:szCs w:val="22"/>
        </w:rPr>
        <w:t xml:space="preserve">Specifically, this Entity’s Board has become aware of the following:</w:t>
      </w:r>
    </w:p>
    <w:p>
      <w:pPr>
        <w:spacing w:after="200" w:line="276"/>
        <w:ind w:left="720"/>
      </w:pPr>
      <w:r>
        <w:rPr>
          <w:rFonts w:ascii="Arial" w:cs="Arial" w:eastAsia="Arial" w:hAnsi="Arial"/>
          <w:b/>
          <w:bCs/>
          <w:sz w:val="22"/>
          <w:szCs w:val="22"/>
        </w:rPr>
        <w:t xml:space="preserve">8.1 </w:t>
      </w:r>
      <w:r>
        <w:rPr>
          <w:rFonts w:ascii="Arial" w:cs="Arial" w:eastAsia="Arial" w:hAnsi="Arial"/>
          <w:sz w:val="22"/>
          <w:szCs w:val="22"/>
        </w:rPr>
        <w:t xml:space="preserve">The email address </w:t>
      </w:r>
      <w:r>
        <w:rPr>
          <w:rFonts w:ascii="Arial" w:cs="Arial" w:eastAsia="Arial" w:hAnsi="Arial"/>
          <w:b/>
          <w:bCs/>
          <w:sz w:val="22"/>
          <w:szCs w:val="22"/>
        </w:rPr>
        <w:t xml:space="preserve">pete@regima.com</w:t>
      </w:r>
      <w:r>
        <w:rPr>
          <w:rFonts w:ascii="Arial" w:cs="Arial" w:eastAsia="Arial" w:hAnsi="Arial"/>
          <w:sz w:val="22"/>
          <w:szCs w:val="22"/>
        </w:rPr>
        <w:t xml:space="preserve"> was operated by Ms. Rynette Farrar, an employee of this Entity’s related entities with the title of bookkeeper. Sage accounting system records (screenshots dated 20 June 2025) demonstrate that Ms. Farrar was simultaneously logged into the system under both </w:t>
      </w:r>
      <w:r>
        <w:rPr>
          <w:rFonts w:ascii="Arial" w:cs="Arial" w:eastAsia="Arial" w:hAnsi="Arial"/>
          <w:i/>
          <w:iCs/>
          <w:sz w:val="22"/>
          <w:szCs w:val="22"/>
        </w:rPr>
        <w:t xml:space="preserve">rynette@regima.zone</w:t>
      </w:r>
      <w:r>
        <w:rPr>
          <w:rFonts w:ascii="Arial" w:cs="Arial" w:eastAsia="Arial" w:hAnsi="Arial"/>
          <w:sz w:val="22"/>
          <w:szCs w:val="22"/>
        </w:rPr>
        <w:t xml:space="preserve"> (her own identity) and </w:t>
      </w:r>
      <w:r>
        <w:rPr>
          <w:rFonts w:ascii="Arial" w:cs="Arial" w:eastAsia="Arial" w:hAnsi="Arial"/>
          <w:i/>
          <w:iCs/>
          <w:sz w:val="22"/>
          <w:szCs w:val="22"/>
        </w:rPr>
        <w:t xml:space="preserve">pete@regima.com</w:t>
      </w:r>
      <w:r>
        <w:rPr>
          <w:rFonts w:ascii="Arial" w:cs="Arial" w:eastAsia="Arial" w:hAnsi="Arial"/>
          <w:sz w:val="22"/>
          <w:szCs w:val="22"/>
        </w:rPr>
        <w:t xml:space="preserve"> (Mr. Faucitt’s identity). This constitutes identity impersonation in contravention of section 87 of the Electronic Communications and Transactions Act 25 of 2002.</w:t>
      </w:r>
    </w:p>
    <w:p>
      <w:pPr>
        <w:spacing w:after="200" w:line="276"/>
        <w:ind w:left="720"/>
      </w:pPr>
      <w:r>
        <w:rPr>
          <w:rFonts w:ascii="Arial" w:cs="Arial" w:eastAsia="Arial" w:hAnsi="Arial"/>
          <w:b/>
          <w:bCs/>
          <w:sz w:val="22"/>
          <w:szCs w:val="22"/>
        </w:rPr>
        <w:t xml:space="preserve">8.2 </w:t>
      </w:r>
      <w:r>
        <w:rPr>
          <w:rFonts w:ascii="Arial" w:cs="Arial" w:eastAsia="Arial" w:hAnsi="Arial"/>
          <w:sz w:val="22"/>
          <w:szCs w:val="22"/>
        </w:rPr>
        <w:t xml:space="preserve">The email address </w:t>
      </w:r>
      <w:r>
        <w:rPr>
          <w:rFonts w:ascii="Arial" w:cs="Arial" w:eastAsia="Arial" w:hAnsi="Arial"/>
          <w:b/>
          <w:bCs/>
          <w:sz w:val="22"/>
          <w:szCs w:val="22"/>
        </w:rPr>
        <w:t xml:space="preserve">pete@regimaskin.co.za</w:t>
      </w:r>
      <w:r>
        <w:rPr>
          <w:rFonts w:ascii="Arial" w:cs="Arial" w:eastAsia="Arial" w:hAnsi="Arial"/>
          <w:sz w:val="22"/>
          <w:szCs w:val="22"/>
        </w:rPr>
        <w:t xml:space="preserve">, which is understood to be the current email address attributed to Mr. Faucitt, operates on the domain </w:t>
      </w:r>
      <w:r>
        <w:rPr>
          <w:rFonts w:ascii="Arial" w:cs="Arial" w:eastAsia="Arial" w:hAnsi="Arial"/>
          <w:i/>
          <w:iCs/>
          <w:sz w:val="22"/>
          <w:szCs w:val="22"/>
        </w:rPr>
        <w:t xml:space="preserve">regimaskin.co.za</w:t>
      </w:r>
      <w:r>
        <w:rPr>
          <w:rFonts w:ascii="Arial" w:cs="Arial" w:eastAsia="Arial" w:hAnsi="Arial"/>
          <w:sz w:val="22"/>
          <w:szCs w:val="22"/>
        </w:rPr>
        <w:t xml:space="preserve">, which was registered on 29 May 2025 by </w:t>
      </w:r>
      <w:r>
        <w:rPr>
          <w:rFonts w:ascii="Arial" w:cs="Arial" w:eastAsia="Arial" w:hAnsi="Arial"/>
          <w:b/>
          <w:bCs/>
          <w:sz w:val="22"/>
          <w:szCs w:val="22"/>
        </w:rPr>
        <w:t xml:space="preserve">Addarory (Pty) Ltd</w:t>
      </w:r>
      <w:r>
        <w:rPr>
          <w:rFonts w:ascii="Arial" w:cs="Arial" w:eastAsia="Arial" w:hAnsi="Arial"/>
          <w:sz w:val="22"/>
          <w:szCs w:val="22"/>
        </w:rPr>
        <w:t xml:space="preserve"> — a company owned and directed by the son of Ms. Rynette Farrar. This Entity has not authorised the use of the “RegimA” brand name in any domain registration by Addarory (Pty) Ltd. The domain was registered seven (7) days after the deletion of this Entity’s group Shopify e-commerce audit trails on 22 May 2025.</w:t>
      </w:r>
    </w:p>
    <w:p>
      <w:pPr>
        <w:spacing w:after="200" w:line="276"/>
        <w:ind w:left="720"/>
      </w:pPr>
      <w:r>
        <w:rPr>
          <w:rFonts w:ascii="Arial" w:cs="Arial" w:eastAsia="Arial" w:hAnsi="Arial"/>
          <w:b/>
          <w:bCs/>
          <w:sz w:val="22"/>
          <w:szCs w:val="22"/>
        </w:rPr>
        <w:t xml:space="preserve">8.3 </w:t>
      </w:r>
      <w:r>
        <w:rPr>
          <w:rFonts w:ascii="Arial" w:cs="Arial" w:eastAsia="Arial" w:hAnsi="Arial"/>
          <w:sz w:val="22"/>
          <w:szCs w:val="22"/>
        </w:rPr>
        <w:t xml:space="preserve">Elliott Attorneys Inc acts simultaneously as attorneys of record for the Applicant (Mr. Faucitt) in Case No: 2025-137857 and as attorneys for Ms. Rynette Farrar personally (Ref: KRE/MM/KL0034, Letter of Demand dated 26 November 2025). Given that Mr. Faucitt does not communicate electronically, and that all instructions attributed to him necessarily pass through Ms. Farrar, the Board is concerned that the instruction chain between Mr. Faucitt and his attorneys of record may be compromised.</w:t>
      </w:r>
    </w:p>
    <w:p>
      <w:pPr>
        <w:spacing w:after="200" w:line="276"/>
      </w:pPr>
      <w:r>
        <w:rPr>
          <w:rFonts w:ascii="Arial" w:cs="Arial" w:eastAsia="Arial" w:hAnsi="Arial"/>
          <w:b/>
          <w:bCs/>
          <w:sz w:val="22"/>
          <w:szCs w:val="22"/>
        </w:rPr>
        <w:t xml:space="preserve">9. </w:t>
      </w:r>
      <w:r>
        <w:rPr>
          <w:rFonts w:ascii="Arial" w:cs="Arial" w:eastAsia="Arial" w:hAnsi="Arial"/>
          <w:sz w:val="22"/>
          <w:szCs w:val="22"/>
        </w:rPr>
        <w:t xml:space="preserve">This Entity accordingly requests that Elliott Attorneys Inc confirm, in writing, addressed to this Entity:</w:t>
      </w:r>
    </w:p>
    <w:p>
      <w:pPr>
        <w:spacing w:after="200" w:line="276"/>
        <w:ind w:left="720"/>
      </w:pPr>
      <w:r>
        <w:rPr>
          <w:rFonts w:ascii="Arial" w:cs="Arial" w:eastAsia="Arial" w:hAnsi="Arial"/>
          <w:b/>
          <w:bCs/>
          <w:sz w:val="22"/>
          <w:szCs w:val="22"/>
        </w:rPr>
        <w:t xml:space="preserve">9.1 </w:t>
      </w:r>
      <w:r>
        <w:rPr>
          <w:rFonts w:ascii="Arial" w:cs="Arial" w:eastAsia="Arial" w:hAnsi="Arial"/>
          <w:sz w:val="22"/>
          <w:szCs w:val="22"/>
        </w:rPr>
        <w:t xml:space="preserve">The mechanism by which instructions from Mr. Faucitt personally (as distinct from instructions relayed by Ms. Farrar on his behalf) are received and verified;</w:t>
      </w:r>
    </w:p>
    <w:p>
      <w:pPr>
        <w:spacing w:after="200" w:line="276"/>
        <w:ind w:left="720"/>
      </w:pPr>
      <w:r>
        <w:rPr>
          <w:rFonts w:ascii="Arial" w:cs="Arial" w:eastAsia="Arial" w:hAnsi="Arial"/>
          <w:b/>
          <w:bCs/>
          <w:sz w:val="22"/>
          <w:szCs w:val="22"/>
        </w:rPr>
        <w:t xml:space="preserve">9.2 </w:t>
      </w:r>
      <w:r>
        <w:rPr>
          <w:rFonts w:ascii="Arial" w:cs="Arial" w:eastAsia="Arial" w:hAnsi="Arial"/>
          <w:sz w:val="22"/>
          <w:szCs w:val="22"/>
        </w:rPr>
        <w:t xml:space="preserve">Whether Mr. Faucitt has been independently and personally apprised of the documentary evidence annexed to this notice;</w:t>
      </w:r>
    </w:p>
    <w:p>
      <w:pPr>
        <w:spacing w:after="200" w:line="276"/>
        <w:ind w:left="720"/>
      </w:pPr>
      <w:r>
        <w:rPr>
          <w:rFonts w:ascii="Arial" w:cs="Arial" w:eastAsia="Arial" w:hAnsi="Arial"/>
          <w:b/>
          <w:bCs/>
          <w:sz w:val="22"/>
          <w:szCs w:val="22"/>
        </w:rPr>
        <w:t xml:space="preserve">9.3 </w:t>
      </w:r>
      <w:r>
        <w:rPr>
          <w:rFonts w:ascii="Arial" w:cs="Arial" w:eastAsia="Arial" w:hAnsi="Arial"/>
          <w:sz w:val="22"/>
          <w:szCs w:val="22"/>
        </w:rPr>
        <w:t xml:space="preserve">Whether the simultaneous representation of Mr. Faucitt and Ms. Farrar has been assessed for conflicts of interest, given that the evidence herein identifies Ms. Farrar as a principal participant in the conduct giving rise to this Entity’s concerns.</w:t>
      </w:r>
    </w:p>
    <w:p>
      <w:pPr>
        <w:spacing w:after="200" w:line="276"/>
      </w:pPr>
      <w:r>
        <w:rPr>
          <w:rFonts w:ascii="Arial" w:cs="Arial" w:eastAsia="Arial" w:hAnsi="Arial"/>
          <w:b/>
          <w:bCs/>
          <w:sz w:val="22"/>
          <w:szCs w:val="22"/>
        </w:rPr>
        <w:t xml:space="preserve">10. </w:t>
      </w:r>
      <w:r>
        <w:rPr>
          <w:rFonts w:ascii="Arial" w:cs="Arial" w:eastAsia="Arial" w:hAnsi="Arial"/>
          <w:sz w:val="22"/>
          <w:szCs w:val="22"/>
        </w:rPr>
        <w:t xml:space="preserve">This Entity emphasises that this notice is issued </w:t>
      </w:r>
      <w:r>
        <w:rPr>
          <w:rFonts w:ascii="Arial" w:cs="Arial" w:eastAsia="Arial" w:hAnsi="Arial"/>
          <w:i/>
          <w:iCs/>
          <w:sz w:val="22"/>
          <w:szCs w:val="22"/>
        </w:rPr>
        <w:t xml:space="preserve">in defence</w:t>
      </w:r>
      <w:r>
        <w:rPr>
          <w:rFonts w:ascii="Arial" w:cs="Arial" w:eastAsia="Arial" w:hAnsi="Arial"/>
          <w:sz w:val="22"/>
          <w:szCs w:val="22"/>
        </w:rPr>
        <w:t xml:space="preserve"> of Mr. Faucitt’s interests as a co-director. If Mr. Faucitt has been acting under independent, informed volition throughout, he will have no difficulty confirming this through his attorneys. If, however, his authority has been misappropriated, then this notice serves to protect him by placing all parties on notice of the evidence and ensuring that no further actions are taken in his name without independent verification of his personal instructions.</w:t>
      </w:r>
    </w:p>
    <w:p>
      <w:pPr>
        <w:pStyle w:val="Heading1"/>
        <w:spacing w:before="360" w:after="240"/>
      </w:pPr>
      <w:r>
        <w:rPr>
          <w:rFonts w:ascii="Arial" w:cs="Arial" w:eastAsia="Arial" w:hAnsi="Arial"/>
          <w:b/>
          <w:bCs/>
          <w:sz w:val="28"/>
          <w:szCs w:val="28"/>
        </w:rPr>
        <w:t xml:space="preserve">C. DOCUMENTARY EVIDENCE OF MATERIAL NON-DISCLOSURE</w:t>
      </w:r>
    </w:p>
    <w:p>
      <w:pPr>
        <w:spacing w:after="200" w:line="276"/>
      </w:pPr>
      <w:r>
        <w:rPr>
          <w:rFonts w:ascii="Arial" w:cs="Arial" w:eastAsia="Arial" w:hAnsi="Arial"/>
          <w:b/>
          <w:bCs/>
          <w:sz w:val="22"/>
          <w:szCs w:val="22"/>
        </w:rPr>
        <w:t xml:space="preserve">11. </w:t>
      </w:r>
      <w:r>
        <w:rPr>
          <w:rFonts w:ascii="Arial" w:cs="Arial" w:eastAsia="Arial" w:hAnsi="Arial"/>
          <w:sz w:val="22"/>
          <w:szCs w:val="22"/>
        </w:rPr>
        <w:t xml:space="preserve">This Entity places all parties on notice that the interdict granted on 19 August 2025 in Case No: 2025-137857 was, in the Entity’s assessment, obtained through material non-disclosure of facts that were known to the persons who prepared the founding affidavit, in breach of the </w:t>
      </w:r>
      <w:r>
        <w:rPr>
          <w:rFonts w:ascii="Arial" w:cs="Arial" w:eastAsia="Arial" w:hAnsi="Arial"/>
          <w:i/>
          <w:iCs/>
          <w:sz w:val="22"/>
          <w:szCs w:val="22"/>
        </w:rPr>
        <w:t xml:space="preserve">uberrima fides</w:t>
      </w:r>
      <w:r>
        <w:rPr>
          <w:rFonts w:ascii="Arial" w:cs="Arial" w:eastAsia="Arial" w:hAnsi="Arial"/>
          <w:sz w:val="22"/>
          <w:szCs w:val="22"/>
        </w:rPr>
        <w:t xml:space="preserve"> duty owed to the Court in </w:t>
      </w:r>
      <w:r>
        <w:rPr>
          <w:rFonts w:ascii="Arial" w:cs="Arial" w:eastAsia="Arial" w:hAnsi="Arial"/>
          <w:i/>
          <w:iCs/>
          <w:sz w:val="22"/>
          <w:szCs w:val="22"/>
        </w:rPr>
        <w:t xml:space="preserve">ex parte</w:t>
      </w:r>
      <w:r>
        <w:rPr>
          <w:rFonts w:ascii="Arial" w:cs="Arial" w:eastAsia="Arial" w:hAnsi="Arial"/>
          <w:sz w:val="22"/>
          <w:szCs w:val="22"/>
        </w:rPr>
        <w:t xml:space="preserve"> applications.</w:t>
      </w:r>
    </w:p>
    <w:p>
      <w:pPr>
        <w:spacing w:after="200" w:line="276"/>
      </w:pPr>
      <w:r>
        <w:rPr>
          <w:rFonts w:ascii="Arial" w:cs="Arial" w:eastAsia="Arial" w:hAnsi="Arial"/>
          <w:b/>
          <w:bCs/>
          <w:sz w:val="22"/>
          <w:szCs w:val="22"/>
        </w:rPr>
        <w:t xml:space="preserve">12. </w:t>
      </w:r>
      <w:r>
        <w:rPr>
          <w:rFonts w:ascii="Arial" w:cs="Arial" w:eastAsia="Arial" w:hAnsi="Arial"/>
          <w:sz w:val="22"/>
          <w:szCs w:val="22"/>
        </w:rPr>
        <w:t xml:space="preserve">The following documentary evidence, annexed hereto, demonstrates that material facts regarding this Entity’s banking mandate structure were withheld from the Court:</w:t>
      </w:r>
    </w:p>
    <w:p>
      <w:pPr>
        <w:spacing w:after="200" w:line="276"/>
        <w:ind w:left="720"/>
      </w:pPr>
      <w:r>
        <w:rPr>
          <w:rFonts w:ascii="Arial" w:cs="Arial" w:eastAsia="Arial" w:hAnsi="Arial"/>
          <w:b/>
          <w:bCs/>
          <w:sz w:val="22"/>
          <w:szCs w:val="22"/>
        </w:rPr>
        <w:t xml:space="preserve">12.1 FNB FICA/KYC Documentation </w:t>
      </w:r>
      <w:r>
        <w:rPr>
          <w:rFonts w:ascii="Arial" w:cs="Arial" w:eastAsia="Arial" w:hAnsi="Arial"/>
          <w:sz w:val="22"/>
          <w:szCs w:val="22"/>
        </w:rPr>
        <w:t xml:space="preserve">— This Entity’s own bank (FNB) records confirm that Mr. Daniel James Faucitt holds </w:t>
      </w:r>
      <w:r>
        <w:rPr>
          <w:rFonts w:ascii="Arial" w:cs="Arial" w:eastAsia="Arial" w:hAnsi="Arial"/>
          <w:b/>
          <w:bCs/>
          <w:sz w:val="22"/>
          <w:szCs w:val="22"/>
        </w:rPr>
        <w:t xml:space="preserve">SOLE independent signatory authority</w:t>
      </w:r>
      <w:r>
        <w:rPr>
          <w:rFonts w:ascii="Arial" w:cs="Arial" w:eastAsia="Arial" w:hAnsi="Arial"/>
          <w:sz w:val="22"/>
          <w:szCs w:val="22"/>
        </w:rPr>
        <w:t xml:space="preserve"> over this Entity’s primary operating account (Account No: 62323196362). This SOLE mandate was established through FNB’s standard FICA/KYC verification process and was in force at the time the founding affidavit was prepared and the interdict was sought. This fact was not disclosed to the Court.</w:t>
      </w:r>
    </w:p>
    <w:p>
      <w:pPr>
        <w:spacing w:after="200" w:line="276"/>
        <w:ind w:left="720"/>
      </w:pPr>
      <w:r>
        <w:rPr>
          <w:rFonts w:ascii="Arial" w:cs="Arial" w:eastAsia="Arial" w:hAnsi="Arial"/>
          <w:b/>
          <w:bCs/>
          <w:sz w:val="22"/>
          <w:szCs w:val="22"/>
        </w:rPr>
        <w:t xml:space="preserve">12.2 FNB Legal Department Correspondence </w:t>
      </w:r>
      <w:r>
        <w:rPr>
          <w:rFonts w:ascii="Arial" w:cs="Arial" w:eastAsia="Arial" w:hAnsi="Arial"/>
          <w:sz w:val="22"/>
          <w:szCs w:val="22"/>
        </w:rPr>
        <w:t xml:space="preserve">(dated 18 June 2025) — A letter from FNB’s Legal Department, addressed to “Rynette </w:t>
      </w:r>
      <w:r>
        <w:rPr>
          <w:rFonts w:ascii="Arial" w:cs="Arial" w:eastAsia="Arial" w:hAnsi="Arial"/>
          <w:i/>
          <w:iCs/>
          <w:sz w:val="22"/>
          <w:szCs w:val="22"/>
        </w:rPr>
        <w:t xml:space="preserve">pp</w:t>
      </w:r>
      <w:r>
        <w:rPr>
          <w:rFonts w:ascii="Arial" w:cs="Arial" w:eastAsia="Arial" w:hAnsi="Arial"/>
          <w:sz w:val="22"/>
          <w:szCs w:val="22"/>
        </w:rPr>
        <w:t xml:space="preserve"> Peter” (confirming that Rynette Farrar was corresponding with the bank under Mr. Faucitt’s name), explicitly confirmed the SOLE mandate held by Mr. Daniel James Faucitt. This letter was in the possession of the persons preparing the founding affidavit. It was not disclosed to the Court.</w:t>
      </w:r>
    </w:p>
    <w:p>
      <w:pPr>
        <w:spacing w:after="200" w:line="276"/>
        <w:ind w:left="720"/>
      </w:pPr>
      <w:r>
        <w:rPr>
          <w:rFonts w:ascii="Arial" w:cs="Arial" w:eastAsia="Arial" w:hAnsi="Arial"/>
          <w:b/>
          <w:bCs/>
          <w:sz w:val="22"/>
          <w:szCs w:val="22"/>
        </w:rPr>
        <w:t xml:space="preserve">12.3 Mr. Faucitt’s Letter to FNB </w:t>
      </w:r>
      <w:r>
        <w:rPr>
          <w:rFonts w:ascii="Arial" w:cs="Arial" w:eastAsia="Arial" w:hAnsi="Arial"/>
          <w:sz w:val="22"/>
          <w:szCs w:val="22"/>
        </w:rPr>
        <w:t xml:space="preserve">(dated 17 June 2025) — A letter to FNB written by or attributed to Mr. P.A. Faucitt, in which he admits “suspected fraud” within the Entity. This letter demonstrates that Mr. Faucitt (or the person acting under his name) was aware of the Entity’s mandate structure prior to the founding affidavit. The existence of this letter and its contents were not disclosed to the Court.</w:t>
      </w:r>
    </w:p>
    <w:p>
      <w:pPr>
        <w:spacing w:after="200" w:line="276"/>
        <w:ind w:left="720"/>
      </w:pPr>
      <w:r>
        <w:rPr>
          <w:rFonts w:ascii="Arial" w:cs="Arial" w:eastAsia="Arial" w:hAnsi="Arial"/>
          <w:b/>
          <w:bCs/>
          <w:sz w:val="22"/>
          <w:szCs w:val="22"/>
        </w:rPr>
        <w:t xml:space="preserve">12.4 Entity Bank Statements </w:t>
      </w:r>
      <w:r>
        <w:rPr>
          <w:rFonts w:ascii="Arial" w:cs="Arial" w:eastAsia="Arial" w:hAnsi="Arial"/>
          <w:sz w:val="22"/>
          <w:szCs w:val="22"/>
        </w:rPr>
        <w:t xml:space="preserve">— This Entity’s bank statements for the period following the interdict show the extraction of approximately </w:t>
      </w:r>
      <w:r>
        <w:rPr>
          <w:rFonts w:ascii="Arial" w:cs="Arial" w:eastAsia="Arial" w:hAnsi="Arial"/>
          <w:b/>
          <w:bCs/>
          <w:sz w:val="22"/>
          <w:szCs w:val="22"/>
        </w:rPr>
        <w:t xml:space="preserve">R10,624,131.18</w:t>
      </w:r>
      <w:r>
        <w:rPr>
          <w:rFonts w:ascii="Arial" w:cs="Arial" w:eastAsia="Arial" w:hAnsi="Arial"/>
          <w:sz w:val="22"/>
          <w:szCs w:val="22"/>
        </w:rPr>
        <w:t xml:space="preserve"> from Entity accounts between 3 and 11 September 2025, without the prior notification to directors required by the void Settlement Agreement §2.2.1.1 (void by reason of evidence provided by the Seventh Respondent, FirstRand Bank Ltd). This extraction was facilitated by the interdict obtained through the non-disclosure described above.</w:t>
      </w:r>
    </w:p>
    <w:p>
      <w:pPr>
        <w:spacing w:after="200" w:line="276"/>
      </w:pPr>
      <w:r>
        <w:rPr>
          <w:rFonts w:ascii="Arial" w:cs="Arial" w:eastAsia="Arial" w:hAnsi="Arial"/>
          <w:b/>
          <w:bCs/>
          <w:sz w:val="22"/>
          <w:szCs w:val="22"/>
        </w:rPr>
        <w:t xml:space="preserve">13. </w:t>
      </w:r>
      <w:r>
        <w:rPr>
          <w:rFonts w:ascii="Arial" w:cs="Arial" w:eastAsia="Arial" w:hAnsi="Arial"/>
          <w:sz w:val="22"/>
          <w:szCs w:val="22"/>
        </w:rPr>
        <w:t xml:space="preserve">Each of these documents existed prior to the swearing of the founding affidavit. Each was known to, or ought to have been known to, the deponent and/or the persons who prepared the founding affidavit. The suppression of this evidence from the </w:t>
      </w:r>
      <w:r>
        <w:rPr>
          <w:rFonts w:ascii="Arial" w:cs="Arial" w:eastAsia="Arial" w:hAnsi="Arial"/>
          <w:i/>
          <w:iCs/>
          <w:sz w:val="22"/>
          <w:szCs w:val="22"/>
        </w:rPr>
        <w:t xml:space="preserve">ex parte</w:t>
      </w:r>
      <w:r>
        <w:rPr>
          <w:rFonts w:ascii="Arial" w:cs="Arial" w:eastAsia="Arial" w:hAnsi="Arial"/>
          <w:sz w:val="22"/>
          <w:szCs w:val="22"/>
        </w:rPr>
        <w:t xml:space="preserve"> application is, in this Entity’s assessment, sufficient to render the interdict void </w:t>
      </w:r>
      <w:r>
        <w:rPr>
          <w:rFonts w:ascii="Arial" w:cs="Arial" w:eastAsia="Arial" w:hAnsi="Arial"/>
          <w:i/>
          <w:iCs/>
          <w:sz w:val="22"/>
          <w:szCs w:val="22"/>
        </w:rPr>
        <w:t xml:space="preserve">ab initio</w:t>
      </w:r>
      <w:r>
        <w:rPr>
          <w:rFonts w:ascii="Arial" w:cs="Arial" w:eastAsia="Arial" w:hAnsi="Arial"/>
          <w:sz w:val="22"/>
          <w:szCs w:val="22"/>
        </w:rPr>
        <w:t xml:space="preserve">.</w:t>
      </w:r>
    </w:p>
    <w:p>
      <w:pPr>
        <w:pStyle w:val="Heading1"/>
        <w:spacing w:before="360" w:after="240"/>
      </w:pPr>
      <w:r>
        <w:rPr>
          <w:rFonts w:ascii="Arial" w:cs="Arial" w:eastAsia="Arial" w:hAnsi="Arial"/>
          <w:b/>
          <w:bCs/>
          <w:sz w:val="28"/>
          <w:szCs w:val="28"/>
        </w:rPr>
        <w:t xml:space="preserve">D. NOTICE OF PROVABLE KNOWLEDGE</w:t>
      </w:r>
    </w:p>
    <w:p>
      <w:pPr>
        <w:spacing w:after="200" w:line="276"/>
      </w:pPr>
      <w:r>
        <w:rPr>
          <w:rFonts w:ascii="Arial" w:cs="Arial" w:eastAsia="Arial" w:hAnsi="Arial"/>
          <w:b/>
          <w:bCs/>
          <w:sz w:val="22"/>
          <w:szCs w:val="22"/>
        </w:rPr>
        <w:t xml:space="preserve">14. All parties are hereby placed on notice</w:t>
      </w:r>
      <w:r>
        <w:rPr>
          <w:rFonts w:ascii="Arial" w:cs="Arial" w:eastAsia="Arial" w:hAnsi="Arial"/>
          <w:sz w:val="22"/>
          <w:szCs w:val="22"/>
        </w:rPr>
        <w:t xml:space="preserve"> that, in light of the documentary evidence annexed hereto, this Entity considers the interdict of 19 August 2025 to be materially compromised by non-disclosure and potentially void </w:t>
      </w:r>
      <w:r>
        <w:rPr>
          <w:rFonts w:ascii="Arial" w:cs="Arial" w:eastAsia="Arial" w:hAnsi="Arial"/>
          <w:i/>
          <w:iCs/>
          <w:sz w:val="22"/>
          <w:szCs w:val="22"/>
        </w:rPr>
        <w:t xml:space="preserve">ab initio</w:t>
      </w:r>
      <w:r>
        <w:rPr>
          <w:rFonts w:ascii="Arial" w:cs="Arial" w:eastAsia="Arial" w:hAnsi="Arial"/>
          <w:sz w:val="22"/>
          <w:szCs w:val="22"/>
        </w:rPr>
        <w:t xml:space="preserve">, together with all orders, agreements, mandates, and engagements that derive their authority from said interdict.</w:t>
      </w:r>
    </w:p>
    <w:p>
      <w:pPr>
        <w:spacing w:after="200" w:line="276"/>
      </w:pPr>
      <w:r>
        <w:rPr>
          <w:rFonts w:ascii="Arial" w:cs="Arial" w:eastAsia="Arial" w:hAnsi="Arial"/>
          <w:b/>
          <w:bCs/>
          <w:sz w:val="22"/>
          <w:szCs w:val="22"/>
        </w:rPr>
        <w:t xml:space="preserve">15. </w:t>
      </w:r>
      <w:r>
        <w:rPr>
          <w:rFonts w:ascii="Arial" w:cs="Arial" w:eastAsia="Arial" w:hAnsi="Arial"/>
          <w:sz w:val="22"/>
          <w:szCs w:val="22"/>
        </w:rPr>
        <w:t xml:space="preserve">Any person or entity that, from the date of receipt of this notice, continues to act under the authority of, or invoice under mandates created by, the impugned interdict and/or the void settlement agreements flowing therefrom, does so with </w:t>
      </w:r>
      <w:r>
        <w:rPr>
          <w:rFonts w:ascii="Arial" w:cs="Arial" w:eastAsia="Arial" w:hAnsi="Arial"/>
          <w:b/>
          <w:bCs/>
          <w:sz w:val="22"/>
          <w:szCs w:val="22"/>
        </w:rPr>
        <w:t xml:space="preserve">provable knowledge</w:t>
      </w:r>
      <w:r>
        <w:rPr>
          <w:rFonts w:ascii="Arial" w:cs="Arial" w:eastAsia="Arial" w:hAnsi="Arial"/>
          <w:sz w:val="22"/>
          <w:szCs w:val="22"/>
        </w:rPr>
        <w:t xml:space="preserve"> of the evidence set out herein and at their own risk.</w:t>
      </w:r>
    </w:p>
    <w:p>
      <w:pPr>
        <w:spacing w:after="200" w:line="276"/>
      </w:pPr>
      <w:r>
        <w:rPr>
          <w:rFonts w:ascii="Arial" w:cs="Arial" w:eastAsia="Arial" w:hAnsi="Arial"/>
          <w:b/>
          <w:bCs/>
          <w:sz w:val="22"/>
          <w:szCs w:val="22"/>
        </w:rPr>
        <w:t xml:space="preserve">16. </w:t>
      </w:r>
      <w:r>
        <w:rPr>
          <w:rFonts w:ascii="Arial" w:cs="Arial" w:eastAsia="Arial" w:hAnsi="Arial"/>
          <w:sz w:val="22"/>
          <w:szCs w:val="22"/>
        </w:rPr>
        <w:t xml:space="preserve">Without derogating from the generality of the above, the following parties are specifically placed on notice:</w:t>
      </w:r>
    </w:p>
    <w:p>
      <w:pPr>
        <w:spacing w:after="200" w:line="276"/>
        <w:ind w:left="720"/>
      </w:pPr>
      <w:r>
        <w:rPr>
          <w:rFonts w:ascii="Arial" w:cs="Arial" w:eastAsia="Arial" w:hAnsi="Arial"/>
          <w:b/>
          <w:bCs/>
          <w:sz w:val="22"/>
          <w:szCs w:val="22"/>
        </w:rPr>
        <w:t xml:space="preserve">16.1 Forvis Mazars </w:t>
      </w:r>
      <w:r>
        <w:rPr>
          <w:rFonts w:ascii="Arial" w:cs="Arial" w:eastAsia="Arial" w:hAnsi="Arial"/>
          <w:sz w:val="22"/>
          <w:szCs w:val="22"/>
        </w:rPr>
        <w:t xml:space="preserve">— The forensic investigation mandate derives from the void Settlement Agreement (§2.1.1) (void by reason of evidence provided by the Seventh Respondent, FirstRand Bank Ltd), which itself derives from the interdict. If the interdict is void </w:t>
      </w:r>
      <w:r>
        <w:rPr>
          <w:rFonts w:ascii="Arial" w:cs="Arial" w:eastAsia="Arial" w:hAnsi="Arial"/>
          <w:i/>
          <w:iCs/>
          <w:sz w:val="22"/>
          <w:szCs w:val="22"/>
        </w:rPr>
        <w:t xml:space="preserve">ab initio</w:t>
      </w:r>
      <w:r>
        <w:rPr>
          <w:rFonts w:ascii="Arial" w:cs="Arial" w:eastAsia="Arial" w:hAnsi="Arial"/>
          <w:sz w:val="22"/>
          <w:szCs w:val="22"/>
        </w:rPr>
        <w:t xml:space="preserve">, Forvis Mazars is requested to independently assess the validity of its mandate in light of the evidence herein. This Entity does not oppose a forensic investigation — on the contrary, this Entity welcomes the fullest possible investigation into its affairs, including the conduct described in this notice.</w:t>
      </w:r>
    </w:p>
    <w:p>
      <w:pPr>
        <w:spacing w:after="200" w:line="276"/>
        <w:ind w:left="720"/>
      </w:pPr>
      <w:r>
        <w:rPr>
          <w:rFonts w:ascii="Arial" w:cs="Arial" w:eastAsia="Arial" w:hAnsi="Arial"/>
          <w:b/>
          <w:bCs/>
          <w:sz w:val="22"/>
          <w:szCs w:val="22"/>
        </w:rPr>
        <w:t xml:space="preserve">16.2 Mr. D.J. Bantjies (SAICA 00105928) </w:t>
      </w:r>
      <w:r>
        <w:rPr>
          <w:rFonts w:ascii="Arial" w:cs="Arial" w:eastAsia="Arial" w:hAnsi="Arial"/>
          <w:sz w:val="22"/>
          <w:szCs w:val="22"/>
        </w:rPr>
        <w:t xml:space="preserve">— Mr. Bantjies is placed on notice that this Entity has identified documentary evidence indicating that his confirmatory affidavit in the founding papers may have been based on information curated by a person (Ms. Farrar) who is now identified as a principal participant in conduct adverse to this Entity’s interests. Mr. Bantjies is further placed on notice that his appointment as Trustee of the Faucitt Family Trust (which holds this Entity’s shares) was effected by Ms. Farrar signing “pp Peter” in July 2024 — raising the same identity misappropriation concerns described in Section B above.</w:t>
      </w:r>
    </w:p>
    <w:p>
      <w:pPr>
        <w:spacing w:after="200" w:line="276"/>
        <w:ind w:left="720"/>
      </w:pPr>
      <w:r>
        <w:rPr>
          <w:rFonts w:ascii="Arial" w:cs="Arial" w:eastAsia="Arial" w:hAnsi="Arial"/>
          <w:b/>
          <w:bCs/>
          <w:sz w:val="22"/>
          <w:szCs w:val="22"/>
        </w:rPr>
        <w:t xml:space="preserve">16.3 FirstRand Bank Ltd t/a FNB </w:t>
      </w:r>
      <w:r>
        <w:rPr>
          <w:rFonts w:ascii="Arial" w:cs="Arial" w:eastAsia="Arial" w:hAnsi="Arial"/>
          <w:sz w:val="22"/>
          <w:szCs w:val="22"/>
        </w:rPr>
        <w:t xml:space="preserve">(Seventh Respondent) — FNB is placed on notice that this Entity disputes the validity of the order that restructured its banking relationships. FNB’s own FICA/KYC records and its Legal Department’s correspondence (18 June 2025) confirm the mandate structure that was misrepresented to the Court. As this Entity’s bank, FNB has obligations to this Entity — not solely to whichever director currently wields a court order.</w:t>
      </w:r>
    </w:p>
    <w:p>
      <w:pPr>
        <w:spacing w:after="200" w:line="276"/>
        <w:ind w:left="720"/>
      </w:pPr>
      <w:r>
        <w:rPr>
          <w:rFonts w:ascii="Arial" w:cs="Arial" w:eastAsia="Arial" w:hAnsi="Arial"/>
          <w:b/>
          <w:bCs/>
          <w:sz w:val="22"/>
          <w:szCs w:val="22"/>
        </w:rPr>
        <w:t xml:space="preserve">16.4 Elliott Attorneys Inc </w:t>
      </w:r>
      <w:r>
        <w:rPr>
          <w:rFonts w:ascii="Arial" w:cs="Arial" w:eastAsia="Arial" w:hAnsi="Arial"/>
          <w:sz w:val="22"/>
          <w:szCs w:val="22"/>
        </w:rPr>
        <w:t xml:space="preserve">— In addition to the matters raised in paragraphs 9.1 to 9.3 above, Elliott Attorneys is placed on notice in its capacity as officers of the Court that the documentary evidence herein indicates material non-disclosure in the founding papers of the </w:t>
      </w:r>
      <w:r>
        <w:rPr>
          <w:rFonts w:ascii="Arial" w:cs="Arial" w:eastAsia="Arial" w:hAnsi="Arial"/>
          <w:i/>
          <w:iCs/>
          <w:sz w:val="22"/>
          <w:szCs w:val="22"/>
        </w:rPr>
        <w:t xml:space="preserve">ex parte</w:t>
      </w:r>
      <w:r>
        <w:rPr>
          <w:rFonts w:ascii="Arial" w:cs="Arial" w:eastAsia="Arial" w:hAnsi="Arial"/>
          <w:sz w:val="22"/>
          <w:szCs w:val="22"/>
        </w:rPr>
        <w:t xml:space="preserve"> application. Elliott Attorneys’ professional obligations require it to consider this evidence and to advise its client accordingly.</w:t>
      </w:r>
    </w:p>
    <w:p>
      <w:pPr>
        <w:pStyle w:val="Heading1"/>
        <w:spacing w:before="360" w:after="240"/>
      </w:pPr>
      <w:r>
        <w:rPr>
          <w:rFonts w:ascii="Arial" w:cs="Arial" w:eastAsia="Arial" w:hAnsi="Arial"/>
          <w:b/>
          <w:bCs/>
          <w:sz w:val="28"/>
          <w:szCs w:val="28"/>
        </w:rPr>
        <w:t xml:space="preserve">E. COST MISALLOCATION AND THE “UNINVOLVED” PARADOX</w:t>
      </w:r>
    </w:p>
    <w:p>
      <w:pPr>
        <w:spacing w:after="200" w:line="276"/>
      </w:pPr>
      <w:r>
        <w:rPr>
          <w:rFonts w:ascii="Arial" w:cs="Arial" w:eastAsia="Arial" w:hAnsi="Arial"/>
          <w:b/>
          <w:bCs/>
          <w:sz w:val="22"/>
          <w:szCs w:val="22"/>
        </w:rPr>
        <w:t xml:space="preserve">17. </w:t>
      </w:r>
      <w:r>
        <w:rPr>
          <w:rFonts w:ascii="Arial" w:cs="Arial" w:eastAsia="Arial" w:hAnsi="Arial"/>
          <w:sz w:val="22"/>
          <w:szCs w:val="22"/>
        </w:rPr>
        <w:t xml:space="preserve">This Entity draws the attention of all parties to an irreconcilable contradiction in the current administration of its affairs:</w:t>
      </w:r>
    </w:p>
    <w:p>
      <w:pPr>
        <w:spacing w:after="200" w:line="276"/>
        <w:ind w:left="720"/>
      </w:pPr>
      <w:r>
        <w:rPr>
          <w:rFonts w:ascii="Arial" w:cs="Arial" w:eastAsia="Arial" w:hAnsi="Arial"/>
          <w:b/>
          <w:bCs/>
          <w:sz w:val="22"/>
          <w:szCs w:val="22"/>
        </w:rPr>
        <w:t xml:space="preserve">17.1 </w:t>
      </w:r>
      <w:r>
        <w:rPr>
          <w:rFonts w:ascii="Arial" w:cs="Arial" w:eastAsia="Arial" w:hAnsi="Arial"/>
          <w:sz w:val="22"/>
          <w:szCs w:val="22"/>
        </w:rPr>
        <w:t xml:space="preserve">On 20 January 2026, the Applicant’s attorneys confirmed, on the Applicant’s instructions, that Mrs. Jacqueline Faucitt “</w:t>
      </w:r>
      <w:r>
        <w:rPr>
          <w:rFonts w:ascii="Arial" w:cs="Arial" w:eastAsia="Arial" w:hAnsi="Arial"/>
          <w:i/>
          <w:iCs/>
          <w:sz w:val="22"/>
          <w:szCs w:val="22"/>
        </w:rPr>
        <w:t xml:space="preserve">has not been involved in the day-to-day running of the entities, and remains uninvolved, in this regard</w:t>
      </w:r>
      <w:r>
        <w:rPr>
          <w:rFonts w:ascii="Arial" w:cs="Arial" w:eastAsia="Arial" w:hAnsi="Arial"/>
          <w:sz w:val="22"/>
          <w:szCs w:val="22"/>
        </w:rPr>
        <w:t xml:space="preserve">” (Elliott Attorneys, Ref: KRE/RVR/KF0019).</w:t>
      </w:r>
    </w:p>
    <w:p>
      <w:pPr>
        <w:spacing w:after="200" w:line="276"/>
        <w:ind w:left="720"/>
      </w:pPr>
      <w:r>
        <w:rPr>
          <w:rFonts w:ascii="Arial" w:cs="Arial" w:eastAsia="Arial" w:hAnsi="Arial"/>
          <w:b/>
          <w:bCs/>
          <w:sz w:val="22"/>
          <w:szCs w:val="22"/>
        </w:rPr>
        <w:t xml:space="preserve">17.2 </w:t>
      </w:r>
      <w:r>
        <w:rPr>
          <w:rFonts w:ascii="Arial" w:cs="Arial" w:eastAsia="Arial" w:hAnsi="Arial"/>
          <w:sz w:val="22"/>
          <w:szCs w:val="22"/>
        </w:rPr>
        <w:t xml:space="preserve">Simultaneously, Mrs. Faucitt has been billed personally for entity expenses, denied access to entity accounts, entity records, and entity systems, and threatened with contempt proceedings for alleged non-compliance with an order she had no opportunity to oppose.</w:t>
      </w:r>
    </w:p>
    <w:p>
      <w:pPr>
        <w:spacing w:after="200" w:line="276"/>
        <w:ind w:left="720"/>
      </w:pPr>
      <w:r>
        <w:rPr>
          <w:rFonts w:ascii="Arial" w:cs="Arial" w:eastAsia="Arial" w:hAnsi="Arial"/>
          <w:b/>
          <w:bCs/>
          <w:sz w:val="22"/>
          <w:szCs w:val="22"/>
        </w:rPr>
        <w:t xml:space="preserve">17.3 </w:t>
      </w:r>
      <w:r>
        <w:rPr>
          <w:rFonts w:ascii="Arial" w:cs="Arial" w:eastAsia="Arial" w:hAnsi="Arial"/>
          <w:sz w:val="22"/>
          <w:szCs w:val="22"/>
        </w:rPr>
        <w:t xml:space="preserve">The Court Order at §2.6 grants the Applicant exclusive authority to transact on entity accounts. The Court Order at §2.7 and the void Settlement Agreement at §2.1.3 (void by reason of evidence provided by the Seventh Respondent, FirstRand Bank Ltd) designate forensic and operational costs as entity expenses. The void Settlement Agreement at §2.4.3 requires the Applicant to “</w:t>
      </w:r>
      <w:r>
        <w:rPr>
          <w:rFonts w:ascii="Arial" w:cs="Arial" w:eastAsia="Arial" w:hAnsi="Arial"/>
          <w:i/>
          <w:iCs/>
          <w:sz w:val="22"/>
          <w:szCs w:val="22"/>
        </w:rPr>
        <w:t xml:space="preserve">arrange payment of such expenses, from and on behalf of the relevant entity</w:t>
      </w:r>
      <w:r>
        <w:rPr>
          <w:rFonts w:ascii="Arial" w:cs="Arial" w:eastAsia="Arial" w:hAnsi="Arial"/>
          <w:sz w:val="22"/>
          <w:szCs w:val="22"/>
        </w:rPr>
        <w:t xml:space="preserve">.”</w:t>
      </w:r>
    </w:p>
    <w:p>
      <w:pPr>
        <w:spacing w:after="200" w:line="276"/>
      </w:pPr>
      <w:r>
        <w:rPr>
          <w:rFonts w:ascii="Arial" w:cs="Arial" w:eastAsia="Arial" w:hAnsi="Arial"/>
          <w:b/>
          <w:bCs/>
          <w:sz w:val="22"/>
          <w:szCs w:val="22"/>
        </w:rPr>
        <w:t xml:space="preserve">18. </w:t>
      </w:r>
      <w:r>
        <w:rPr>
          <w:rFonts w:ascii="Arial" w:cs="Arial" w:eastAsia="Arial" w:hAnsi="Arial"/>
          <w:sz w:val="22"/>
          <w:szCs w:val="22"/>
        </w:rPr>
        <w:t xml:space="preserve">This Entity requests that </w:t>
      </w:r>
      <w:r>
        <w:rPr>
          <w:rFonts w:ascii="Arial" w:cs="Arial" w:eastAsia="Arial" w:hAnsi="Arial"/>
          <w:b/>
          <w:bCs/>
          <w:sz w:val="22"/>
          <w:szCs w:val="22"/>
        </w:rPr>
        <w:t xml:space="preserve">all service providers</w:t>
      </w:r>
      <w:r>
        <w:rPr>
          <w:rFonts w:ascii="Arial" w:cs="Arial" w:eastAsia="Arial" w:hAnsi="Arial"/>
          <w:sz w:val="22"/>
          <w:szCs w:val="22"/>
        </w:rPr>
        <w:t xml:space="preserve"> redirect entity-related invoices to the appropriate corporate entity for processing by the Applicant in accordance with the Court Order and void Settlement Agreement. No legal basis has been identified by any party for billing Mrs. Faucitt personally for entity obligations. This Entity’s Board has resolved that entity expenses are entity obligations and should be processed accordingly.</w:t>
      </w:r>
    </w:p>
    <w:p>
      <w:pPr>
        <w:spacing w:after="200" w:line="276"/>
      </w:pPr>
      <w:r>
        <w:rPr>
          <w:rFonts w:ascii="Arial" w:cs="Arial" w:eastAsia="Arial" w:hAnsi="Arial"/>
          <w:b/>
          <w:bCs/>
          <w:sz w:val="22"/>
          <w:szCs w:val="22"/>
        </w:rPr>
        <w:t xml:space="preserve">19. </w:t>
      </w:r>
      <w:r>
        <w:rPr>
          <w:rFonts w:ascii="Arial" w:cs="Arial" w:eastAsia="Arial" w:hAnsi="Arial"/>
          <w:sz w:val="22"/>
          <w:szCs w:val="22"/>
        </w:rPr>
        <w:t xml:space="preserve">The Applicant’s own attorneys have confirmed that the Applicant is “</w:t>
      </w:r>
      <w:r>
        <w:rPr>
          <w:rFonts w:ascii="Arial" w:cs="Arial" w:eastAsia="Arial" w:hAnsi="Arial"/>
          <w:i/>
          <w:iCs/>
          <w:sz w:val="22"/>
          <w:szCs w:val="22"/>
        </w:rPr>
        <w:t xml:space="preserve">running the entities</w:t>
      </w:r>
      <w:r>
        <w:rPr>
          <w:rFonts w:ascii="Arial" w:cs="Arial" w:eastAsia="Arial" w:hAnsi="Arial"/>
          <w:sz w:val="22"/>
          <w:szCs w:val="22"/>
        </w:rPr>
        <w:t xml:space="preserve">” and is “</w:t>
      </w:r>
      <w:r>
        <w:rPr>
          <w:rFonts w:ascii="Arial" w:cs="Arial" w:eastAsia="Arial" w:hAnsi="Arial"/>
          <w:i/>
          <w:iCs/>
          <w:sz w:val="22"/>
          <w:szCs w:val="22"/>
        </w:rPr>
        <w:t xml:space="preserve">ensuring the viability thereof</w:t>
      </w:r>
      <w:r>
        <w:rPr>
          <w:rFonts w:ascii="Arial" w:cs="Arial" w:eastAsia="Arial" w:hAnsi="Arial"/>
          <w:sz w:val="22"/>
          <w:szCs w:val="22"/>
        </w:rPr>
        <w:t xml:space="preserve">” (Elliott Attorneys, 20 January 2026). If the Applicant is running the entities, then every operational cost falls within his scope of control. The Applicant cannot claim operational authority while simultaneously refusing to process the costs of that authority through entity accounts.</w:t>
      </w:r>
    </w:p>
    <w:p>
      <w:pPr>
        <w:pStyle w:val="Heading1"/>
        <w:spacing w:before="360" w:after="240"/>
      </w:pPr>
      <w:r>
        <w:rPr>
          <w:rFonts w:ascii="Arial" w:cs="Arial" w:eastAsia="Arial" w:hAnsi="Arial"/>
          <w:b/>
          <w:bCs/>
          <w:sz w:val="28"/>
          <w:szCs w:val="28"/>
        </w:rPr>
        <w:t xml:space="preserve">F. DAMAGE QUANTIFICATION AND RESERVATION OF RIGHTS</w:t>
      </w:r>
    </w:p>
    <w:p>
      <w:pPr>
        <w:spacing w:after="200" w:line="276"/>
      </w:pPr>
      <w:r>
        <w:rPr>
          <w:rFonts w:ascii="Arial" w:cs="Arial" w:eastAsia="Arial" w:hAnsi="Arial"/>
          <w:b/>
          <w:bCs/>
          <w:sz w:val="22"/>
          <w:szCs w:val="22"/>
        </w:rPr>
        <w:t xml:space="preserve">20. </w:t>
      </w:r>
      <w:r>
        <w:rPr>
          <w:rFonts w:ascii="Arial" w:cs="Arial" w:eastAsia="Arial" w:hAnsi="Arial"/>
          <w:sz w:val="22"/>
          <w:szCs w:val="22"/>
        </w:rPr>
        <w:t xml:space="preserve">This Entity is in the process of quantifying damages arising from conduct undertaken under the authority of the impugned interdict, including but not limited to:</w:t>
      </w:r>
    </w:p>
    <w:p>
      <w:pPr>
        <w:spacing w:after="200" w:line="276"/>
        <w:ind w:left="720"/>
      </w:pPr>
      <w:r>
        <w:rPr>
          <w:rFonts w:ascii="Arial" w:cs="Arial" w:eastAsia="Arial" w:hAnsi="Arial"/>
          <w:b/>
          <w:bCs/>
          <w:sz w:val="22"/>
          <w:szCs w:val="22"/>
        </w:rPr>
        <w:t xml:space="preserve">20.1 </w:t>
      </w:r>
      <w:r>
        <w:rPr>
          <w:rFonts w:ascii="Arial" w:cs="Arial" w:eastAsia="Arial" w:hAnsi="Arial"/>
          <w:sz w:val="22"/>
          <w:szCs w:val="22"/>
        </w:rPr>
        <w:t xml:space="preserve">The extraction of approximately R10,624,131.18 from Entity accounts between 3 and 11 September 2025;</w:t>
      </w:r>
    </w:p>
    <w:p>
      <w:pPr>
        <w:spacing w:after="200" w:line="276"/>
        <w:ind w:left="720"/>
      </w:pPr>
      <w:r>
        <w:rPr>
          <w:rFonts w:ascii="Arial" w:cs="Arial" w:eastAsia="Arial" w:hAnsi="Arial"/>
          <w:b/>
          <w:bCs/>
          <w:sz w:val="22"/>
          <w:szCs w:val="22"/>
        </w:rPr>
        <w:t xml:space="preserve">20.2 </w:t>
      </w:r>
      <w:r>
        <w:rPr>
          <w:rFonts w:ascii="Arial" w:cs="Arial" w:eastAsia="Arial" w:hAnsi="Arial"/>
          <w:sz w:val="22"/>
          <w:szCs w:val="22"/>
        </w:rPr>
        <w:t xml:space="preserve">The redirection of Entity revenue streams through unauthorised channels;</w:t>
      </w:r>
    </w:p>
    <w:p>
      <w:pPr>
        <w:spacing w:after="200" w:line="276"/>
        <w:ind w:left="720"/>
      </w:pPr>
      <w:r>
        <w:rPr>
          <w:rFonts w:ascii="Arial" w:cs="Arial" w:eastAsia="Arial" w:hAnsi="Arial"/>
          <w:b/>
          <w:bCs/>
          <w:sz w:val="22"/>
          <w:szCs w:val="22"/>
        </w:rPr>
        <w:t xml:space="preserve">20.3 </w:t>
      </w:r>
      <w:r>
        <w:rPr>
          <w:rFonts w:ascii="Arial" w:cs="Arial" w:eastAsia="Arial" w:hAnsi="Arial"/>
          <w:sz w:val="22"/>
          <w:szCs w:val="22"/>
        </w:rPr>
        <w:t xml:space="preserve">The registration of the domain </w:t>
      </w:r>
      <w:r>
        <w:rPr>
          <w:rFonts w:ascii="Arial" w:cs="Arial" w:eastAsia="Arial" w:hAnsi="Arial"/>
          <w:i/>
          <w:iCs/>
          <w:sz w:val="22"/>
          <w:szCs w:val="22"/>
        </w:rPr>
        <w:t xml:space="preserve">regimaskin.co.za</w:t>
      </w:r>
      <w:r>
        <w:rPr>
          <w:rFonts w:ascii="Arial" w:cs="Arial" w:eastAsia="Arial" w:hAnsi="Arial"/>
          <w:sz w:val="22"/>
          <w:szCs w:val="22"/>
        </w:rPr>
        <w:t xml:space="preserve"> by Addarory (Pty) Ltd (Ms. Farrar’s son’s company) without this Entity’s authorisation, and the diversion of this Entity’s group customers to said domain;</w:t>
      </w:r>
    </w:p>
    <w:p>
      <w:pPr>
        <w:spacing w:after="200" w:line="276"/>
        <w:ind w:left="720"/>
      </w:pPr>
      <w:r>
        <w:rPr>
          <w:rFonts w:ascii="Arial" w:cs="Arial" w:eastAsia="Arial" w:hAnsi="Arial"/>
          <w:b/>
          <w:bCs/>
          <w:sz w:val="22"/>
          <w:szCs w:val="22"/>
        </w:rPr>
        <w:t xml:space="preserve">20.4 </w:t>
      </w:r>
      <w:r>
        <w:rPr>
          <w:rFonts w:ascii="Arial" w:cs="Arial" w:eastAsia="Arial" w:hAnsi="Arial"/>
          <w:sz w:val="22"/>
          <w:szCs w:val="22"/>
        </w:rPr>
        <w:t xml:space="preserve">The deletion of Shopify e-commerce audit trails on 22 May 2025, resulting in the destruction of this Entity’s group trading records;</w:t>
      </w:r>
    </w:p>
    <w:p>
      <w:pPr>
        <w:spacing w:after="200" w:line="276"/>
        <w:ind w:left="720"/>
      </w:pPr>
      <w:r>
        <w:rPr>
          <w:rFonts w:ascii="Arial" w:cs="Arial" w:eastAsia="Arial" w:hAnsi="Arial"/>
          <w:b/>
          <w:bCs/>
          <w:sz w:val="22"/>
          <w:szCs w:val="22"/>
        </w:rPr>
        <w:t xml:space="preserve">20.5 </w:t>
      </w:r>
      <w:r>
        <w:rPr>
          <w:rFonts w:ascii="Arial" w:cs="Arial" w:eastAsia="Arial" w:hAnsi="Arial"/>
          <w:sz w:val="22"/>
          <w:szCs w:val="22"/>
        </w:rPr>
        <w:t xml:space="preserve">The costs of remediation, including but not limited to legal costs, forensic investigation costs, and the cost of restoring this Entity’s governance structures.</w:t>
      </w:r>
    </w:p>
    <w:p>
      <w:pPr>
        <w:spacing w:after="200" w:line="276"/>
      </w:pPr>
      <w:r>
        <w:rPr>
          <w:rFonts w:ascii="Arial" w:cs="Arial" w:eastAsia="Arial" w:hAnsi="Arial"/>
          <w:b/>
          <w:bCs/>
          <w:sz w:val="22"/>
          <w:szCs w:val="22"/>
        </w:rPr>
        <w:t xml:space="preserve">21. </w:t>
      </w:r>
      <w:r>
        <w:rPr>
          <w:rFonts w:ascii="Arial" w:cs="Arial" w:eastAsia="Arial" w:hAnsi="Arial"/>
          <w:sz w:val="22"/>
          <w:szCs w:val="22"/>
        </w:rPr>
        <w:t xml:space="preserve">This Entity reserves all rights to pursue recovery against the Applicant and/or any agents, employees, service providers, or other persons who facilitated the conduct described herein, whether such persons acted under the Applicant’s authority or under the colour of the Applicant’s authority without his knowledge or consent.</w:t>
      </w:r>
    </w:p>
    <w:p>
      <w:pPr>
        <w:pStyle w:val="Heading1"/>
        <w:spacing w:before="360" w:after="240"/>
      </w:pPr>
      <w:r>
        <w:rPr>
          <w:rFonts w:ascii="Arial" w:cs="Arial" w:eastAsia="Arial" w:hAnsi="Arial"/>
          <w:b/>
          <w:bCs/>
          <w:sz w:val="28"/>
          <w:szCs w:val="28"/>
        </w:rPr>
        <w:t xml:space="preserve">G. DELIVERY AND CONFIRMATION</w:t>
      </w:r>
    </w:p>
    <w:p>
      <w:pPr>
        <w:spacing w:after="200" w:line="276"/>
      </w:pPr>
      <w:r>
        <w:rPr>
          <w:rFonts w:ascii="Arial" w:cs="Arial" w:eastAsia="Arial" w:hAnsi="Arial"/>
          <w:b/>
          <w:bCs/>
          <w:sz w:val="22"/>
          <w:szCs w:val="22"/>
        </w:rPr>
        <w:t xml:space="preserve">22. </w:t>
      </w:r>
      <w:r>
        <w:rPr>
          <w:rFonts w:ascii="Arial" w:cs="Arial" w:eastAsia="Arial" w:hAnsi="Arial"/>
          <w:sz w:val="22"/>
          <w:szCs w:val="22"/>
        </w:rPr>
        <w:t xml:space="preserve">This notice is sent by registered post to Mr. P.A. Faucitt’s physical address and by electronic mail to Elliott Attorneys Inc. Given the concerns raised in Section B regarding the integrity of Mr. Faucitt’s communication channels, this Entity specifically requests that Elliott Attorneys confirm in writing that this notice and its annexures have been placed before Mr. Faucitt </w:t>
      </w:r>
      <w:r>
        <w:rPr>
          <w:rFonts w:ascii="Arial" w:cs="Arial" w:eastAsia="Arial" w:hAnsi="Arial"/>
          <w:b/>
          <w:bCs/>
          <w:sz w:val="22"/>
          <w:szCs w:val="22"/>
        </w:rPr>
        <w:t xml:space="preserve">personally</w:t>
      </w:r>
      <w:r>
        <w:rPr>
          <w:rFonts w:ascii="Arial" w:cs="Arial" w:eastAsia="Arial" w:hAnsi="Arial"/>
          <w:sz w:val="22"/>
          <w:szCs w:val="22"/>
        </w:rPr>
        <w:t xml:space="preserve"> — not merely communicated to him through Ms. Farrar or any other intermediary.</w:t>
      </w:r>
    </w:p>
    <w:p>
      <w:pPr>
        <w:spacing w:after="200" w:line="276"/>
      </w:pPr>
      <w:r>
        <w:rPr>
          <w:rFonts w:ascii="Arial" w:cs="Arial" w:eastAsia="Arial" w:hAnsi="Arial"/>
          <w:b/>
          <w:bCs/>
          <w:sz w:val="22"/>
          <w:szCs w:val="22"/>
        </w:rPr>
        <w:t xml:space="preserve">23. </w:t>
      </w:r>
      <w:r>
        <w:rPr>
          <w:rFonts w:ascii="Arial" w:cs="Arial" w:eastAsia="Arial" w:hAnsi="Arial"/>
          <w:sz w:val="22"/>
          <w:szCs w:val="22"/>
        </w:rPr>
        <w:t xml:space="preserve">This Entity’s Board has resolved that a period of fourteen (14) days from the date of confirmed receipt by Mr. Faucitt will be afforded for a response before further steps are taken.</w:t>
      </w:r>
    </w:p>
    <w:p>
      <w:pPr>
        <w:spacing w:after="100"/>
      </w:pPr>
    </w:p>
    <w:p>
      <w:pPr>
        <w:spacing w:after="200" w:line="276"/>
      </w:pPr>
      <w:r>
        <w:rPr>
          <w:rFonts w:ascii="Arial" w:cs="Arial" w:eastAsia="Arial" w:hAnsi="Arial"/>
          <w:sz w:val="22"/>
          <w:szCs w:val="22"/>
        </w:rPr>
        <w:t xml:space="preserve">Issued on this day, 13 February 2026</w:t>
      </w:r>
    </w:p>
    <w:p>
      <w:pPr>
        <w:spacing w:after="100"/>
      </w:pPr>
    </w:p>
    <w:p>
      <w:pPr>
        <w:spacing w:after="200" w:line="276"/>
      </w:pPr>
      <w:r>
        <w:rPr>
          <w:rFonts w:ascii="Arial" w:cs="Arial" w:eastAsia="Arial" w:hAnsi="Arial"/>
          <w:b/>
          <w:bCs/>
          <w:sz w:val="22"/>
          <w:szCs w:val="22"/>
        </w:rPr>
        <w:t xml:space="preserve">For and on behalf of</w:t>
      </w:r>
    </w:p>
    <w:p>
      <w:pPr>
        <w:spacing w:after="200" w:line="276"/>
      </w:pPr>
      <w:r>
        <w:rPr>
          <w:rFonts w:ascii="Arial" w:cs="Arial" w:eastAsia="Arial" w:hAnsi="Arial"/>
          <w:b/>
          <w:bCs/>
          <w:sz w:val="22"/>
          <w:szCs w:val="22"/>
        </w:rPr>
        <w:t xml:space="preserve">REGIMA WORLDWIDE DISTRIBUTION (PTY) LTD</w:t>
      </w:r>
    </w:p>
    <w:p>
      <w:pPr>
        <w:spacing w:after="200" w:line="276"/>
      </w:pPr>
      <w:r>
        <w:rPr>
          <w:rFonts w:ascii="Arial" w:cs="Arial" w:eastAsia="Arial" w:hAnsi="Arial"/>
          <w:sz w:val="22"/>
          <w:szCs w:val="22"/>
        </w:rPr>
        <w:t xml:space="preserve">Registration Number: 2011/005722/07</w:t>
      </w:r>
    </w:p>
    <w:p>
      <w:pPr>
        <w:spacing w:after="200" w:line="276"/>
      </w:pPr>
      <w:r>
        <w:rPr>
          <w:rFonts w:ascii="Arial" w:cs="Arial" w:eastAsia="Arial" w:hAnsi="Arial"/>
          <w:sz w:val="22"/>
          <w:szCs w:val="22"/>
        </w:rPr>
        <w:t xml:space="preserve">Per: Resolution of the Board of Directors</w:t>
      </w:r>
    </w:p>
    <w:p>
      <w:pPr>
        <w:spacing w:after="100"/>
      </w:pP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
              <w:left w:val="none"/>
              <w:bottom w:val="none"/>
              <w:right w:val="none"/>
            </w:tcBorders>
            <w:tcMar>
              <w:top w:type="dxa" w:w="80"/>
              <w:left w:type="dxa" w:w="0"/>
              <w:bottom w:type="dxa" w:w="0"/>
              <w:right w:type="dxa" w:w="200"/>
            </w:tcMar>
          </w:tcPr>
          <w:p>
            <w:pPr>
              <w:spacing w:after="0"/>
            </w:pPr>
            <w:r>
              <w:rPr>
                <w:rFonts w:ascii="Arial" w:cs="Arial" w:eastAsia="Arial" w:hAnsi="Arial"/>
                <w:b/>
                <w:bCs/>
                <w:sz w:val="22"/>
                <w:szCs w:val="22"/>
              </w:rPr>
              <w:t xml:space="preserve">JACQUELINE FAUCITT</w:t>
            </w:r>
          </w:p>
          <w:p>
            <w:pPr>
              <w:spacing w:after="0"/>
            </w:pPr>
            <w:r>
              <w:rPr>
                <w:rFonts w:ascii="Arial" w:cs="Arial" w:eastAsia="Arial" w:hAnsi="Arial"/>
                <w:sz w:val="22"/>
                <w:szCs w:val="22"/>
              </w:rPr>
              <w:t xml:space="preserve">Director</w:t>
            </w:r>
          </w:p>
        </w:tc>
        <w:tc>
          <w:tcPr>
            <w:tcW w:type="dxa" w:w="4513"/>
            <w:tcBorders>
              <w:top w:val="single" w:color="000000" w:sz="1"/>
              <w:left w:val="none"/>
              <w:bottom w:val="none"/>
              <w:right w:val="none"/>
            </w:tcBorders>
            <w:tcMar>
              <w:top w:type="dxa" w:w="80"/>
              <w:left w:type="dxa" w:w="200"/>
              <w:bottom w:type="dxa" w:w="0"/>
              <w:right w:type="dxa" w:w="0"/>
            </w:tcMar>
          </w:tcPr>
          <w:p>
            <w:pPr>
              <w:spacing w:after="0"/>
            </w:pPr>
            <w:r>
              <w:rPr>
                <w:rFonts w:ascii="Arial" w:cs="Arial" w:eastAsia="Arial" w:hAnsi="Arial"/>
                <w:b/>
                <w:bCs/>
                <w:sz w:val="22"/>
                <w:szCs w:val="22"/>
              </w:rPr>
              <w:t xml:space="preserve">DANIEL JAMES FAUCITT</w:t>
            </w:r>
          </w:p>
          <w:p>
            <w:pPr>
              <w:spacing w:after="0"/>
            </w:pPr>
            <w:r>
              <w:rPr>
                <w:rFonts w:ascii="Arial" w:cs="Arial" w:eastAsia="Arial" w:hAnsi="Arial"/>
                <w:sz w:val="22"/>
                <w:szCs w:val="22"/>
              </w:rPr>
              <w:t xml:space="preserve">Director</w:t>
            </w:r>
          </w:p>
        </w:tc>
      </w:tr>
    </w:tbl>
    <w:p>
      <w:pPr>
        <w:spacing w:after="100"/>
      </w:pPr>
    </w:p>
    <w:p>
      <w:r>
        <w:br w:type="page"/>
      </w:r>
    </w:p>
    <w:p>
      <w:pPr>
        <w:pStyle w:val="Heading1"/>
        <w:spacing w:before="360" w:after="240"/>
      </w:pPr>
      <w:r>
        <w:rPr>
          <w:rFonts w:ascii="Arial" w:cs="Arial" w:eastAsia="Arial" w:hAnsi="Arial"/>
          <w:b/>
          <w:bCs/>
          <w:sz w:val="28"/>
          <w:szCs w:val="28"/>
        </w:rPr>
        <w:t xml:space="preserve">ANNEXURE INDEX</w:t>
      </w:r>
    </w:p>
    <w:p>
      <w:pPr>
        <w:spacing w:after="200" w:line="276"/>
      </w:pPr>
      <w:r>
        <w:rPr>
          <w:rFonts w:ascii="Arial" w:cs="Arial" w:eastAsia="Arial" w:hAnsi="Arial"/>
          <w:sz w:val="22"/>
          <w:szCs w:val="22"/>
        </w:rPr>
        <w:t xml:space="preserve">The following documentary evidence is annexed to this notice and forms an integral part hereof: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Annexure</w:t>
            </w:r>
          </w:p>
        </w:tc>
        <w:tc>
          <w:tcPr>
            <w:tcW w:type="dxa" w:w="4426"/>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RWD-A</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FNB FICA/KYC Documentation confirming SOLE mandate</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Entity’s bank records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RWD-B</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FNB Legal Department letter (18 June 2025)</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FNB Legal Department</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RWD-C</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Mr. Faucitt’s letter to FNB (17 June 2025)</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Entity correspondence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RWD-D</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Entity bank statements (September 2025 extractions)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Entity’s bank records</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RWD-E</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Sage accounting screenshots — dual identity operation</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Entity’s accounting system</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RWD-F</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Addarory (Pty) Ltd — domain registration records</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ZACR / CIPC records</w:t>
            </w:r>
          </w:p>
        </w:tc>
      </w:tr>
      <w:tr>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b/>
                <w:bCs/>
                <w:sz w:val="18"/>
                <w:szCs w:val="18"/>
              </w:rPr>
              <w:t xml:space="preserve">RWD-G</w:t>
            </w:r>
          </w:p>
        </w:tc>
        <w:tc>
          <w:tcPr>
            <w:tcW w:type="dxa" w:w="44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sz w:val="18"/>
                <w:szCs w:val="18"/>
              </w:rPr>
              <w:t xml:space="preserve">Elliott Attorneys correspondence (20 Jan 2026)</w:t>
            </w:r>
          </w:p>
        </w:tc>
        <w:tc>
          <w:tcPr>
            <w:tcW w:type="dxa" w:w="2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pPr>
              <w:spacing w:after="0"/>
            </w:pPr>
            <w:r>
              <w:rPr>
                <w:rFonts w:ascii="Arial" w:cs="Arial" w:eastAsia="Arial" w:hAnsi="Arial"/>
                <w:i/>
                <w:iCs/>
                <w:sz w:val="16"/>
                <w:szCs w:val="16"/>
              </w:rPr>
              <w:t xml:space="preserve">KRE/RVR/KF0019</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b/>
                <w:bCs/>
                <w:sz w:val="18"/>
                <w:szCs w:val="18"/>
              </w:rPr>
              <w:t xml:space="preserve">RWD-R</w:t>
            </w:r>
          </w:p>
        </w:tc>
        <w:tc>
          <w:tcPr>
            <w:tcW w:type="dxa" w:w="4426"/>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sz w:val="18"/>
                <w:szCs w:val="18"/>
              </w:rPr>
              <w:t xml:space="preserve">Board Resolution authorising this notice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Arial" w:cs="Arial" w:eastAsia="Arial" w:hAnsi="Arial"/>
                <w:i/>
                <w:iCs/>
                <w:sz w:val="16"/>
                <w:szCs w:val="16"/>
              </w:rPr>
              <w:t xml:space="preserve">Entity governance records</w:t>
            </w:r>
          </w:p>
        </w:tc>
      </w:tr>
    </w:tbl>
    <w:p>
      <w:pPr>
        <w:spacing w:after="100"/>
      </w:pPr>
    </w:p>
    <w:p>
      <w:pPr>
        <w:spacing w:after="200" w:line="276"/>
        <w:jc w:val="center"/>
      </w:pPr>
      <w:r>
        <w:rPr>
          <w:rFonts w:ascii="Arial" w:cs="Arial" w:eastAsia="Arial" w:hAnsi="Arial"/>
          <w:b/>
          <w:bCs/>
          <w:sz w:val="22"/>
          <w:szCs w:val="22"/>
        </w:rPr>
        <w:t xml:space="preserve">— END OF NOTICE —</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100"/>
      <w:jc w:val="center"/>
    </w:pPr>
    <w:r>
      <w:rPr>
        <w:rFonts w:ascii="Arial" w:cs="Arial" w:eastAsia="Arial" w:hAnsi="Arial"/>
        <w:color w:val="999999"/>
        <w:sz w:val="16"/>
        <w:szCs w:val="16"/>
      </w:rPr>
      <w:t xml:space="preserve">RWD/NOTICE/001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FOR ADDRESSEES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333333"/>
        <w:sz w:val="18"/>
        <w:szCs w:val="18"/>
      </w:rPr>
      <w:t xml:space="preserve">REGIMA WORLDWIDE DISTRIBUTION (PTY) LTD</w:t>
    </w:r>
  </w:p>
  <w:p>
    <w:pPr>
      <w:spacing w:after="60"/>
      <w:jc w:val="center"/>
    </w:pPr>
    <w:r>
      <w:rPr>
        <w:rFonts w:ascii="Arial" w:cs="Arial" w:eastAsia="Arial" w:hAnsi="Arial"/>
        <w:color w:val="666666"/>
        <w:sz w:val="16"/>
        <w:szCs w:val="16"/>
      </w:rPr>
      <w:t xml:space="preserve">Registration Number: 2011/005722/07</w:t>
    </w:r>
  </w:p>
  <w:p>
    <w:pPr>
      <w:pBdr>
        <w:bottom w:val="single" w:color="333333" w:sz="6" w:space="1"/>
      </w:pBdr>
      <w:spacing w:after="200"/>
      <w:jc w:val="center"/>
    </w:pPr>
    <w:r>
      <w:rPr>
        <w:rFonts w:ascii="Arial" w:cs="Arial" w:eastAsia="Arial" w:hAnsi="Arial"/>
        <w:i/>
        <w:iCs/>
        <w:color w:val="666666"/>
        <w:sz w:val="16"/>
        <w:szCs w:val="16"/>
      </w:rPr>
      <w:t xml:space="preserve">FORMAL NOTICE — Ref: RWD/NOTICE/001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28"/>
      <w:szCs w:val="28"/>
    </w:rPr>
  </w:style>
  <w:style w:type="paragraph" w:styleId="Heading2">
    <w:name w:val="Heading 2"/>
    <w:basedOn w:val="Normal"/>
    <w:next w:val="Normal"/>
    <w:qFormat/>
    <w:pPr>
      <w:spacing w:before="240" w:after="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2026-02-14T16:19:47.470Z</dcterms:created>
  <dcterms:modified xsi:type="dcterms:W3CDTF">2026-02-14T16:19:47.471Z</dcterms:modified>
</cp:coreProperties>
</file>

<file path=docProps/custom.xml><?xml version="1.0" encoding="utf-8"?>
<Properties xmlns="http://schemas.openxmlformats.org/officeDocument/2006/custom-properties" xmlns:vt="http://schemas.openxmlformats.org/officeDocument/2006/docPropsVTypes"/>
</file>