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right"/>
      </w:pPr>
      <w:r>
        <w:rPr>
          <w:rFonts w:ascii="Arial" w:cs="Arial" w:eastAsia="Arial" w:hAnsi="Arial"/>
          <w:b/>
          <w:bCs/>
          <w:sz w:val="22"/>
          <w:szCs w:val="22"/>
        </w:rPr>
        <w:t xml:space="preserve">14 February 2026</w:t>
      </w:r>
    </w:p>
    <w:p>
      <w:pPr>
        <w:spacing w:after="100"/>
      </w:pPr>
    </w:p>
    <w:p>
      <w:pPr>
        <w:spacing w:after="200" w:line="276"/>
      </w:pPr>
      <w:r>
        <w:rPr>
          <w:rFonts w:ascii="Arial" w:cs="Arial" w:eastAsia="Arial" w:hAnsi="Arial"/>
          <w:b/>
          <w:bCs/>
          <w:sz w:val="22"/>
          <w:szCs w:val="22"/>
        </w:rPr>
        <w:t xml:space="preserve">Ref: RWD/NOTICE/002</w:t>
      </w:r>
    </w:p>
    <w:p>
      <w:pPr>
        <w:spacing w:after="100"/>
      </w:pPr>
    </w:p>
    <w:p>
      <w:pPr>
        <w:spacing w:after="200" w:line="276"/>
        <w:jc w:val="center"/>
      </w:pPr>
      <w:r>
        <w:rPr>
          <w:rFonts w:ascii="Arial" w:cs="Arial" w:eastAsia="Arial" w:hAnsi="Arial"/>
          <w:b/>
          <w:bCs/>
          <w:sz w:val="22"/>
          <w:szCs w:val="22"/>
        </w:rPr>
        <w:t xml:space="preserve">FORMAL NOTICE</w:t>
      </w:r>
    </w:p>
    <w:p>
      <w:pPr>
        <w:spacing w:after="200" w:line="276"/>
        <w:jc w:val="center"/>
      </w:pPr>
      <w:r>
        <w:rPr>
          <w:rFonts w:ascii="Arial" w:cs="Arial" w:eastAsia="Arial" w:hAnsi="Arial"/>
          <w:b/>
          <w:bCs/>
          <w:sz w:val="22"/>
          <w:szCs w:val="22"/>
        </w:rPr>
        <w:t xml:space="preserve">RESPONSE TO ALLEGATIONS OF BUSINESS INTERFERENCE:</w:t>
      </w:r>
    </w:p>
    <w:p>
      <w:pPr>
        <w:spacing w:after="200" w:line="276"/>
        <w:jc w:val="center"/>
      </w:pPr>
      <w:r>
        <w:rPr>
          <w:rFonts w:ascii="Arial" w:cs="Arial" w:eastAsia="Arial" w:hAnsi="Arial"/>
          <w:b/>
          <w:bCs/>
          <w:sz w:val="22"/>
          <w:szCs w:val="22"/>
        </w:rPr>
        <w:t xml:space="preserve">THE COURIER GUY API INTEGRATION AND FULFILLMENT PIPELINE</w:t>
      </w:r>
    </w:p>
    <w:p>
      <w:pPr>
        <w:spacing w:after="200" w:line="276"/>
        <w:jc w:val="center"/>
      </w:pPr>
      <w:r>
        <w:rPr>
          <w:rFonts w:ascii="Arial" w:cs="Arial" w:eastAsia="Arial" w:hAnsi="Arial"/>
          <w:b/>
          <w:bCs/>
          <w:sz w:val="22"/>
          <w:szCs w:val="22"/>
        </w:rPr>
        <w:t xml:space="preserve">— FACTS AS ESTABLISHED BY THIS ENTITY'S OWN AUDIT TRAILS —</w:t>
      </w:r>
    </w:p>
    <w:p>
      <w:pPr>
        <w:spacing w:after="100"/>
      </w:pPr>
    </w:p>
    <w:p>
      <w:pPr>
        <w:spacing w:after="200" w:line="276"/>
      </w:pPr>
      <w:r>
        <w:rPr>
          <w:rFonts w:ascii="Arial" w:cs="Arial" w:eastAsia="Arial" w:hAnsi="Arial"/>
          <w:b/>
          <w:bCs/>
          <w:sz w:val="22"/>
          <w:szCs w:val="22"/>
        </w:rPr>
        <w:t xml:space="preserve">ADDRESSED TO:</w:t>
      </w:r>
    </w:p>
    <w:p>
      <w:pPr>
        <w:spacing w:after="200" w:line="276"/>
      </w:pPr>
      <w:r>
        <w:rPr>
          <w:rFonts w:ascii="Arial" w:cs="Arial" w:eastAsia="Arial" w:hAnsi="Arial"/>
          <w:b/>
          <w:bCs/>
          <w:sz w:val="22"/>
          <w:szCs w:val="22"/>
        </w:rPr>
        <w:t xml:space="preserve">TO: </w:t>
      </w:r>
      <w:r>
        <w:rPr>
          <w:rFonts w:ascii="Arial" w:cs="Arial" w:eastAsia="Arial" w:hAnsi="Arial"/>
          <w:sz w:val="22"/>
          <w:szCs w:val="22"/>
        </w:rPr>
        <w:t xml:space="preserve">Elliott Attorneys Inc</w:t>
      </w:r>
    </w:p>
    <w:p>
      <w:pPr>
        <w:spacing w:after="200" w:line="276"/>
        <w:ind w:left="720"/>
      </w:pPr>
      <w:r>
        <w:rPr>
          <w:rFonts w:ascii="Arial" w:cs="Arial" w:eastAsia="Arial" w:hAnsi="Arial"/>
          <w:i/>
          <w:iCs/>
          <w:sz w:val="22"/>
          <w:szCs w:val="22"/>
        </w:rPr>
        <w:t xml:space="preserve">Ref: KRE/RVR/KF0019 — Attorneys on record for the Applicant</w:t>
      </w:r>
    </w:p>
    <w:p>
      <w:pPr>
        <w:spacing w:after="200" w:line="276"/>
      </w:pPr>
      <w:r>
        <w:rPr>
          <w:rFonts w:ascii="Arial" w:cs="Arial" w:eastAsia="Arial" w:hAnsi="Arial"/>
          <w:b/>
          <w:bCs/>
          <w:sz w:val="22"/>
          <w:szCs w:val="22"/>
        </w:rPr>
        <w:t xml:space="preserve">AND TO: </w:t>
      </w:r>
      <w:r>
        <w:rPr>
          <w:rFonts w:ascii="Arial" w:cs="Arial" w:eastAsia="Arial" w:hAnsi="Arial"/>
          <w:sz w:val="22"/>
          <w:szCs w:val="22"/>
        </w:rPr>
        <w:t xml:space="preserve">Mr. Peter Andrew Faucitt</w:t>
      </w:r>
    </w:p>
    <w:p>
      <w:pPr>
        <w:spacing w:after="200" w:line="276"/>
        <w:ind w:left="720"/>
      </w:pPr>
      <w:r>
        <w:rPr>
          <w:rFonts w:ascii="Arial" w:cs="Arial" w:eastAsia="Arial" w:hAnsi="Arial"/>
          <w:i/>
          <w:iCs/>
          <w:sz w:val="22"/>
          <w:szCs w:val="22"/>
        </w:rPr>
        <w:t xml:space="preserve">Director of this Entity / Applicant in Case No: 2025-137857</w:t>
      </w:r>
    </w:p>
    <w:p>
      <w:pPr>
        <w:spacing w:after="100"/>
      </w:pPr>
    </w:p>
    <w:p>
      <w:pPr>
        <w:spacing w:after="200" w:line="276"/>
      </w:pPr>
      <w:r>
        <w:rPr>
          <w:rFonts w:ascii="Arial" w:cs="Arial" w:eastAsia="Arial" w:hAnsi="Arial"/>
          <w:b/>
          <w:bCs/>
          <w:sz w:val="22"/>
          <w:szCs w:val="22"/>
        </w:rPr>
        <w:t xml:space="preserve">COPIED TO:</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Pottas Attorneys</w:t>
      </w:r>
    </w:p>
    <w:p>
      <w:pPr>
        <w:spacing w:after="200" w:line="276"/>
        <w:ind w:left="720"/>
      </w:pPr>
      <w:r>
        <w:rPr>
          <w:rFonts w:ascii="Arial" w:cs="Arial" w:eastAsia="Arial" w:hAnsi="Arial"/>
          <w:i/>
          <w:iCs/>
          <w:sz w:val="22"/>
          <w:szCs w:val="22"/>
        </w:rPr>
        <w:t xml:space="preserve">Ref: MR R POTTAS/FAUCITT — Attorneys for First and Second Respondents</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Mrs. Jacqueline Faucitt</w:t>
      </w:r>
    </w:p>
    <w:p>
      <w:pPr>
        <w:spacing w:after="200" w:line="276"/>
        <w:ind w:left="720"/>
      </w:pPr>
      <w:r>
        <w:rPr>
          <w:rFonts w:ascii="Arial" w:cs="Arial" w:eastAsia="Arial" w:hAnsi="Arial"/>
          <w:i/>
          <w:iCs/>
          <w:sz w:val="22"/>
          <w:szCs w:val="22"/>
        </w:rPr>
        <w:t xml:space="preserve">Director of this Entity / First Respondent</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Mr. Daniel James Faucitt</w:t>
      </w:r>
    </w:p>
    <w:p>
      <w:pPr>
        <w:spacing w:after="200" w:line="276"/>
        <w:ind w:left="720"/>
      </w:pPr>
      <w:r>
        <w:rPr>
          <w:rFonts w:ascii="Arial" w:cs="Arial" w:eastAsia="Arial" w:hAnsi="Arial"/>
          <w:i/>
          <w:iCs/>
          <w:sz w:val="22"/>
          <w:szCs w:val="22"/>
        </w:rPr>
        <w:t xml:space="preserve">Director of this Entity / Second Respondent</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The Courier Guy (Pty) Ltd</w:t>
      </w:r>
    </w:p>
    <w:p>
      <w:pPr>
        <w:spacing w:after="200" w:line="276"/>
        <w:ind w:left="720"/>
      </w:pPr>
      <w:r>
        <w:rPr>
          <w:rFonts w:ascii="Arial" w:cs="Arial" w:eastAsia="Arial" w:hAnsi="Arial"/>
          <w:i/>
          <w:iCs/>
          <w:sz w:val="22"/>
          <w:szCs w:val="22"/>
        </w:rPr>
        <w:t xml:space="preserve">Courier service provider — via IT Department</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Forvis Mazars</w:t>
      </w:r>
    </w:p>
    <w:p>
      <w:pPr>
        <w:spacing w:after="200" w:line="276"/>
        <w:ind w:left="720"/>
      </w:pPr>
      <w:r>
        <w:rPr>
          <w:rFonts w:ascii="Arial" w:cs="Arial" w:eastAsia="Arial" w:hAnsi="Arial"/>
          <w:i/>
          <w:iCs/>
          <w:sz w:val="22"/>
          <w:szCs w:val="22"/>
        </w:rPr>
        <w:t xml:space="preserve">Forensic investigators appointed under the void Settlement Agreement §2.1.1 (void by reason of evidence provided by the Seventh Respondent, FirstRand Bank Ltd)</w:t>
      </w:r>
    </w:p>
    <w:p>
      <w:pPr>
        <w:spacing w:after="100"/>
      </w:pPr>
    </w:p>
    <w:p>
      <w:pPr>
        <w:pStyle w:val="Heading1"/>
        <w:spacing w:before="360" w:after="240"/>
      </w:pPr>
      <w:r>
        <w:rPr>
          <w:rFonts w:ascii="Arial" w:cs="Arial" w:eastAsia="Arial" w:hAnsi="Arial"/>
          <w:b/>
          <w:bCs/>
          <w:sz w:val="28"/>
          <w:szCs w:val="28"/>
        </w:rPr>
        <w:t xml:space="preserve">A. INTRODUCTION, STANDING, AND EVIDENTIARY BASIS</w:t>
      </w:r>
    </w:p>
    <w:p>
      <w:pPr>
        <w:spacing w:after="200" w:line="276"/>
      </w:pPr>
      <w:r>
        <w:rPr>
          <w:rFonts w:ascii="Arial" w:cs="Arial" w:eastAsia="Arial" w:hAnsi="Arial"/>
          <w:b/>
          <w:bCs/>
          <w:sz w:val="22"/>
          <w:szCs w:val="22"/>
        </w:rPr>
        <w:t xml:space="preserve">1. </w:t>
      </w:r>
      <w:r>
        <w:rPr>
          <w:rFonts w:ascii="Arial" w:cs="Arial" w:eastAsia="Arial" w:hAnsi="Arial"/>
          <w:sz w:val="22"/>
          <w:szCs w:val="22"/>
        </w:rPr>
        <w:t xml:space="preserve">This notice is issued by </w:t>
      </w:r>
      <w:r>
        <w:rPr>
          <w:rFonts w:ascii="Arial" w:cs="Arial" w:eastAsia="Arial" w:hAnsi="Arial"/>
          <w:b/>
          <w:bCs/>
          <w:sz w:val="22"/>
          <w:szCs w:val="22"/>
        </w:rPr>
        <w:t xml:space="preserve">Regima Worldwide Distribution (Pty) Ltd</w:t>
      </w:r>
      <w:r>
        <w:rPr>
          <w:rFonts w:ascii="Arial" w:cs="Arial" w:eastAsia="Arial" w:hAnsi="Arial"/>
          <w:sz w:val="22"/>
          <w:szCs w:val="22"/>
        </w:rPr>
        <w:t xml:space="preserve"> (Registration Number 2011/005722/07) ("</w:t>
      </w:r>
      <w:r>
        <w:rPr>
          <w:rFonts w:ascii="Arial" w:cs="Arial" w:eastAsia="Arial" w:hAnsi="Arial"/>
          <w:b/>
          <w:bCs/>
          <w:sz w:val="22"/>
          <w:szCs w:val="22"/>
        </w:rPr>
        <w:t xml:space="preserve">RWD</w:t>
      </w:r>
      <w:r>
        <w:rPr>
          <w:rFonts w:ascii="Arial" w:cs="Arial" w:eastAsia="Arial" w:hAnsi="Arial"/>
          <w:sz w:val="22"/>
          <w:szCs w:val="22"/>
        </w:rPr>
        <w:t xml:space="preserve">" or "</w:t>
      </w:r>
      <w:r>
        <w:rPr>
          <w:rFonts w:ascii="Arial" w:cs="Arial" w:eastAsia="Arial" w:hAnsi="Arial"/>
          <w:b/>
          <w:bCs/>
          <w:sz w:val="22"/>
          <w:szCs w:val="22"/>
        </w:rPr>
        <w:t xml:space="preserve">this Entity</w:t>
      </w:r>
      <w:r>
        <w:rPr>
          <w:rFonts w:ascii="Arial" w:cs="Arial" w:eastAsia="Arial" w:hAnsi="Arial"/>
          <w:sz w:val="22"/>
          <w:szCs w:val="22"/>
        </w:rPr>
        <w:t xml:space="preserve">"), a private company duly incorporated in terms of the Companies Act 71 of 2008, cited as the Third Respondent in Case No: 2025-137857.</w:t>
      </w:r>
    </w:p>
    <w:p>
      <w:pPr>
        <w:spacing w:after="200" w:line="276"/>
      </w:pPr>
      <w:r>
        <w:rPr>
          <w:rFonts w:ascii="Arial" w:cs="Arial" w:eastAsia="Arial" w:hAnsi="Arial"/>
          <w:b/>
          <w:bCs/>
          <w:sz w:val="22"/>
          <w:szCs w:val="22"/>
        </w:rPr>
        <w:t xml:space="preserve">2. </w:t>
      </w:r>
      <w:r>
        <w:rPr>
          <w:rFonts w:ascii="Arial" w:cs="Arial" w:eastAsia="Arial" w:hAnsi="Arial"/>
          <w:sz w:val="22"/>
          <w:szCs w:val="22"/>
        </w:rPr>
        <w:t xml:space="preserve">RWD acts through the majority of its Board of Directors, being Mrs. Jacqueline Faucitt and Mr. Daniel James Faucitt, who together constitute a quorum and have resolved that this notice be issued. This notice is a continuation of </w:t>
      </w:r>
      <w:r>
        <w:rPr>
          <w:rFonts w:ascii="Arial" w:cs="Arial" w:eastAsia="Arial" w:hAnsi="Arial"/>
          <w:b/>
          <w:bCs/>
          <w:sz w:val="22"/>
          <w:szCs w:val="22"/>
        </w:rPr>
        <w:t xml:space="preserve">RWD/NOTICE/001</w:t>
      </w:r>
      <w:r>
        <w:rPr>
          <w:rFonts w:ascii="Arial" w:cs="Arial" w:eastAsia="Arial" w:hAnsi="Arial"/>
          <w:sz w:val="22"/>
          <w:szCs w:val="22"/>
        </w:rPr>
        <w:t xml:space="preserve"> dated 13 February 2026, and should be read together therewith.</w:t>
      </w:r>
    </w:p>
    <w:p>
      <w:pPr>
        <w:spacing w:after="200" w:line="276"/>
      </w:pPr>
      <w:r>
        <w:rPr>
          <w:rFonts w:ascii="Arial" w:cs="Arial" w:eastAsia="Arial" w:hAnsi="Arial"/>
          <w:b/>
          <w:bCs/>
          <w:sz w:val="22"/>
          <w:szCs w:val="22"/>
        </w:rPr>
        <w:t xml:space="preserve">3. </w:t>
      </w:r>
      <w:r>
        <w:rPr>
          <w:rFonts w:ascii="Arial" w:cs="Arial" w:eastAsia="Arial" w:hAnsi="Arial"/>
          <w:sz w:val="22"/>
          <w:szCs w:val="22"/>
        </w:rPr>
        <w:t xml:space="preserve">The facts set out in this notice are derived from </w:t>
      </w:r>
      <w:r>
        <w:rPr>
          <w:rFonts w:ascii="Arial" w:cs="Arial" w:eastAsia="Arial" w:hAnsi="Arial"/>
          <w:b/>
          <w:bCs/>
          <w:sz w:val="22"/>
          <w:szCs w:val="22"/>
        </w:rPr>
        <w:t xml:space="preserve">this Entity's own audit trails</w:t>
      </w:r>
      <w:r>
        <w:rPr>
          <w:rFonts w:ascii="Arial" w:cs="Arial" w:eastAsia="Arial" w:hAnsi="Arial"/>
          <w:sz w:val="22"/>
          <w:szCs w:val="22"/>
        </w:rPr>
        <w:t xml:space="preserve">, including but not limited to: Shopify platform records, The Courier Guy API integration logs, Sage Pastel accounting system records, and correspondence between the parties' respective attorneys. These audit trails were </w:t>
      </w:r>
      <w:r>
        <w:rPr>
          <w:rFonts w:ascii="Arial" w:cs="Arial" w:eastAsia="Arial" w:hAnsi="Arial"/>
          <w:b/>
          <w:bCs/>
          <w:sz w:val="22"/>
          <w:szCs w:val="22"/>
        </w:rPr>
        <w:t xml:space="preserve">preserved by the Respondents as ordered by the Court</w:t>
      </w:r>
      <w:r>
        <w:rPr>
          <w:rFonts w:ascii="Arial" w:cs="Arial" w:eastAsia="Arial" w:hAnsi="Arial"/>
          <w:sz w:val="22"/>
          <w:szCs w:val="22"/>
        </w:rPr>
        <w:t xml:space="preserve">. The facts stated herein are accordingly established by documentary evidence in the custody or control of this Entity and require </w:t>
      </w:r>
      <w:r>
        <w:rPr>
          <w:rFonts w:ascii="Arial" w:cs="Arial" w:eastAsia="Arial" w:hAnsi="Arial"/>
          <w:b/>
          <w:bCs/>
          <w:sz w:val="22"/>
          <w:szCs w:val="22"/>
        </w:rPr>
        <w:t xml:space="preserve">no witness testimony</w:t>
      </w:r>
      <w:r>
        <w:rPr>
          <w:rFonts w:ascii="Arial" w:cs="Arial" w:eastAsia="Arial" w:hAnsi="Arial"/>
          <w:sz w:val="22"/>
          <w:szCs w:val="22"/>
        </w:rPr>
        <w:t xml:space="preserve"> to prove. Any party disputing the facts stated herein is invited to inspect the underlying records, which this Entity will make available upon reasonable notice.</w:t>
      </w:r>
    </w:p>
    <w:p>
      <w:pPr>
        <w:pStyle w:val="Heading1"/>
        <w:spacing w:before="360" w:after="240"/>
      </w:pPr>
      <w:r>
        <w:rPr>
          <w:rFonts w:ascii="Arial" w:cs="Arial" w:eastAsia="Arial" w:hAnsi="Arial"/>
          <w:b/>
          <w:bCs/>
          <w:sz w:val="28"/>
          <w:szCs w:val="28"/>
        </w:rPr>
        <w:t xml:space="preserve">B. THE INTEGRATED FULFILLMENT PIPELINE — AS BUILT AND AS DESTROYED</w:t>
      </w:r>
    </w:p>
    <w:p>
      <w:pPr>
        <w:spacing w:after="200" w:line="276"/>
      </w:pPr>
      <w:r>
        <w:rPr>
          <w:rFonts w:ascii="Arial" w:cs="Arial" w:eastAsia="Arial" w:hAnsi="Arial"/>
          <w:b/>
          <w:bCs/>
          <w:sz w:val="22"/>
          <w:szCs w:val="22"/>
        </w:rPr>
        <w:t xml:space="preserve">4. </w:t>
      </w:r>
      <w:r>
        <w:rPr>
          <w:rFonts w:ascii="Arial" w:cs="Arial" w:eastAsia="Arial" w:hAnsi="Arial"/>
          <w:sz w:val="22"/>
          <w:szCs w:val="22"/>
        </w:rPr>
        <w:t xml:space="preserve">This Entity's e-commerce fulfillment pipeline, as designed, built, and operated by the late Ms. Kayla Pretorius and Mr. Daniel James Faucitt (Second Respondent), functioned as an integrated automated system comprising the following components:</w:t>
      </w:r>
    </w:p>
    <w:p>
      <w:pPr>
        <w:spacing w:after="200" w:line="276"/>
        <w:ind w:left="720"/>
      </w:pPr>
      <w:r>
        <w:rPr>
          <w:rFonts w:ascii="Arial" w:cs="Arial" w:eastAsia="Arial" w:hAnsi="Arial"/>
          <w:b/>
          <w:bCs/>
          <w:sz w:val="22"/>
          <w:szCs w:val="22"/>
        </w:rPr>
        <w:t xml:space="preserve">4.1 </w:t>
      </w:r>
      <w:r>
        <w:rPr>
          <w:rFonts w:ascii="Arial" w:cs="Arial" w:eastAsia="Arial" w:hAnsi="Arial"/>
          <w:sz w:val="22"/>
          <w:szCs w:val="22"/>
        </w:rPr>
        <w:t xml:space="preserve">A Shopify Plus e-commerce platform, through which distributor and customer orders were received, processed, and tracked;</w:t>
      </w:r>
    </w:p>
    <w:p>
      <w:pPr>
        <w:spacing w:after="200" w:line="276"/>
        <w:ind w:left="720"/>
      </w:pPr>
      <w:r>
        <w:rPr>
          <w:rFonts w:ascii="Arial" w:cs="Arial" w:eastAsia="Arial" w:hAnsi="Arial"/>
          <w:b/>
          <w:bCs/>
          <w:sz w:val="22"/>
          <w:szCs w:val="22"/>
        </w:rPr>
        <w:t xml:space="preserve">4.2 </w:t>
      </w:r>
      <w:r>
        <w:rPr>
          <w:rFonts w:ascii="Arial" w:cs="Arial" w:eastAsia="Arial" w:hAnsi="Arial"/>
          <w:sz w:val="22"/>
          <w:szCs w:val="22"/>
        </w:rPr>
        <w:t xml:space="preserve">An API integration between Shopify and The Courier Guy, enabling automated waybill generation, shipment creation, tracking, and fulfillment upon order placement;</w:t>
      </w:r>
    </w:p>
    <w:p>
      <w:pPr>
        <w:spacing w:after="200" w:line="276"/>
        <w:ind w:left="720"/>
      </w:pPr>
      <w:r>
        <w:rPr>
          <w:rFonts w:ascii="Arial" w:cs="Arial" w:eastAsia="Arial" w:hAnsi="Arial"/>
          <w:b/>
          <w:bCs/>
          <w:sz w:val="22"/>
          <w:szCs w:val="22"/>
        </w:rPr>
        <w:t xml:space="preserve">4.3 </w:t>
      </w:r>
      <w:r>
        <w:rPr>
          <w:rFonts w:ascii="Arial" w:cs="Arial" w:eastAsia="Arial" w:hAnsi="Arial"/>
          <w:sz w:val="22"/>
          <w:szCs w:val="22"/>
        </w:rPr>
        <w:t xml:space="preserve">API integrations between the Shopify platform and this Entity's accounting systems (Sage Pastel), linked via email addresses under the </w:t>
      </w:r>
      <w:r>
        <w:rPr>
          <w:rFonts w:ascii="Arial" w:cs="Arial" w:eastAsia="Arial" w:hAnsi="Arial"/>
          <w:b/>
          <w:bCs/>
          <w:sz w:val="22"/>
          <w:szCs w:val="22"/>
        </w:rPr>
        <w:t xml:space="preserve">rzo.io</w:t>
      </w:r>
      <w:r>
        <w:rPr>
          <w:rFonts w:ascii="Arial" w:cs="Arial" w:eastAsia="Arial" w:hAnsi="Arial"/>
          <w:sz w:val="22"/>
          <w:szCs w:val="22"/>
        </w:rPr>
        <w:t xml:space="preserve"> domain, enabling automated invoice synchronisation;</w:t>
      </w:r>
    </w:p>
    <w:p>
      <w:pPr>
        <w:spacing w:after="200" w:line="276"/>
        <w:ind w:left="720"/>
      </w:pPr>
      <w:r>
        <w:rPr>
          <w:rFonts w:ascii="Arial" w:cs="Arial" w:eastAsia="Arial" w:hAnsi="Arial"/>
          <w:b/>
          <w:bCs/>
          <w:sz w:val="22"/>
          <w:szCs w:val="22"/>
        </w:rPr>
        <w:t xml:space="preserve">4.4 </w:t>
      </w:r>
      <w:r>
        <w:rPr>
          <w:rFonts w:ascii="Arial" w:cs="Arial" w:eastAsia="Arial" w:hAnsi="Arial"/>
          <w:sz w:val="22"/>
          <w:szCs w:val="22"/>
        </w:rPr>
        <w:t xml:space="preserve">A unified customer communication system operating through the </w:t>
      </w:r>
      <w:r>
        <w:rPr>
          <w:rFonts w:ascii="Arial" w:cs="Arial" w:eastAsia="Arial" w:hAnsi="Arial"/>
          <w:b/>
          <w:bCs/>
          <w:sz w:val="22"/>
          <w:szCs w:val="22"/>
        </w:rPr>
        <w:t xml:space="preserve">regima.zone</w:t>
      </w:r>
      <w:r>
        <w:rPr>
          <w:rFonts w:ascii="Arial" w:cs="Arial" w:eastAsia="Arial" w:hAnsi="Arial"/>
          <w:sz w:val="22"/>
          <w:szCs w:val="22"/>
        </w:rPr>
        <w:t xml:space="preserve"> domain, owned by this Entity's group.</w:t>
      </w:r>
    </w:p>
    <w:p>
      <w:pPr>
        <w:spacing w:after="200" w:line="276"/>
      </w:pPr>
      <w:r>
        <w:rPr>
          <w:rFonts w:ascii="Arial" w:cs="Arial" w:eastAsia="Arial" w:hAnsi="Arial"/>
          <w:b/>
          <w:bCs/>
          <w:sz w:val="22"/>
          <w:szCs w:val="22"/>
        </w:rPr>
        <w:t xml:space="preserve">5. </w:t>
      </w:r>
      <w:r>
        <w:rPr>
          <w:rFonts w:ascii="Arial" w:cs="Arial" w:eastAsia="Arial" w:hAnsi="Arial"/>
          <w:sz w:val="22"/>
          <w:szCs w:val="22"/>
        </w:rPr>
        <w:t xml:space="preserve">This integrated pipeline was the operational backbone of this Entity's revenue generation. It was </w:t>
      </w:r>
      <w:r>
        <w:rPr>
          <w:rFonts w:ascii="Arial" w:cs="Arial" w:eastAsia="Arial" w:hAnsi="Arial"/>
          <w:b/>
          <w:bCs/>
          <w:sz w:val="22"/>
          <w:szCs w:val="22"/>
        </w:rPr>
        <w:t xml:space="preserve">not</w:t>
      </w:r>
      <w:r>
        <w:rPr>
          <w:rFonts w:ascii="Arial" w:cs="Arial" w:eastAsia="Arial" w:hAnsi="Arial"/>
          <w:sz w:val="22"/>
          <w:szCs w:val="22"/>
        </w:rPr>
        <w:t xml:space="preserve"> a discretionary cost — it was the mechanism by which orders became revenue. The Shopify platform was not merely an "order form" as characterised by Elliott Attorneys; it was the central hub connecting customers, logistics, and accounting into a single auditable workflow.</w:t>
      </w:r>
    </w:p>
    <w:p>
      <w:pPr>
        <w:pStyle w:val="Heading1"/>
        <w:spacing w:before="360" w:after="240"/>
      </w:pPr>
      <w:r>
        <w:rPr>
          <w:rFonts w:ascii="Arial" w:cs="Arial" w:eastAsia="Arial" w:hAnsi="Arial"/>
          <w:b/>
          <w:bCs/>
          <w:sz w:val="28"/>
          <w:szCs w:val="28"/>
        </w:rPr>
        <w:t xml:space="preserve">C. THE SYSTEMATIC DESTRUCTION OF THE PIPELINE</w:t>
      </w:r>
    </w:p>
    <w:p>
      <w:pPr>
        <w:spacing w:after="200" w:line="276"/>
      </w:pPr>
      <w:r>
        <w:rPr>
          <w:rFonts w:ascii="Arial" w:cs="Arial" w:eastAsia="Arial" w:hAnsi="Arial"/>
          <w:b/>
          <w:bCs/>
          <w:sz w:val="22"/>
          <w:szCs w:val="22"/>
        </w:rPr>
        <w:t xml:space="preserve">6. </w:t>
      </w:r>
      <w:r>
        <w:rPr>
          <w:rFonts w:ascii="Arial" w:cs="Arial" w:eastAsia="Arial" w:hAnsi="Arial"/>
          <w:sz w:val="22"/>
          <w:szCs w:val="22"/>
        </w:rPr>
        <w:t xml:space="preserve">This Entity's audit trails establish the following sequence of events, each of which contributed to the progressive destruction of the integrated fulfillment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Date</w:t>
            </w:r>
          </w:p>
        </w:tc>
        <w:tc>
          <w:tcPr>
            <w:tcW w:type="dxa" w:w="5426"/>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Event</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08 Jul 2024</w:t>
            </w:r>
          </w:p>
        </w:tc>
        <w:tc>
          <w:tcPr>
            <w:tcW w:type="dxa" w:w="5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Sage administrator switched from the late Ms. Kayla Pretorius to Mr. P.A. Faucitt — without board resolution or consultation with co-directors. Affidavit sworn by Mr. Faucitt fails to disclose existence of two co-directors to Sage. API integrations linked to the previous administrator's credentials begin to fail.</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Sage Transfer Form; Sworn Affidavit (Annexure RWD-002-A)</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22 May 2025</w:t>
            </w:r>
          </w:p>
        </w:tc>
        <w:tc>
          <w:tcPr>
            <w:tcW w:type="dxa" w:w="5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Shopify e-commerce audit trails deleted — entire transaction history destroyed.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Shopify Platform Logs</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29 May 2025</w:t>
            </w:r>
          </w:p>
        </w:tc>
        <w:tc>
          <w:tcPr>
            <w:tcW w:type="dxa" w:w="5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Domain regimaskin.co.za registered by Addarory (Pty) Ltd (Ms. Farrar's son's company) — 7 days after Shopify trail deletion.</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ZACR Records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20 Jun 2025</w:t>
            </w:r>
          </w:p>
        </w:tc>
        <w:tc>
          <w:tcPr>
            <w:tcW w:type="dxa" w:w="5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Entity staff instructed: "don't use regima.zone, only use regimaskin.co.za" — customer communications diverted to third-party domain.</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Staff Correspondence</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23 Jul 2025</w:t>
            </w:r>
          </w:p>
        </w:tc>
        <w:tc>
          <w:tcPr>
            <w:tcW w:type="dxa" w:w="5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Sage Pastel subscription expires — accounting system access denied. Reactivation controlled by Ms. Farrar.</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Sage Subscription Records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19 Aug 2025</w:t>
            </w:r>
          </w:p>
        </w:tc>
        <w:tc>
          <w:tcPr>
            <w:tcW w:type="dxa" w:w="5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Ex parte interdict granted. Applicant obtains transactional control over entity bank accounts (§2.6).</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Court Order</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Sep 2025</w:t>
            </w:r>
          </w:p>
        </w:tc>
        <w:tc>
          <w:tcPr>
            <w:tcW w:type="dxa" w:w="5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Approximately R10,624,131.18 extracted from entity accounts between 3 and 11 September 2025.</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Entity Bank Statements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02 Dec 2025</w:t>
            </w:r>
          </w:p>
        </w:tc>
        <w:tc>
          <w:tcPr>
            <w:tcW w:type="dxa" w:w="5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Elliott Attorneys confirms Applicant has "ensured that unnecessary expenses of the entity have been halted" — admits unilateral cessation of Shopify platform.</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Elliott Letter (Annexure RWD-002-B)</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12 Dec 2025</w:t>
            </w:r>
          </w:p>
        </w:tc>
        <w:tc>
          <w:tcPr>
            <w:tcW w:type="dxa" w:w="5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Elliott Attorneys confirms: "the Shopify portal is not made use of, and as a result, there are no orders to fulfil therefrom." Simultaneously claims "there is no loss in revenue."</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Elliott Letter (Annexure RWD-002-C)</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11 Feb 2026</w:t>
            </w:r>
          </w:p>
        </w:tc>
        <w:tc>
          <w:tcPr>
            <w:tcW w:type="dxa" w:w="5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Second Respondent, acting as director, creates new API key on The Courier Guy portal to restore broken Shopify-to-courier integration. Performs test shipment creation and cancellation to verify connectivity.</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The Courier Guy IT Logs</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13 Feb 2026</w:t>
            </w:r>
          </w:p>
        </w:tc>
        <w:tc>
          <w:tcPr>
            <w:tcW w:type="dxa" w:w="5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Elliott Attorneys demands Second Respondent desist from accessing The Courier Guy portal, threatens contempt, and demands all communications be routed attorney-to-attorney.</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Elliott Letter (Annexure RWD-002-D)</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Post 13 Feb 2026</w:t>
            </w:r>
          </w:p>
        </w:tc>
        <w:tc>
          <w:tcPr>
            <w:tcW w:type="dxa" w:w="5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Second Respondent's login credentials to The Courier Guy portal removed without notice or board authorisation.</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The Courier Guy Portal Access Records</w:t>
            </w:r>
          </w:p>
        </w:tc>
      </w:tr>
    </w:tbl>
    <w:p>
      <w:pPr>
        <w:spacing w:after="100"/>
      </w:pPr>
    </w:p>
    <w:p>
      <w:pPr>
        <w:spacing w:after="200" w:line="276"/>
      </w:pPr>
      <w:r>
        <w:rPr>
          <w:rFonts w:ascii="Arial" w:cs="Arial" w:eastAsia="Arial" w:hAnsi="Arial"/>
          <w:b/>
          <w:bCs/>
          <w:sz w:val="22"/>
          <w:szCs w:val="22"/>
        </w:rPr>
        <w:t xml:space="preserve">7. </w:t>
      </w:r>
      <w:r>
        <w:rPr>
          <w:rFonts w:ascii="Arial" w:cs="Arial" w:eastAsia="Arial" w:hAnsi="Arial"/>
          <w:sz w:val="22"/>
          <w:szCs w:val="22"/>
        </w:rPr>
        <w:t xml:space="preserve">The above sequence is not disputed by any party. The Applicant's own attorneys have confirmed the Shopify shutdown, the removal of the fulfillment pipeline, and the migration to a Sage-only invoicing model in their correspondence of 2 and 12 December 2025. These admissions are documentary evidence requiring no witness testimony.</w:t>
      </w:r>
    </w:p>
    <w:p>
      <w:pPr>
        <w:pStyle w:val="Heading1"/>
        <w:spacing w:before="360" w:after="240"/>
      </w:pPr>
      <w:r>
        <w:rPr>
          <w:rFonts w:ascii="Arial" w:cs="Arial" w:eastAsia="Arial" w:hAnsi="Arial"/>
          <w:b/>
          <w:bCs/>
          <w:sz w:val="28"/>
          <w:szCs w:val="28"/>
        </w:rPr>
        <w:t xml:space="preserve">D. THE SELF-CONTRADICTING DEMAND</w:t>
      </w:r>
    </w:p>
    <w:p>
      <w:pPr>
        <w:spacing w:after="200" w:line="276"/>
      </w:pPr>
      <w:r>
        <w:rPr>
          <w:rFonts w:ascii="Arial" w:cs="Arial" w:eastAsia="Arial" w:hAnsi="Arial"/>
          <w:b/>
          <w:bCs/>
          <w:sz w:val="22"/>
          <w:szCs w:val="22"/>
        </w:rPr>
        <w:t xml:space="preserve">8. </w:t>
      </w:r>
      <w:r>
        <w:rPr>
          <w:rFonts w:ascii="Arial" w:cs="Arial" w:eastAsia="Arial" w:hAnsi="Arial"/>
          <w:sz w:val="22"/>
          <w:szCs w:val="22"/>
        </w:rPr>
        <w:t xml:space="preserve">This Entity draws attention to an irreconcilable contradiction in the Applicant's position, established entirely by the Applicant's own correspondence:</w:t>
      </w:r>
    </w:p>
    <w:p>
      <w:pPr>
        <w:spacing w:after="200" w:line="276"/>
        <w:ind w:left="720"/>
      </w:pPr>
      <w:r>
        <w:rPr>
          <w:rFonts w:ascii="Arial" w:cs="Arial" w:eastAsia="Arial" w:hAnsi="Arial"/>
          <w:b/>
          <w:bCs/>
          <w:sz w:val="22"/>
          <w:szCs w:val="22"/>
        </w:rPr>
        <w:t xml:space="preserve">8.1 </w:t>
      </w:r>
      <w:r>
        <w:rPr>
          <w:rFonts w:ascii="Arial" w:cs="Arial" w:eastAsia="Arial" w:hAnsi="Arial"/>
          <w:sz w:val="22"/>
          <w:szCs w:val="22"/>
        </w:rPr>
        <w:t xml:space="preserve">The Applicant's attorneys have previously communicated to the Respondents' attorneys that the reason Shopify orders were not being fulfilled was because the Second Respondent was not placing orders on the platform. This communication attributed the fulfillment failure to the Second Respondent's inaction.</w:t>
      </w:r>
    </w:p>
    <w:p>
      <w:pPr>
        <w:spacing w:after="200" w:line="276"/>
        <w:ind w:left="720"/>
      </w:pPr>
      <w:r>
        <w:rPr>
          <w:rFonts w:ascii="Arial" w:cs="Arial" w:eastAsia="Arial" w:hAnsi="Arial"/>
          <w:b/>
          <w:bCs/>
          <w:sz w:val="22"/>
          <w:szCs w:val="22"/>
        </w:rPr>
        <w:t xml:space="preserve">8.2 </w:t>
      </w:r>
      <w:r>
        <w:rPr>
          <w:rFonts w:ascii="Arial" w:cs="Arial" w:eastAsia="Arial" w:hAnsi="Arial"/>
          <w:sz w:val="22"/>
          <w:szCs w:val="22"/>
        </w:rPr>
        <w:t xml:space="preserve">The Shopify platform was integrated with The Courier Guy via an API. When orders were placed on Shopify, the API automatically triggered shipment creation on The Courier Guy's system. This is the standard e-commerce fulfillment workflow built by this Entity.</w:t>
      </w:r>
    </w:p>
    <w:p>
      <w:pPr>
        <w:spacing w:after="200" w:line="276"/>
        <w:ind w:left="720"/>
      </w:pPr>
      <w:r>
        <w:rPr>
          <w:rFonts w:ascii="Arial" w:cs="Arial" w:eastAsia="Arial" w:hAnsi="Arial"/>
          <w:b/>
          <w:bCs/>
          <w:sz w:val="22"/>
          <w:szCs w:val="22"/>
        </w:rPr>
        <w:t xml:space="preserve">8.3 </w:t>
      </w:r>
      <w:r>
        <w:rPr>
          <w:rFonts w:ascii="Arial" w:cs="Arial" w:eastAsia="Arial" w:hAnsi="Arial"/>
          <w:sz w:val="22"/>
          <w:szCs w:val="22"/>
        </w:rPr>
        <w:t xml:space="preserve">The previous API key linking Shopify to The Courier Guy had ceased to function. This Entity's audit trails indicate that the API authentication chain was broken when the underlying system credentials were changed — specifically, when the Sage administrator was switched in July 2024 without board authorisation (disrupting the rzo.io email-based integrations established by the late Ms. Kayla Pretorius), and when the operational email domains were subsequently changed from regima.zone to regimaskin.co.za in June 2025.</w:t>
      </w:r>
    </w:p>
    <w:p>
      <w:pPr>
        <w:spacing w:after="200" w:line="276"/>
        <w:ind w:left="720"/>
      </w:pPr>
      <w:r>
        <w:rPr>
          <w:rFonts w:ascii="Arial" w:cs="Arial" w:eastAsia="Arial" w:hAnsi="Arial"/>
          <w:b/>
          <w:bCs/>
          <w:sz w:val="22"/>
          <w:szCs w:val="22"/>
        </w:rPr>
        <w:t xml:space="preserve">8.4 </w:t>
      </w:r>
      <w:r>
        <w:rPr>
          <w:rFonts w:ascii="Arial" w:cs="Arial" w:eastAsia="Arial" w:hAnsi="Arial"/>
          <w:sz w:val="22"/>
          <w:szCs w:val="22"/>
        </w:rPr>
        <w:t xml:space="preserve">On 11 February 2026, the Second Respondent, acting in his capacity as a director of this Entity, created a new API key on The Courier Guy portal to restore the broken integration. He performed a test shipment (created and immediately cancelled) to verify that the API connection was operational. This is a standard technical verification procedure.</w:t>
      </w:r>
    </w:p>
    <w:p>
      <w:pPr>
        <w:spacing w:after="200" w:line="276"/>
        <w:ind w:left="720"/>
      </w:pPr>
      <w:r>
        <w:rPr>
          <w:rFonts w:ascii="Arial" w:cs="Arial" w:eastAsia="Arial" w:hAnsi="Arial"/>
          <w:b/>
          <w:bCs/>
          <w:sz w:val="22"/>
          <w:szCs w:val="22"/>
        </w:rPr>
        <w:t xml:space="preserve">8.5 </w:t>
      </w:r>
      <w:r>
        <w:rPr>
          <w:rFonts w:ascii="Arial" w:cs="Arial" w:eastAsia="Arial" w:hAnsi="Arial"/>
          <w:sz w:val="22"/>
          <w:szCs w:val="22"/>
        </w:rPr>
        <w:t xml:space="preserve">The Applicant now demands, through his attorneys (letter of 13 February 2026), that the Second Respondent "desist" from accessing The Courier Guy portal, characterises the API restoration as "clear direct interference with the business activities of the entities," and threatens contempt proceedings.</w:t>
      </w:r>
    </w:p>
    <w:p>
      <w:pPr>
        <w:spacing w:after="200" w:line="276"/>
      </w:pPr>
      <w:r>
        <w:rPr>
          <w:rFonts w:ascii="Arial" w:cs="Arial" w:eastAsia="Arial" w:hAnsi="Arial"/>
          <w:b/>
          <w:bCs/>
          <w:sz w:val="22"/>
          <w:szCs w:val="22"/>
        </w:rPr>
        <w:t xml:space="preserve">9. </w:t>
      </w:r>
      <w:r>
        <w:rPr>
          <w:rFonts w:ascii="Arial" w:cs="Arial" w:eastAsia="Arial" w:hAnsi="Arial"/>
          <w:sz w:val="22"/>
          <w:szCs w:val="22"/>
        </w:rPr>
        <w:t xml:space="preserve">This Entity states the contradiction plainly: </w:t>
      </w:r>
      <w:r>
        <w:rPr>
          <w:rFonts w:ascii="Arial" w:cs="Arial" w:eastAsia="Arial" w:hAnsi="Arial"/>
          <w:b/>
          <w:bCs/>
          <w:sz w:val="22"/>
          <w:szCs w:val="22"/>
        </w:rPr>
        <w:t xml:space="preserve">the Applicant cannot simultaneously blame the Second Respondent for not fulfilling orders, and then threaten the Second Respondent with contempt for restoring the infrastructure necessary to fulfil orders.</w:t>
      </w:r>
      <w:r>
        <w:rPr>
          <w:rFonts w:ascii="Arial" w:cs="Arial" w:eastAsia="Arial" w:hAnsi="Arial"/>
          <w:sz w:val="22"/>
          <w:szCs w:val="22"/>
        </w:rPr>
        <w:t xml:space="preserve"> These two positions are mutually exclusive. The Applicant must elect which version of events he advances.</w:t>
      </w:r>
    </w:p>
    <w:p>
      <w:pPr>
        <w:pStyle w:val="Heading1"/>
        <w:spacing w:before="360" w:after="240"/>
      </w:pPr>
      <w:r>
        <w:rPr>
          <w:rFonts w:ascii="Arial" w:cs="Arial" w:eastAsia="Arial" w:hAnsi="Arial"/>
          <w:b/>
          <w:bCs/>
          <w:sz w:val="28"/>
          <w:szCs w:val="28"/>
        </w:rPr>
        <w:t xml:space="preserve">E. THE TRANSACTIONAL CONTROL BOUNDARY</w:t>
      </w:r>
    </w:p>
    <w:p>
      <w:pPr>
        <w:spacing w:after="200" w:line="276"/>
      </w:pPr>
      <w:r>
        <w:rPr>
          <w:rFonts w:ascii="Arial" w:cs="Arial" w:eastAsia="Arial" w:hAnsi="Arial"/>
          <w:b/>
          <w:bCs/>
          <w:sz w:val="22"/>
          <w:szCs w:val="22"/>
        </w:rPr>
        <w:t xml:space="preserve">10. </w:t>
      </w:r>
      <w:r>
        <w:rPr>
          <w:rFonts w:ascii="Arial" w:cs="Arial" w:eastAsia="Arial" w:hAnsi="Arial"/>
          <w:sz w:val="22"/>
          <w:szCs w:val="22"/>
        </w:rPr>
        <w:t xml:space="preserve">This Entity reiterates the position established in RWD/NOTICE/001 and in the Transactional vs. Governance Distinction argument filed in these proceedings:</w:t>
      </w:r>
    </w:p>
    <w:p>
      <w:pPr>
        <w:spacing w:after="200" w:line="276"/>
        <w:ind w:left="720"/>
      </w:pPr>
      <w:r>
        <w:rPr>
          <w:rFonts w:ascii="Arial" w:cs="Arial" w:eastAsia="Arial" w:hAnsi="Arial"/>
          <w:b/>
          <w:bCs/>
          <w:sz w:val="22"/>
          <w:szCs w:val="22"/>
        </w:rPr>
        <w:t xml:space="preserve">10.1 </w:t>
      </w:r>
      <w:r>
        <w:rPr>
          <w:rFonts w:ascii="Arial" w:cs="Arial" w:eastAsia="Arial" w:hAnsi="Arial"/>
          <w:sz w:val="22"/>
          <w:szCs w:val="22"/>
        </w:rPr>
        <w:t xml:space="preserve">The Court Order at §2.6 grants the Applicant transactional control over entity bank accounts. This is a payment-processing function. It does not constitute a grant of operational, strategic, or governance authority over the entities.</w:t>
      </w:r>
    </w:p>
    <w:p>
      <w:pPr>
        <w:spacing w:after="200" w:line="276"/>
        <w:ind w:left="720"/>
      </w:pPr>
      <w:r>
        <w:rPr>
          <w:rFonts w:ascii="Arial" w:cs="Arial" w:eastAsia="Arial" w:hAnsi="Arial"/>
          <w:b/>
          <w:bCs/>
          <w:sz w:val="22"/>
          <w:szCs w:val="22"/>
        </w:rPr>
        <w:t xml:space="preserve">10.2 </w:t>
      </w:r>
      <w:r>
        <w:rPr>
          <w:rFonts w:ascii="Arial" w:cs="Arial" w:eastAsia="Arial" w:hAnsi="Arial"/>
          <w:sz w:val="22"/>
          <w:szCs w:val="22"/>
        </w:rPr>
        <w:t xml:space="preserve">The Courier Guy shipment portal is an </w:t>
      </w:r>
      <w:r>
        <w:rPr>
          <w:rFonts w:ascii="Arial" w:cs="Arial" w:eastAsia="Arial" w:hAnsi="Arial"/>
          <w:b/>
          <w:bCs/>
          <w:sz w:val="22"/>
          <w:szCs w:val="22"/>
        </w:rPr>
        <w:t xml:space="preserve">operational system</w:t>
      </w:r>
      <w:r>
        <w:rPr>
          <w:rFonts w:ascii="Arial" w:cs="Arial" w:eastAsia="Arial" w:hAnsi="Arial"/>
          <w:sz w:val="22"/>
          <w:szCs w:val="22"/>
        </w:rPr>
        <w:t xml:space="preserve">, not a financial system. Creating an API key, managing shipments, and configuring logistics integrations are </w:t>
      </w:r>
      <w:r>
        <w:rPr>
          <w:rFonts w:ascii="Arial" w:cs="Arial" w:eastAsia="Arial" w:hAnsi="Arial"/>
          <w:b/>
          <w:bCs/>
          <w:sz w:val="22"/>
          <w:szCs w:val="22"/>
        </w:rPr>
        <w:t xml:space="preserve">governance decisions</w:t>
      </w:r>
      <w:r>
        <w:rPr>
          <w:rFonts w:ascii="Arial" w:cs="Arial" w:eastAsia="Arial" w:hAnsi="Arial"/>
          <w:sz w:val="22"/>
          <w:szCs w:val="22"/>
        </w:rPr>
        <w:t xml:space="preserve"> falling within the operational authority of the directors, not within the Applicant's transactional control scope.</w:t>
      </w:r>
    </w:p>
    <w:p>
      <w:pPr>
        <w:spacing w:after="200" w:line="276"/>
        <w:ind w:left="720"/>
      </w:pPr>
      <w:r>
        <w:rPr>
          <w:rFonts w:ascii="Arial" w:cs="Arial" w:eastAsia="Arial" w:hAnsi="Arial"/>
          <w:b/>
          <w:bCs/>
          <w:sz w:val="22"/>
          <w:szCs w:val="22"/>
        </w:rPr>
        <w:t xml:space="preserve">10.3 </w:t>
      </w:r>
      <w:r>
        <w:rPr>
          <w:rFonts w:ascii="Arial" w:cs="Arial" w:eastAsia="Arial" w:hAnsi="Arial"/>
          <w:sz w:val="22"/>
          <w:szCs w:val="22"/>
        </w:rPr>
        <w:t xml:space="preserve">The Court Order does not prohibit directors from accessing this Entity's operational systems, supplier portals, or logistics platforms. No paragraph of the Court Order is cited in the Applicant's letter of 13 February 2026 as having been breached, because no such paragraph exists.</w:t>
      </w:r>
    </w:p>
    <w:p>
      <w:pPr>
        <w:spacing w:after="200" w:line="276"/>
        <w:ind w:left="720"/>
      </w:pPr>
      <w:r>
        <w:rPr>
          <w:rFonts w:ascii="Arial" w:cs="Arial" w:eastAsia="Arial" w:hAnsi="Arial"/>
          <w:b/>
          <w:bCs/>
          <w:sz w:val="22"/>
          <w:szCs w:val="22"/>
        </w:rPr>
        <w:t xml:space="preserve">10.4 </w:t>
      </w:r>
      <w:r>
        <w:rPr>
          <w:rFonts w:ascii="Arial" w:cs="Arial" w:eastAsia="Arial" w:hAnsi="Arial"/>
          <w:sz w:val="22"/>
          <w:szCs w:val="22"/>
        </w:rPr>
        <w:t xml:space="preserve">A director's right to access and manage this Entity's operational systems is a statutory right flowing from the Companies Act 71 of 2008. The unilateral removal of a director's access credentials to a company operational platform, without board authorisation, constitutes an unlawful interference with directorial functions.</w:t>
      </w:r>
    </w:p>
    <w:p>
      <w:pPr>
        <w:pStyle w:val="Heading1"/>
        <w:spacing w:before="360" w:after="240"/>
      </w:pPr>
      <w:r>
        <w:rPr>
          <w:rFonts w:ascii="Arial" w:cs="Arial" w:eastAsia="Arial" w:hAnsi="Arial"/>
          <w:b/>
          <w:bCs/>
          <w:sz w:val="28"/>
          <w:szCs w:val="28"/>
        </w:rPr>
        <w:t xml:space="preserve">F. THE SHOPIFY DECOMMISSIONING — IN THE APPLICANT'S OWN WORDS</w:t>
      </w:r>
    </w:p>
    <w:p>
      <w:pPr>
        <w:spacing w:after="200" w:line="276"/>
      </w:pPr>
      <w:r>
        <w:rPr>
          <w:rFonts w:ascii="Arial" w:cs="Arial" w:eastAsia="Arial" w:hAnsi="Arial"/>
          <w:b/>
          <w:bCs/>
          <w:sz w:val="22"/>
          <w:szCs w:val="22"/>
        </w:rPr>
        <w:t xml:space="preserve">11. </w:t>
      </w:r>
      <w:r>
        <w:rPr>
          <w:rFonts w:ascii="Arial" w:cs="Arial" w:eastAsia="Arial" w:hAnsi="Arial"/>
          <w:sz w:val="22"/>
          <w:szCs w:val="22"/>
        </w:rPr>
        <w:t xml:space="preserve">This Entity records, for completeness, the Applicant's own characterisation of the Shopify shutdown, as conveyed by Elliott Attorneys in their letter of 12 December 2025:</w:t>
      </w:r>
    </w:p>
    <w:p>
      <w:pPr>
        <w:spacing w:after="200" w:line="276"/>
        <w:ind w:left="720"/>
      </w:pPr>
      <w:r>
        <w:rPr>
          <w:rFonts w:ascii="Arial" w:cs="Arial" w:eastAsia="Arial" w:hAnsi="Arial"/>
          <w:i/>
          <w:iCs/>
          <w:sz w:val="22"/>
          <w:szCs w:val="22"/>
        </w:rPr>
        <w:t xml:space="preserve">"It should, in this regard, be noted, as we trust your clients will be well aware, that Shopify's inter alia 'sales' are made up of orders from distributors (and not members of the public). It may have been a simplistic manner to manage such orders, however, same did not provide for any sales — only costs."</w:t>
      </w:r>
    </w:p>
    <w:p>
      <w:pPr>
        <w:spacing w:after="200" w:line="276"/>
        <w:ind w:left="720"/>
      </w:pPr>
      <w:r>
        <w:rPr>
          <w:rFonts w:ascii="Arial" w:cs="Arial" w:eastAsia="Arial" w:hAnsi="Arial"/>
          <w:i/>
          <w:iCs/>
          <w:sz w:val="22"/>
          <w:szCs w:val="22"/>
        </w:rPr>
        <w:t xml:space="preserve">"In terms of the aforesaid, the same sales are now simply invoiced on Pastel directly, and paid by the same distributors."</w:t>
      </w:r>
    </w:p>
    <w:p>
      <w:pPr>
        <w:spacing w:after="200" w:line="276"/>
        <w:ind w:left="720"/>
      </w:pPr>
      <w:r>
        <w:rPr>
          <w:rFonts w:ascii="Arial" w:cs="Arial" w:eastAsia="Arial" w:hAnsi="Arial"/>
          <w:i/>
          <w:iCs/>
          <w:sz w:val="22"/>
          <w:szCs w:val="22"/>
        </w:rPr>
        <w:t xml:space="preserve">"The saving is, however, created through the removal of Shopify costs — there is, as a result, no negative caused by halting the use of Shopify."</w:t>
      </w:r>
    </w:p>
    <w:p>
      <w:pPr>
        <w:spacing w:after="200" w:line="276"/>
        <w:ind w:left="720"/>
      </w:pPr>
      <w:r>
        <w:rPr>
          <w:rFonts w:ascii="Arial" w:cs="Arial" w:eastAsia="Arial" w:hAnsi="Arial"/>
          <w:i/>
          <w:iCs/>
          <w:sz w:val="22"/>
          <w:szCs w:val="22"/>
        </w:rPr>
        <w:t xml:space="preserve">"We deny that Kent had been instructed not to fulfil any Shopify orders. In this regard, we hold instructions to advise that the Shopify portal is not made use of, and as a result, there are no orders to fulfil therefrom."</w:t>
      </w:r>
    </w:p>
    <w:p>
      <w:pPr>
        <w:spacing w:after="200" w:line="276"/>
      </w:pPr>
      <w:r>
        <w:rPr>
          <w:rFonts w:ascii="Arial" w:cs="Arial" w:eastAsia="Arial" w:hAnsi="Arial"/>
          <w:b/>
          <w:bCs/>
          <w:sz w:val="22"/>
          <w:szCs w:val="22"/>
        </w:rPr>
        <w:t xml:space="preserve">12. </w:t>
      </w:r>
      <w:r>
        <w:rPr>
          <w:rFonts w:ascii="Arial" w:cs="Arial" w:eastAsia="Arial" w:hAnsi="Arial"/>
          <w:sz w:val="22"/>
          <w:szCs w:val="22"/>
        </w:rPr>
        <w:t xml:space="preserve">This Entity responds to these characterisations as follows:</w:t>
      </w:r>
    </w:p>
    <w:p>
      <w:pPr>
        <w:spacing w:after="200" w:line="276"/>
        <w:ind w:left="720"/>
      </w:pPr>
      <w:r>
        <w:rPr>
          <w:rFonts w:ascii="Arial" w:cs="Arial" w:eastAsia="Arial" w:hAnsi="Arial"/>
          <w:b/>
          <w:bCs/>
          <w:sz w:val="22"/>
          <w:szCs w:val="22"/>
        </w:rPr>
        <w:t xml:space="preserve">12.1 </w:t>
      </w:r>
      <w:r>
        <w:rPr>
          <w:rFonts w:ascii="Arial" w:cs="Arial" w:eastAsia="Arial" w:hAnsi="Arial"/>
          <w:sz w:val="22"/>
          <w:szCs w:val="22"/>
        </w:rPr>
        <w:t xml:space="preserve">The claim that Shopify provided "no sales — only costs" is factually incorrect. The Shopify platform was the </w:t>
      </w:r>
      <w:r>
        <w:rPr>
          <w:rFonts w:ascii="Arial" w:cs="Arial" w:eastAsia="Arial" w:hAnsi="Arial"/>
          <w:b/>
          <w:bCs/>
          <w:sz w:val="22"/>
          <w:szCs w:val="22"/>
        </w:rPr>
        <w:t xml:space="preserve">primary order intake mechanism</w:t>
      </w:r>
      <w:r>
        <w:rPr>
          <w:rFonts w:ascii="Arial" w:cs="Arial" w:eastAsia="Arial" w:hAnsi="Arial"/>
          <w:sz w:val="22"/>
          <w:szCs w:val="22"/>
        </w:rPr>
        <w:t xml:space="preserve"> for this Entity's group. It processed distributor orders, generated invoices, triggered automated fulfillment via The Courier Guy API, and synchronised with the accounting system. The revenue flowed </w:t>
      </w:r>
      <w:r>
        <w:rPr>
          <w:rFonts w:ascii="Arial" w:cs="Arial" w:eastAsia="Arial" w:hAnsi="Arial"/>
          <w:i/>
          <w:iCs/>
          <w:sz w:val="22"/>
          <w:szCs w:val="22"/>
        </w:rPr>
        <w:t xml:space="preserve">through</w:t>
      </w:r>
      <w:r>
        <w:rPr>
          <w:rFonts w:ascii="Arial" w:cs="Arial" w:eastAsia="Arial" w:hAnsi="Arial"/>
          <w:sz w:val="22"/>
          <w:szCs w:val="22"/>
        </w:rPr>
        <w:t xml:space="preserve"> Shopify, not </w:t>
      </w:r>
      <w:r>
        <w:rPr>
          <w:rFonts w:ascii="Arial" w:cs="Arial" w:eastAsia="Arial" w:hAnsi="Arial"/>
          <w:i/>
          <w:iCs/>
          <w:sz w:val="22"/>
          <w:szCs w:val="22"/>
        </w:rPr>
        <w:t xml:space="preserve">from</w:t>
      </w:r>
      <w:r>
        <w:rPr>
          <w:rFonts w:ascii="Arial" w:cs="Arial" w:eastAsia="Arial" w:hAnsi="Arial"/>
          <w:sz w:val="22"/>
          <w:szCs w:val="22"/>
        </w:rPr>
        <w:t xml:space="preserve"> Shopify.</w:t>
      </w:r>
    </w:p>
    <w:p>
      <w:pPr>
        <w:spacing w:after="200" w:line="276"/>
        <w:ind w:left="720"/>
      </w:pPr>
      <w:r>
        <w:rPr>
          <w:rFonts w:ascii="Arial" w:cs="Arial" w:eastAsia="Arial" w:hAnsi="Arial"/>
          <w:b/>
          <w:bCs/>
          <w:sz w:val="22"/>
          <w:szCs w:val="22"/>
        </w:rPr>
        <w:t xml:space="preserve">12.2 </w:t>
      </w:r>
      <w:r>
        <w:rPr>
          <w:rFonts w:ascii="Arial" w:cs="Arial" w:eastAsia="Arial" w:hAnsi="Arial"/>
          <w:sz w:val="22"/>
          <w:szCs w:val="22"/>
        </w:rPr>
        <w:t xml:space="preserve">The migration of all invoicing to "Pastel directly" means that the entire revenue pipeline now operates through Sage Pastel — a system whose administrator access was obtained through a unilateral sworn affidavit (July 2024) without board authorisation, and which is operated by Ms. Rynette Farrar under the Applicant's identity (pete@regima.com). This Entity's audit trails confirm this dual-identity operation (see RWD/NOTICE/001, Annexure RWD-E).</w:t>
      </w:r>
    </w:p>
    <w:p>
      <w:pPr>
        <w:spacing w:after="200" w:line="276"/>
        <w:ind w:left="720"/>
      </w:pPr>
      <w:r>
        <w:rPr>
          <w:rFonts w:ascii="Arial" w:cs="Arial" w:eastAsia="Arial" w:hAnsi="Arial"/>
          <w:b/>
          <w:bCs/>
          <w:sz w:val="22"/>
          <w:szCs w:val="22"/>
        </w:rPr>
        <w:t xml:space="preserve">12.3 </w:t>
      </w:r>
      <w:r>
        <w:rPr>
          <w:rFonts w:ascii="Arial" w:cs="Arial" w:eastAsia="Arial" w:hAnsi="Arial"/>
          <w:sz w:val="22"/>
          <w:szCs w:val="22"/>
        </w:rPr>
        <w:t xml:space="preserve">The effect of the Shopify shutdown is that this Entity's entire revenue stream has been moved from a </w:t>
      </w:r>
      <w:r>
        <w:rPr>
          <w:rFonts w:ascii="Arial" w:cs="Arial" w:eastAsia="Arial" w:hAnsi="Arial"/>
          <w:b/>
          <w:bCs/>
          <w:sz w:val="22"/>
          <w:szCs w:val="22"/>
        </w:rPr>
        <w:t xml:space="preserve">transparent, multi-user, auditable platform</w:t>
      </w:r>
      <w:r>
        <w:rPr>
          <w:rFonts w:ascii="Arial" w:cs="Arial" w:eastAsia="Arial" w:hAnsi="Arial"/>
          <w:sz w:val="22"/>
          <w:szCs w:val="22"/>
        </w:rPr>
        <w:t xml:space="preserve"> (Shopify) to an </w:t>
      </w:r>
      <w:r>
        <w:rPr>
          <w:rFonts w:ascii="Arial" w:cs="Arial" w:eastAsia="Arial" w:hAnsi="Arial"/>
          <w:b/>
          <w:bCs/>
          <w:sz w:val="22"/>
          <w:szCs w:val="22"/>
        </w:rPr>
        <w:t xml:space="preserve">opaque, single-user-controlled system</w:t>
      </w:r>
      <w:r>
        <w:rPr>
          <w:rFonts w:ascii="Arial" w:cs="Arial" w:eastAsia="Arial" w:hAnsi="Arial"/>
          <w:sz w:val="22"/>
          <w:szCs w:val="22"/>
        </w:rPr>
        <w:t xml:space="preserve"> (Sage Pastel under Ms. Farrar's de facto control). This Entity's Board has no visibility over the invoicing, revenue collection, or financial activity now being conducted exclusively through Pastel.</w:t>
      </w:r>
    </w:p>
    <w:p>
      <w:pPr>
        <w:spacing w:after="200" w:line="276"/>
        <w:ind w:left="720"/>
      </w:pPr>
      <w:r>
        <w:rPr>
          <w:rFonts w:ascii="Arial" w:cs="Arial" w:eastAsia="Arial" w:hAnsi="Arial"/>
          <w:b/>
          <w:bCs/>
          <w:sz w:val="22"/>
          <w:szCs w:val="22"/>
        </w:rPr>
        <w:t xml:space="preserve">12.4 </w:t>
      </w:r>
      <w:r>
        <w:rPr>
          <w:rFonts w:ascii="Arial" w:cs="Arial" w:eastAsia="Arial" w:hAnsi="Arial"/>
          <w:sz w:val="22"/>
          <w:szCs w:val="22"/>
        </w:rPr>
        <w:t xml:space="preserve">The denial that "Kent had been instructed not to fulfil any Shopify orders," followed immediately by the admission that "the Shopify portal is not made use of, and as a result, there are no orders to fulfil therefrom," is a distinction without a difference. The pipeline was shut down. Whether Kent was "instructed" not to fulfil orders or was simply left with no orders to fulfil produces the same result: zero fulfillment, zero revenue through the auditable platform.</w:t>
      </w:r>
    </w:p>
    <w:p>
      <w:pPr>
        <w:pStyle w:val="Heading1"/>
        <w:spacing w:before="360" w:after="240"/>
      </w:pPr>
      <w:r>
        <w:rPr>
          <w:rFonts w:ascii="Arial" w:cs="Arial" w:eastAsia="Arial" w:hAnsi="Arial"/>
          <w:b/>
          <w:bCs/>
          <w:sz w:val="28"/>
          <w:szCs w:val="28"/>
        </w:rPr>
        <w:t xml:space="preserve">G. THE COMMUNICATION SEVERANCE DEMAND</w:t>
      </w:r>
    </w:p>
    <w:p>
      <w:pPr>
        <w:spacing w:after="200" w:line="276"/>
      </w:pPr>
      <w:r>
        <w:rPr>
          <w:rFonts w:ascii="Arial" w:cs="Arial" w:eastAsia="Arial" w:hAnsi="Arial"/>
          <w:b/>
          <w:bCs/>
          <w:sz w:val="22"/>
          <w:szCs w:val="22"/>
        </w:rPr>
        <w:t xml:space="preserve">13. </w:t>
      </w:r>
      <w:r>
        <w:rPr>
          <w:rFonts w:ascii="Arial" w:cs="Arial" w:eastAsia="Arial" w:hAnsi="Arial"/>
          <w:sz w:val="22"/>
          <w:szCs w:val="22"/>
        </w:rPr>
        <w:t xml:space="preserve">Elliott Attorneys' letter of 13 February 2026 further demands, with reference to paragraph 2.2 of the void settlement agreement (void by reason of the evidence provided by the Seventh Respondent, FirstRand Bank Ltd, which establishes that the interdict from which the settlement agreement derives its authority was obtained through material non-disclosure), that all communications from the Second Respondent to the entities "as pertains to payments, or the like (being inclusive of, but not limited to)" be directed attorney-to-attorney.</w:t>
      </w:r>
    </w:p>
    <w:p>
      <w:pPr>
        <w:spacing w:after="200" w:line="276"/>
      </w:pPr>
      <w:r>
        <w:rPr>
          <w:rFonts w:ascii="Arial" w:cs="Arial" w:eastAsia="Arial" w:hAnsi="Arial"/>
          <w:b/>
          <w:bCs/>
          <w:sz w:val="22"/>
          <w:szCs w:val="22"/>
        </w:rPr>
        <w:t xml:space="preserve">14. </w:t>
      </w:r>
      <w:r>
        <w:rPr>
          <w:rFonts w:ascii="Arial" w:cs="Arial" w:eastAsia="Arial" w:hAnsi="Arial"/>
          <w:sz w:val="22"/>
          <w:szCs w:val="22"/>
        </w:rPr>
        <w:t xml:space="preserve">This Entity records the following in response:</w:t>
      </w:r>
    </w:p>
    <w:p>
      <w:pPr>
        <w:spacing w:after="200" w:line="276"/>
        <w:ind w:left="720"/>
      </w:pPr>
      <w:r>
        <w:rPr>
          <w:rFonts w:ascii="Arial" w:cs="Arial" w:eastAsia="Arial" w:hAnsi="Arial"/>
          <w:b/>
          <w:bCs/>
          <w:sz w:val="22"/>
          <w:szCs w:val="22"/>
        </w:rPr>
        <w:t xml:space="preserve">14.1 </w:t>
      </w:r>
      <w:r>
        <w:rPr>
          <w:rFonts w:ascii="Arial" w:cs="Arial" w:eastAsia="Arial" w:hAnsi="Arial"/>
          <w:sz w:val="22"/>
          <w:szCs w:val="22"/>
        </w:rPr>
        <w:t xml:space="preserve">A director's right to communicate with the entities of which he is a director is a statutory right. No provision of the Court Order, the void settlement agreement, or any law permits a co-director to sever another director's direct communication with the company.</w:t>
      </w:r>
    </w:p>
    <w:p>
      <w:pPr>
        <w:spacing w:after="200" w:line="276"/>
        <w:ind w:left="720"/>
      </w:pPr>
      <w:r>
        <w:rPr>
          <w:rFonts w:ascii="Arial" w:cs="Arial" w:eastAsia="Arial" w:hAnsi="Arial"/>
          <w:b/>
          <w:bCs/>
          <w:sz w:val="22"/>
          <w:szCs w:val="22"/>
        </w:rPr>
        <w:t xml:space="preserve">14.2 </w:t>
      </w:r>
      <w:r>
        <w:rPr>
          <w:rFonts w:ascii="Arial" w:cs="Arial" w:eastAsia="Arial" w:hAnsi="Arial"/>
          <w:sz w:val="22"/>
          <w:szCs w:val="22"/>
        </w:rPr>
        <w:t xml:space="preserve">The phrase "payments, or the like (being inclusive of, but not limited to)" is so broadly drafted as to encompass virtually every aspect of business operations. If given effect, it would reduce the Second Respondent to a director in name only — unable to communicate with his own companies except through two layers of attorneys, at attorney fee rates, subject to attorney response timescales.</w:t>
      </w:r>
    </w:p>
    <w:p>
      <w:pPr>
        <w:spacing w:after="200" w:line="276"/>
        <w:ind w:left="720"/>
      </w:pPr>
      <w:r>
        <w:rPr>
          <w:rFonts w:ascii="Arial" w:cs="Arial" w:eastAsia="Arial" w:hAnsi="Arial"/>
          <w:b/>
          <w:bCs/>
          <w:sz w:val="22"/>
          <w:szCs w:val="22"/>
        </w:rPr>
        <w:t xml:space="preserve">14.3 </w:t>
      </w:r>
      <w:r>
        <w:rPr>
          <w:rFonts w:ascii="Arial" w:cs="Arial" w:eastAsia="Arial" w:hAnsi="Arial"/>
          <w:sz w:val="22"/>
          <w:szCs w:val="22"/>
        </w:rPr>
        <w:t xml:space="preserve">This Entity does not consent to any arrangement that severs its directors' ability to communicate with it directly. This Entity's Board has not resolved to restrict any director's communication rights, and no court order has been obtained directing same.</w:t>
      </w:r>
    </w:p>
    <w:p>
      <w:pPr>
        <w:pStyle w:val="Heading1"/>
        <w:spacing w:before="360" w:after="240"/>
      </w:pPr>
      <w:r>
        <w:rPr>
          <w:rFonts w:ascii="Arial" w:cs="Arial" w:eastAsia="Arial" w:hAnsi="Arial"/>
          <w:b/>
          <w:bCs/>
          <w:sz w:val="28"/>
          <w:szCs w:val="28"/>
        </w:rPr>
        <w:t xml:space="preserve">H. THE COURIER GUY LOGIN REMOVAL</w:t>
      </w:r>
    </w:p>
    <w:p>
      <w:pPr>
        <w:spacing w:after="200" w:line="276"/>
      </w:pPr>
      <w:r>
        <w:rPr>
          <w:rFonts w:ascii="Arial" w:cs="Arial" w:eastAsia="Arial" w:hAnsi="Arial"/>
          <w:b/>
          <w:bCs/>
          <w:sz w:val="22"/>
          <w:szCs w:val="22"/>
        </w:rPr>
        <w:t xml:space="preserve">15. </w:t>
      </w:r>
      <w:r>
        <w:rPr>
          <w:rFonts w:ascii="Arial" w:cs="Arial" w:eastAsia="Arial" w:hAnsi="Arial"/>
          <w:sz w:val="22"/>
          <w:szCs w:val="22"/>
        </w:rPr>
        <w:t xml:space="preserve">This Entity has become aware that, subsequent to the Second Respondent's access to The Courier Guy portal on 11 February 2026, the Second Respondent's login credentials to The Courier Guy have been removed.</w:t>
      </w:r>
    </w:p>
    <w:p>
      <w:pPr>
        <w:spacing w:after="200" w:line="276"/>
      </w:pPr>
      <w:r>
        <w:rPr>
          <w:rFonts w:ascii="Arial" w:cs="Arial" w:eastAsia="Arial" w:hAnsi="Arial"/>
          <w:b/>
          <w:bCs/>
          <w:sz w:val="22"/>
          <w:szCs w:val="22"/>
        </w:rPr>
        <w:t xml:space="preserve">16. </w:t>
      </w:r>
      <w:r>
        <w:rPr>
          <w:rFonts w:ascii="Arial" w:cs="Arial" w:eastAsia="Arial" w:hAnsi="Arial"/>
          <w:sz w:val="22"/>
          <w:szCs w:val="22"/>
        </w:rPr>
        <w:t xml:space="preserve">This Entity demands to know:</w:t>
      </w:r>
    </w:p>
    <w:p>
      <w:pPr>
        <w:spacing w:after="200" w:line="276"/>
        <w:ind w:left="720"/>
      </w:pPr>
      <w:r>
        <w:rPr>
          <w:rFonts w:ascii="Arial" w:cs="Arial" w:eastAsia="Arial" w:hAnsi="Arial"/>
          <w:b/>
          <w:bCs/>
          <w:sz w:val="22"/>
          <w:szCs w:val="22"/>
        </w:rPr>
        <w:t xml:space="preserve">16.1 </w:t>
      </w:r>
      <w:r>
        <w:rPr>
          <w:rFonts w:ascii="Arial" w:cs="Arial" w:eastAsia="Arial" w:hAnsi="Arial"/>
          <w:sz w:val="22"/>
          <w:szCs w:val="22"/>
        </w:rPr>
        <w:t xml:space="preserve">Who authorised the removal of the Second Respondent's login credentials to The Courier Guy portal;</w:t>
      </w:r>
    </w:p>
    <w:p>
      <w:pPr>
        <w:spacing w:after="200" w:line="276"/>
        <w:ind w:left="720"/>
      </w:pPr>
      <w:r>
        <w:rPr>
          <w:rFonts w:ascii="Arial" w:cs="Arial" w:eastAsia="Arial" w:hAnsi="Arial"/>
          <w:b/>
          <w:bCs/>
          <w:sz w:val="22"/>
          <w:szCs w:val="22"/>
        </w:rPr>
        <w:t xml:space="preserve">16.2 </w:t>
      </w:r>
      <w:r>
        <w:rPr>
          <w:rFonts w:ascii="Arial" w:cs="Arial" w:eastAsia="Arial" w:hAnsi="Arial"/>
          <w:sz w:val="22"/>
          <w:szCs w:val="22"/>
        </w:rPr>
        <w:t xml:space="preserve">Under what authority a director's access to a company operational system was unilaterally revoked;</w:t>
      </w:r>
    </w:p>
    <w:p>
      <w:pPr>
        <w:spacing w:after="200" w:line="276"/>
        <w:ind w:left="720"/>
      </w:pPr>
      <w:r>
        <w:rPr>
          <w:rFonts w:ascii="Arial" w:cs="Arial" w:eastAsia="Arial" w:hAnsi="Arial"/>
          <w:b/>
          <w:bCs/>
          <w:sz w:val="22"/>
          <w:szCs w:val="22"/>
        </w:rPr>
        <w:t xml:space="preserve">16.3 </w:t>
      </w:r>
      <w:r>
        <w:rPr>
          <w:rFonts w:ascii="Arial" w:cs="Arial" w:eastAsia="Arial" w:hAnsi="Arial"/>
          <w:sz w:val="22"/>
          <w:szCs w:val="22"/>
        </w:rPr>
        <w:t xml:space="preserve">Whether The Courier Guy was instructed to share the Second Respondent's access activity and login data with the Applicant, and if so, under what legal basis, noting that such disclosure may constitute a violation of the Protection of Personal Information Act 4 of 2013 ("POPIA").</w:t>
      </w:r>
    </w:p>
    <w:p>
      <w:pPr>
        <w:spacing w:after="200" w:line="276"/>
      </w:pPr>
      <w:r>
        <w:rPr>
          <w:rFonts w:ascii="Arial" w:cs="Arial" w:eastAsia="Arial" w:hAnsi="Arial"/>
          <w:b/>
          <w:bCs/>
          <w:sz w:val="22"/>
          <w:szCs w:val="22"/>
        </w:rPr>
        <w:t xml:space="preserve">17. </w:t>
      </w:r>
      <w:r>
        <w:rPr>
          <w:rFonts w:ascii="Arial" w:cs="Arial" w:eastAsia="Arial" w:hAnsi="Arial"/>
          <w:sz w:val="22"/>
          <w:szCs w:val="22"/>
        </w:rPr>
        <w:t xml:space="preserve">This Entity places The Courier Guy on notice that this Entity has </w:t>
      </w:r>
      <w:r>
        <w:rPr>
          <w:rFonts w:ascii="Arial" w:cs="Arial" w:eastAsia="Arial" w:hAnsi="Arial"/>
          <w:b/>
          <w:bCs/>
          <w:sz w:val="22"/>
          <w:szCs w:val="22"/>
        </w:rPr>
        <w:t xml:space="preserve">three</w:t>
      </w:r>
      <w:r>
        <w:rPr>
          <w:rFonts w:ascii="Arial" w:cs="Arial" w:eastAsia="Arial" w:hAnsi="Arial"/>
          <w:sz w:val="22"/>
          <w:szCs w:val="22"/>
        </w:rPr>
        <w:t xml:space="preserve"> directors. The Courier Guy account for this Entity cannot be unilaterally controlled by one director to the exclusion of the others. Any instruction to remove a director's access must be accompanied by a board resolution or court order. This Entity's Board has passed no such resolution, and no such court order exists.</w:t>
      </w:r>
    </w:p>
    <w:p>
      <w:pPr>
        <w:pStyle w:val="Heading1"/>
        <w:spacing w:before="360" w:after="240"/>
      </w:pPr>
      <w:r>
        <w:rPr>
          <w:rFonts w:ascii="Arial" w:cs="Arial" w:eastAsia="Arial" w:hAnsi="Arial"/>
          <w:b/>
          <w:bCs/>
          <w:sz w:val="28"/>
          <w:szCs w:val="28"/>
        </w:rPr>
        <w:t xml:space="preserve">I. THE PATTERN — SYSTEMATIC OPERATIONAL LOCKOUT</w:t>
      </w:r>
    </w:p>
    <w:p>
      <w:pPr>
        <w:spacing w:after="200" w:line="276"/>
      </w:pPr>
      <w:r>
        <w:rPr>
          <w:rFonts w:ascii="Arial" w:cs="Arial" w:eastAsia="Arial" w:hAnsi="Arial"/>
          <w:b/>
          <w:bCs/>
          <w:sz w:val="22"/>
          <w:szCs w:val="22"/>
        </w:rPr>
        <w:t xml:space="preserve">18. </w:t>
      </w:r>
      <w:r>
        <w:rPr>
          <w:rFonts w:ascii="Arial" w:cs="Arial" w:eastAsia="Arial" w:hAnsi="Arial"/>
          <w:sz w:val="22"/>
          <w:szCs w:val="22"/>
        </w:rPr>
        <w:t xml:space="preserve">This Entity observes that the Courier Guy login removal is not an isolated event. It forms part of a documented pattern of systematic operational lockout:</w:t>
      </w:r>
    </w:p>
    <w:p>
      <w:pPr>
        <w:spacing w:after="200" w:line="276"/>
        <w:ind w:left="720"/>
      </w:pPr>
      <w:r>
        <w:rPr>
          <w:rFonts w:ascii="Arial" w:cs="Arial" w:eastAsia="Arial" w:hAnsi="Arial"/>
          <w:b/>
          <w:bCs/>
          <w:sz w:val="22"/>
          <w:szCs w:val="22"/>
        </w:rPr>
        <w:t xml:space="preserve">18.1 </w:t>
      </w:r>
      <w:r>
        <w:rPr>
          <w:rFonts w:ascii="Arial" w:cs="Arial" w:eastAsia="Arial" w:hAnsi="Arial"/>
          <w:sz w:val="22"/>
          <w:szCs w:val="22"/>
        </w:rPr>
        <w:t xml:space="preserve">Sage Pastel administrator — taken over unilaterally (July 2024), then subscription expired (July 2025);</w:t>
      </w:r>
    </w:p>
    <w:p>
      <w:pPr>
        <w:spacing w:after="200" w:line="276"/>
        <w:ind w:left="720"/>
      </w:pPr>
      <w:r>
        <w:rPr>
          <w:rFonts w:ascii="Arial" w:cs="Arial" w:eastAsia="Arial" w:hAnsi="Arial"/>
          <w:b/>
          <w:bCs/>
          <w:sz w:val="22"/>
          <w:szCs w:val="22"/>
        </w:rPr>
        <w:t xml:space="preserve">18.2 </w:t>
      </w:r>
      <w:r>
        <w:rPr>
          <w:rFonts w:ascii="Arial" w:cs="Arial" w:eastAsia="Arial" w:hAnsi="Arial"/>
          <w:sz w:val="22"/>
          <w:szCs w:val="22"/>
        </w:rPr>
        <w:t xml:space="preserve">Shopify platform — audit trails deleted (May 2025), platform decommissioned (admitted December 2025);</w:t>
      </w:r>
    </w:p>
    <w:p>
      <w:pPr>
        <w:spacing w:after="200" w:line="276"/>
        <w:ind w:left="720"/>
      </w:pPr>
      <w:r>
        <w:rPr>
          <w:rFonts w:ascii="Arial" w:cs="Arial" w:eastAsia="Arial" w:hAnsi="Arial"/>
          <w:b/>
          <w:bCs/>
          <w:sz w:val="22"/>
          <w:szCs w:val="22"/>
        </w:rPr>
        <w:t xml:space="preserve">18.3 </w:t>
      </w:r>
      <w:r>
        <w:rPr>
          <w:rFonts w:ascii="Arial" w:cs="Arial" w:eastAsia="Arial" w:hAnsi="Arial"/>
          <w:sz w:val="22"/>
          <w:szCs w:val="22"/>
        </w:rPr>
        <w:t xml:space="preserve">FNB company bank cards — cancelled without notice (June 2025);</w:t>
      </w:r>
    </w:p>
    <w:p>
      <w:pPr>
        <w:spacing w:after="200" w:line="276"/>
        <w:ind w:left="720"/>
      </w:pPr>
      <w:r>
        <w:rPr>
          <w:rFonts w:ascii="Arial" w:cs="Arial" w:eastAsia="Arial" w:hAnsi="Arial"/>
          <w:b/>
          <w:bCs/>
          <w:sz w:val="22"/>
          <w:szCs w:val="22"/>
        </w:rPr>
        <w:t xml:space="preserve">18.4 </w:t>
      </w:r>
      <w:r>
        <w:rPr>
          <w:rFonts w:ascii="Arial" w:cs="Arial" w:eastAsia="Arial" w:hAnsi="Arial"/>
          <w:sz w:val="22"/>
          <w:szCs w:val="22"/>
        </w:rPr>
        <w:t xml:space="preserve">Cloud IT systems — ordered removed (April 2025);</w:t>
      </w:r>
    </w:p>
    <w:p>
      <w:pPr>
        <w:spacing w:after="200" w:line="276"/>
        <w:ind w:left="720"/>
      </w:pPr>
      <w:r>
        <w:rPr>
          <w:rFonts w:ascii="Arial" w:cs="Arial" w:eastAsia="Arial" w:hAnsi="Arial"/>
          <w:b/>
          <w:bCs/>
          <w:sz w:val="22"/>
          <w:szCs w:val="22"/>
        </w:rPr>
        <w:t xml:space="preserve">18.5 </w:t>
      </w:r>
      <w:r>
        <w:rPr>
          <w:rFonts w:ascii="Arial" w:cs="Arial" w:eastAsia="Arial" w:hAnsi="Arial"/>
          <w:sz w:val="22"/>
          <w:szCs w:val="22"/>
        </w:rPr>
        <w:t xml:space="preserve">Entity domain (regima.zone) — replaced by third-party domain (regimaskin.co.za) controlled by Ms. Farrar's son's company (May–June 2025);</w:t>
      </w:r>
    </w:p>
    <w:p>
      <w:pPr>
        <w:spacing w:after="200" w:line="276"/>
        <w:ind w:left="720"/>
      </w:pPr>
      <w:r>
        <w:rPr>
          <w:rFonts w:ascii="Arial" w:cs="Arial" w:eastAsia="Arial" w:hAnsi="Arial"/>
          <w:b/>
          <w:bCs/>
          <w:sz w:val="22"/>
          <w:szCs w:val="22"/>
        </w:rPr>
        <w:t xml:space="preserve">18.6 </w:t>
      </w:r>
      <w:r>
        <w:rPr>
          <w:rFonts w:ascii="Arial" w:cs="Arial" w:eastAsia="Arial" w:hAnsi="Arial"/>
          <w:sz w:val="22"/>
          <w:szCs w:val="22"/>
        </w:rPr>
        <w:t xml:space="preserve">The Courier Guy portal — login credentials removed (February 2026).</w:t>
      </w:r>
    </w:p>
    <w:p>
      <w:pPr>
        <w:spacing w:after="200" w:line="276"/>
      </w:pPr>
      <w:r>
        <w:rPr>
          <w:rFonts w:ascii="Arial" w:cs="Arial" w:eastAsia="Arial" w:hAnsi="Arial"/>
          <w:b/>
          <w:bCs/>
          <w:sz w:val="22"/>
          <w:szCs w:val="22"/>
        </w:rPr>
        <w:t xml:space="preserve">19. </w:t>
      </w:r>
      <w:r>
        <w:rPr>
          <w:rFonts w:ascii="Arial" w:cs="Arial" w:eastAsia="Arial" w:hAnsi="Arial"/>
          <w:sz w:val="22"/>
          <w:szCs w:val="22"/>
        </w:rPr>
        <w:t xml:space="preserve">In each instance, the same pattern is followed: a director demonstrates operational capability or attempts to exercise directorial functions; the capability is destroyed; and the prior exercise of that capability is then characterised as "interference" warranting contempt.</w:t>
      </w:r>
    </w:p>
    <w:p>
      <w:pPr>
        <w:spacing w:after="200" w:line="276"/>
      </w:pPr>
      <w:r>
        <w:rPr>
          <w:rFonts w:ascii="Arial" w:cs="Arial" w:eastAsia="Arial" w:hAnsi="Arial"/>
          <w:b/>
          <w:bCs/>
          <w:sz w:val="22"/>
          <w:szCs w:val="22"/>
        </w:rPr>
        <w:t xml:space="preserve">20. </w:t>
      </w:r>
      <w:r>
        <w:rPr>
          <w:rFonts w:ascii="Arial" w:cs="Arial" w:eastAsia="Arial" w:hAnsi="Arial"/>
          <w:sz w:val="22"/>
          <w:szCs w:val="22"/>
        </w:rPr>
        <w:t xml:space="preserve">This Entity places all parties on notice that this pattern constitutes ongoing operational sabotage that is causing quantifiable harm to this Entity and its stakeholders. The cumulative effect is that all business operations have been concentrated under the de facto control of Ms. Rynette Farrar, operating under the Applicant's identity, through opaque systems from which this Entity's Board of Directors has been systematically excluded.</w:t>
      </w:r>
    </w:p>
    <w:p>
      <w:pPr>
        <w:pStyle w:val="Heading1"/>
        <w:spacing w:before="360" w:after="240"/>
      </w:pPr>
      <w:r>
        <w:rPr>
          <w:rFonts w:ascii="Arial" w:cs="Arial" w:eastAsia="Arial" w:hAnsi="Arial"/>
          <w:b/>
          <w:bCs/>
          <w:sz w:val="28"/>
          <w:szCs w:val="28"/>
        </w:rPr>
        <w:t xml:space="preserve">J. CONTEMPT — THE FOUR REQUIREMENTS</w:t>
      </w:r>
    </w:p>
    <w:p>
      <w:pPr>
        <w:spacing w:after="200" w:line="276"/>
      </w:pPr>
      <w:r>
        <w:rPr>
          <w:rFonts w:ascii="Arial" w:cs="Arial" w:eastAsia="Arial" w:hAnsi="Arial"/>
          <w:b/>
          <w:bCs/>
          <w:sz w:val="22"/>
          <w:szCs w:val="22"/>
        </w:rPr>
        <w:t xml:space="preserve">21. </w:t>
      </w:r>
      <w:r>
        <w:rPr>
          <w:rFonts w:ascii="Arial" w:cs="Arial" w:eastAsia="Arial" w:hAnsi="Arial"/>
          <w:sz w:val="22"/>
          <w:szCs w:val="22"/>
        </w:rPr>
        <w:t xml:space="preserve">Elliott Attorneys' letter suggests that the Second Respondent's conduct "may be deemed contempt" of the Court Order. This Entity places on record the four requirements for civil contempt:</w:t>
      </w:r>
    </w:p>
    <w:p>
      <w:pPr>
        <w:spacing w:after="200" w:line="276"/>
        <w:ind w:left="720"/>
      </w:pPr>
      <w:r>
        <w:rPr>
          <w:rFonts w:ascii="Arial" w:cs="Arial" w:eastAsia="Arial" w:hAnsi="Arial"/>
          <w:b/>
          <w:bCs/>
          <w:sz w:val="22"/>
          <w:szCs w:val="22"/>
        </w:rPr>
        <w:t xml:space="preserve">21.1 </w:t>
      </w:r>
      <w:r>
        <w:rPr>
          <w:rFonts w:ascii="Arial" w:cs="Arial" w:eastAsia="Arial" w:hAnsi="Arial"/>
          <w:sz w:val="22"/>
          <w:szCs w:val="22"/>
        </w:rPr>
        <w:t xml:space="preserve">The existence of a court order;</w:t>
      </w:r>
    </w:p>
    <w:p>
      <w:pPr>
        <w:spacing w:after="200" w:line="276"/>
        <w:ind w:left="720"/>
      </w:pPr>
      <w:r>
        <w:rPr>
          <w:rFonts w:ascii="Arial" w:cs="Arial" w:eastAsia="Arial" w:hAnsi="Arial"/>
          <w:b/>
          <w:bCs/>
          <w:sz w:val="22"/>
          <w:szCs w:val="22"/>
        </w:rPr>
        <w:t xml:space="preserve">21.2 </w:t>
      </w:r>
      <w:r>
        <w:rPr>
          <w:rFonts w:ascii="Arial" w:cs="Arial" w:eastAsia="Arial" w:hAnsi="Arial"/>
          <w:sz w:val="22"/>
          <w:szCs w:val="22"/>
        </w:rPr>
        <w:t xml:space="preserve">The contemnor must bear knowledge of the order;</w:t>
      </w:r>
    </w:p>
    <w:p>
      <w:pPr>
        <w:spacing w:after="200" w:line="276"/>
        <w:ind w:left="720"/>
      </w:pPr>
      <w:r>
        <w:rPr>
          <w:rFonts w:ascii="Arial" w:cs="Arial" w:eastAsia="Arial" w:hAnsi="Arial"/>
          <w:b/>
          <w:bCs/>
          <w:sz w:val="22"/>
          <w:szCs w:val="22"/>
        </w:rPr>
        <w:t xml:space="preserve">21.3 </w:t>
      </w:r>
      <w:r>
        <w:rPr>
          <w:rFonts w:ascii="Arial" w:cs="Arial" w:eastAsia="Arial" w:hAnsi="Arial"/>
          <w:sz w:val="22"/>
          <w:szCs w:val="22"/>
        </w:rPr>
        <w:t xml:space="preserve">There must be non-compliance with the order;</w:t>
      </w:r>
    </w:p>
    <w:p>
      <w:pPr>
        <w:spacing w:after="200" w:line="276"/>
        <w:ind w:left="720"/>
      </w:pPr>
      <w:r>
        <w:rPr>
          <w:rFonts w:ascii="Arial" w:cs="Arial" w:eastAsia="Arial" w:hAnsi="Arial"/>
          <w:b/>
          <w:bCs/>
          <w:sz w:val="22"/>
          <w:szCs w:val="22"/>
        </w:rPr>
        <w:t xml:space="preserve">21.4 </w:t>
      </w:r>
      <w:r>
        <w:rPr>
          <w:rFonts w:ascii="Arial" w:cs="Arial" w:eastAsia="Arial" w:hAnsi="Arial"/>
          <w:sz w:val="22"/>
          <w:szCs w:val="22"/>
        </w:rPr>
        <w:t xml:space="preserve">Such non-compliance must be wilful and/or mala fide.</w:t>
      </w:r>
    </w:p>
    <w:p>
      <w:pPr>
        <w:spacing w:after="200" w:line="276"/>
      </w:pPr>
      <w:r>
        <w:rPr>
          <w:rFonts w:ascii="Arial" w:cs="Arial" w:eastAsia="Arial" w:hAnsi="Arial"/>
          <w:b/>
          <w:bCs/>
          <w:sz w:val="22"/>
          <w:szCs w:val="22"/>
        </w:rPr>
        <w:t xml:space="preserve">22. </w:t>
      </w:r>
      <w:r>
        <w:rPr>
          <w:rFonts w:ascii="Arial" w:cs="Arial" w:eastAsia="Arial" w:hAnsi="Arial"/>
          <w:sz w:val="22"/>
          <w:szCs w:val="22"/>
        </w:rPr>
        <w:t xml:space="preserve">Requirement 21.3 is not met. The Court Order does not prohibit a director from accessing The Courier Guy shipment portal, from creating API integrations, or from testing fulfillment connectivity. Elliott Attorneys' letter of 13 February 2026 does not identify </w:t>
      </w:r>
      <w:r>
        <w:rPr>
          <w:rFonts w:ascii="Arial" w:cs="Arial" w:eastAsia="Arial" w:hAnsi="Arial"/>
          <w:b/>
          <w:bCs/>
          <w:sz w:val="22"/>
          <w:szCs w:val="22"/>
        </w:rPr>
        <w:t xml:space="preserve">any specific paragraph</w:t>
      </w:r>
      <w:r>
        <w:rPr>
          <w:rFonts w:ascii="Arial" w:cs="Arial" w:eastAsia="Arial" w:hAnsi="Arial"/>
          <w:sz w:val="22"/>
          <w:szCs w:val="22"/>
        </w:rPr>
        <w:t xml:space="preserve"> of the Court Order that was allegedly breached. The contempt threat is accordingly without merit.</w:t>
      </w:r>
    </w:p>
    <w:p>
      <w:pPr>
        <w:spacing w:after="200" w:line="276"/>
      </w:pPr>
      <w:r>
        <w:rPr>
          <w:rFonts w:ascii="Arial" w:cs="Arial" w:eastAsia="Arial" w:hAnsi="Arial"/>
          <w:b/>
          <w:bCs/>
          <w:sz w:val="22"/>
          <w:szCs w:val="22"/>
        </w:rPr>
        <w:t xml:space="preserve">23. </w:t>
      </w:r>
      <w:r>
        <w:rPr>
          <w:rFonts w:ascii="Arial" w:cs="Arial" w:eastAsia="Arial" w:hAnsi="Arial"/>
          <w:sz w:val="22"/>
          <w:szCs w:val="22"/>
        </w:rPr>
        <w:t xml:space="preserve">If the Applicant contends that any specific provision of the Court Order prohibits the Second Respondent from accessing this Entity's operational systems, this Entity demands that the specific provision be identified within </w:t>
      </w:r>
      <w:r>
        <w:rPr>
          <w:rFonts w:ascii="Arial" w:cs="Arial" w:eastAsia="Arial" w:hAnsi="Arial"/>
          <w:b/>
          <w:bCs/>
          <w:sz w:val="22"/>
          <w:szCs w:val="22"/>
        </w:rPr>
        <w:t xml:space="preserve">five (5) days</w:t>
      </w:r>
      <w:r>
        <w:rPr>
          <w:rFonts w:ascii="Arial" w:cs="Arial" w:eastAsia="Arial" w:hAnsi="Arial"/>
          <w:sz w:val="22"/>
          <w:szCs w:val="22"/>
        </w:rPr>
        <w:t xml:space="preserve"> of this notice. In the absence of such identification, this Entity will regard the contempt threat as a further instance of the use of the Court Order as an instrument of total corporate domination rather than the limited transactional control function for which it was granted.</w:t>
      </w:r>
    </w:p>
    <w:p>
      <w:pPr>
        <w:pStyle w:val="Heading1"/>
        <w:spacing w:before="360" w:after="240"/>
      </w:pPr>
      <w:r>
        <w:rPr>
          <w:rFonts w:ascii="Arial" w:cs="Arial" w:eastAsia="Arial" w:hAnsi="Arial"/>
          <w:b/>
          <w:bCs/>
          <w:sz w:val="28"/>
          <w:szCs w:val="28"/>
        </w:rPr>
        <w:t xml:space="preserve">K. DEMANDS AND RESERVATION OF RIGHTS</w:t>
      </w:r>
    </w:p>
    <w:p>
      <w:pPr>
        <w:spacing w:after="200" w:line="276"/>
      </w:pPr>
      <w:r>
        <w:rPr>
          <w:rFonts w:ascii="Arial" w:cs="Arial" w:eastAsia="Arial" w:hAnsi="Arial"/>
          <w:b/>
          <w:bCs/>
          <w:sz w:val="22"/>
          <w:szCs w:val="22"/>
        </w:rPr>
        <w:t xml:space="preserve">24. </w:t>
      </w:r>
      <w:r>
        <w:rPr>
          <w:rFonts w:ascii="Arial" w:cs="Arial" w:eastAsia="Arial" w:hAnsi="Arial"/>
          <w:sz w:val="22"/>
          <w:szCs w:val="22"/>
        </w:rPr>
        <w:t xml:space="preserve">This Entity accordingly demands:</w:t>
      </w:r>
    </w:p>
    <w:p>
      <w:pPr>
        <w:spacing w:after="200" w:line="276"/>
        <w:ind w:left="720"/>
      </w:pPr>
      <w:r>
        <w:rPr>
          <w:rFonts w:ascii="Arial" w:cs="Arial" w:eastAsia="Arial" w:hAnsi="Arial"/>
          <w:b/>
          <w:bCs/>
          <w:sz w:val="22"/>
          <w:szCs w:val="22"/>
        </w:rPr>
        <w:t xml:space="preserve">24.1 </w:t>
      </w:r>
      <w:r>
        <w:rPr>
          <w:rFonts w:ascii="Arial" w:cs="Arial" w:eastAsia="Arial" w:hAnsi="Arial"/>
          <w:sz w:val="22"/>
          <w:szCs w:val="22"/>
        </w:rPr>
        <w:t xml:space="preserve">The immediate restoration of the Second Respondent's login credentials to The Courier Guy portal, or confirmation that The Courier Guy will be instructed to restore same within </w:t>
      </w:r>
      <w:r>
        <w:rPr>
          <w:rFonts w:ascii="Arial" w:cs="Arial" w:eastAsia="Arial" w:hAnsi="Arial"/>
          <w:b/>
          <w:bCs/>
          <w:sz w:val="22"/>
          <w:szCs w:val="22"/>
        </w:rPr>
        <w:t xml:space="preserve">48 hours</w:t>
      </w:r>
      <w:r>
        <w:rPr>
          <w:rFonts w:ascii="Arial" w:cs="Arial" w:eastAsia="Arial" w:hAnsi="Arial"/>
          <w:sz w:val="22"/>
          <w:szCs w:val="22"/>
        </w:rPr>
        <w:t xml:space="preserve">;</w:t>
      </w:r>
    </w:p>
    <w:p>
      <w:pPr>
        <w:spacing w:after="200" w:line="276"/>
        <w:ind w:left="720"/>
      </w:pPr>
      <w:r>
        <w:rPr>
          <w:rFonts w:ascii="Arial" w:cs="Arial" w:eastAsia="Arial" w:hAnsi="Arial"/>
          <w:b/>
          <w:bCs/>
          <w:sz w:val="22"/>
          <w:szCs w:val="22"/>
        </w:rPr>
        <w:t xml:space="preserve">24.2 </w:t>
      </w:r>
      <w:r>
        <w:rPr>
          <w:rFonts w:ascii="Arial" w:cs="Arial" w:eastAsia="Arial" w:hAnsi="Arial"/>
          <w:sz w:val="22"/>
          <w:szCs w:val="22"/>
        </w:rPr>
        <w:t xml:space="preserve">Identification of the specific paragraph of the Court Order that allegedly prohibits a director from accessing this Entity's logistics systems, failing which the contempt allegation is to be withdrawn in writing;</w:t>
      </w:r>
    </w:p>
    <w:p>
      <w:pPr>
        <w:spacing w:after="200" w:line="276"/>
        <w:ind w:left="720"/>
      </w:pPr>
      <w:r>
        <w:rPr>
          <w:rFonts w:ascii="Arial" w:cs="Arial" w:eastAsia="Arial" w:hAnsi="Arial"/>
          <w:b/>
          <w:bCs/>
          <w:sz w:val="22"/>
          <w:szCs w:val="22"/>
        </w:rPr>
        <w:t xml:space="preserve">24.3 </w:t>
      </w:r>
      <w:r>
        <w:rPr>
          <w:rFonts w:ascii="Arial" w:cs="Arial" w:eastAsia="Arial" w:hAnsi="Arial"/>
          <w:sz w:val="22"/>
          <w:szCs w:val="22"/>
        </w:rPr>
        <w:t xml:space="preserve">Confirmation of who instructed The Courier Guy to share the Second Respondent's access data with the Applicant, and on what legal basis;</w:t>
      </w:r>
    </w:p>
    <w:p>
      <w:pPr>
        <w:spacing w:after="200" w:line="276"/>
        <w:ind w:left="720"/>
      </w:pPr>
      <w:r>
        <w:rPr>
          <w:rFonts w:ascii="Arial" w:cs="Arial" w:eastAsia="Arial" w:hAnsi="Arial"/>
          <w:b/>
          <w:bCs/>
          <w:sz w:val="22"/>
          <w:szCs w:val="22"/>
        </w:rPr>
        <w:t xml:space="preserve">24.4 </w:t>
      </w:r>
      <w:r>
        <w:rPr>
          <w:rFonts w:ascii="Arial" w:cs="Arial" w:eastAsia="Arial" w:hAnsi="Arial"/>
          <w:sz w:val="22"/>
          <w:szCs w:val="22"/>
        </w:rPr>
        <w:t xml:space="preserve">Withdrawal of the demand that the Second Respondent's communications with the entities be routed exclusively through attorneys;</w:t>
      </w:r>
    </w:p>
    <w:p>
      <w:pPr>
        <w:spacing w:after="200" w:line="276"/>
        <w:ind w:left="720"/>
      </w:pPr>
      <w:r>
        <w:rPr>
          <w:rFonts w:ascii="Arial" w:cs="Arial" w:eastAsia="Arial" w:hAnsi="Arial"/>
          <w:b/>
          <w:bCs/>
          <w:sz w:val="22"/>
          <w:szCs w:val="22"/>
        </w:rPr>
        <w:t xml:space="preserve">24.5 </w:t>
      </w:r>
      <w:r>
        <w:rPr>
          <w:rFonts w:ascii="Arial" w:cs="Arial" w:eastAsia="Arial" w:hAnsi="Arial"/>
          <w:sz w:val="22"/>
          <w:szCs w:val="22"/>
        </w:rPr>
        <w:t xml:space="preserve">The restoration of this Entity's Shopify platform to operational status, given that the Applicant has provided no lawful basis for its unilateral decommissioning and given that its removal has concentrated all revenue processing in an opaque, single-person-controlled system.</w:t>
      </w:r>
    </w:p>
    <w:p>
      <w:pPr>
        <w:spacing w:after="200" w:line="276"/>
      </w:pPr>
      <w:r>
        <w:rPr>
          <w:rFonts w:ascii="Arial" w:cs="Arial" w:eastAsia="Arial" w:hAnsi="Arial"/>
          <w:b/>
          <w:bCs/>
          <w:sz w:val="22"/>
          <w:szCs w:val="22"/>
        </w:rPr>
        <w:t xml:space="preserve">25. </w:t>
      </w:r>
      <w:r>
        <w:rPr>
          <w:rFonts w:ascii="Arial" w:cs="Arial" w:eastAsia="Arial" w:hAnsi="Arial"/>
          <w:sz w:val="22"/>
          <w:szCs w:val="22"/>
        </w:rPr>
        <w:t xml:space="preserve">This Entity reserves all rights to hold the Applicant and/or his agents, including but not limited to Ms. Rynette Farrar, personally liable for all damages flowing from the systematic destruction of this Entity's operational infrastructure, the concentration of revenue streams in opaque systems, and the ongoing exclusion of this Entity's directors from the governance and oversight functions required by law.</w:t>
      </w:r>
    </w:p>
    <w:p>
      <w:pPr>
        <w:spacing w:after="200" w:line="276"/>
      </w:pPr>
      <w:r>
        <w:rPr>
          <w:rFonts w:ascii="Arial" w:cs="Arial" w:eastAsia="Arial" w:hAnsi="Arial"/>
          <w:b/>
          <w:bCs/>
          <w:sz w:val="22"/>
          <w:szCs w:val="22"/>
        </w:rPr>
        <w:t xml:space="preserve">26. </w:t>
      </w:r>
      <w:r>
        <w:rPr>
          <w:rFonts w:ascii="Arial" w:cs="Arial" w:eastAsia="Arial" w:hAnsi="Arial"/>
          <w:sz w:val="22"/>
          <w:szCs w:val="22"/>
        </w:rPr>
        <w:t xml:space="preserve">This Entity reiterates, per RWD/NOTICE/001, that all facts stated herein are derived from this Entity's own preserved audit trails and documentary records. </w:t>
      </w:r>
      <w:r>
        <w:rPr>
          <w:rFonts w:ascii="Arial" w:cs="Arial" w:eastAsia="Arial" w:hAnsi="Arial"/>
          <w:b/>
          <w:bCs/>
          <w:sz w:val="22"/>
          <w:szCs w:val="22"/>
        </w:rPr>
        <w:t xml:space="preserve">No witness testimony is required to establish these facts.</w:t>
      </w:r>
      <w:r>
        <w:rPr>
          <w:rFonts w:ascii="Arial" w:cs="Arial" w:eastAsia="Arial" w:hAnsi="Arial"/>
          <w:sz w:val="22"/>
          <w:szCs w:val="22"/>
        </w:rPr>
        <w:t xml:space="preserve"> The documentary evidence speaks for itself, and this Entity will present it in such forum as may be required.</w:t>
      </w:r>
    </w:p>
    <w:p>
      <w:pPr>
        <w:spacing w:after="100"/>
      </w:pPr>
    </w:p>
    <w:p>
      <w:pPr>
        <w:spacing w:after="200" w:line="276"/>
      </w:pPr>
      <w:r>
        <w:rPr>
          <w:rFonts w:ascii="Arial" w:cs="Arial" w:eastAsia="Arial" w:hAnsi="Arial"/>
          <w:sz w:val="22"/>
          <w:szCs w:val="22"/>
        </w:rPr>
        <w:t xml:space="preserve">Issued on this day, 14 February 2026</w:t>
      </w:r>
    </w:p>
    <w:p>
      <w:pPr>
        <w:spacing w:after="100"/>
      </w:pPr>
    </w:p>
    <w:p>
      <w:pPr>
        <w:spacing w:after="200" w:line="276"/>
      </w:pPr>
      <w:r>
        <w:rPr>
          <w:rFonts w:ascii="Arial" w:cs="Arial" w:eastAsia="Arial" w:hAnsi="Arial"/>
          <w:b/>
          <w:bCs/>
          <w:sz w:val="22"/>
          <w:szCs w:val="22"/>
        </w:rPr>
        <w:t xml:space="preserve">For and on behalf of</w:t>
      </w:r>
    </w:p>
    <w:p>
      <w:pPr>
        <w:spacing w:after="200" w:line="276"/>
      </w:pPr>
      <w:r>
        <w:rPr>
          <w:rFonts w:ascii="Arial" w:cs="Arial" w:eastAsia="Arial" w:hAnsi="Arial"/>
          <w:b/>
          <w:bCs/>
          <w:sz w:val="22"/>
          <w:szCs w:val="22"/>
        </w:rPr>
        <w:t xml:space="preserve">REGIMA WORLDWIDE DISTRIBUTION (PTY) LTD</w:t>
      </w:r>
    </w:p>
    <w:p>
      <w:pPr>
        <w:spacing w:after="200" w:line="276"/>
      </w:pPr>
      <w:r>
        <w:rPr>
          <w:rFonts w:ascii="Arial" w:cs="Arial" w:eastAsia="Arial" w:hAnsi="Arial"/>
          <w:sz w:val="22"/>
          <w:szCs w:val="22"/>
        </w:rPr>
        <w:t xml:space="preserve">Registration Number: 2011/005722/07</w:t>
      </w:r>
    </w:p>
    <w:p>
      <w:pPr>
        <w:spacing w:after="200" w:line="276"/>
      </w:pPr>
      <w:r>
        <w:rPr>
          <w:rFonts w:ascii="Arial" w:cs="Arial" w:eastAsia="Arial" w:hAnsi="Arial"/>
          <w:sz w:val="22"/>
          <w:szCs w:val="22"/>
        </w:rPr>
        <w:t xml:space="preserve">Per: Resolution of the Board of Directors</w:t>
      </w:r>
    </w:p>
    <w:p>
      <w:pPr>
        <w:spacing w:after="100"/>
      </w:pP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none"/>
              <w:bottom w:val="none"/>
              <w:right w:val="none"/>
            </w:tcBorders>
            <w:tcMar>
              <w:top w:type="dxa" w:w="80"/>
              <w:left w:type="dxa" w:w="0"/>
              <w:bottom w:type="dxa" w:w="0"/>
              <w:right w:type="dxa" w:w="200"/>
            </w:tcMar>
          </w:tcPr>
          <w:p>
            <w:pPr>
              <w:spacing w:after="0"/>
            </w:pPr>
            <w:r>
              <w:rPr>
                <w:rFonts w:ascii="Arial" w:cs="Arial" w:eastAsia="Arial" w:hAnsi="Arial"/>
                <w:b/>
                <w:bCs/>
                <w:sz w:val="22"/>
                <w:szCs w:val="22"/>
              </w:rPr>
              <w:t xml:space="preserve">JACQUELINE FAUCITT</w:t>
            </w:r>
          </w:p>
          <w:p>
            <w:pPr>
              <w:spacing w:after="0"/>
            </w:pPr>
            <w:r>
              <w:rPr>
                <w:rFonts w:ascii="Arial" w:cs="Arial" w:eastAsia="Arial" w:hAnsi="Arial"/>
                <w:sz w:val="22"/>
                <w:szCs w:val="22"/>
              </w:rPr>
              <w:t xml:space="preserve">Director</w:t>
            </w:r>
          </w:p>
        </w:tc>
        <w:tc>
          <w:tcPr>
            <w:tcW w:type="dxa" w:w="4513"/>
            <w:tcBorders>
              <w:top w:val="single" w:color="000000" w:sz="1"/>
              <w:left w:val="none"/>
              <w:bottom w:val="none"/>
              <w:right w:val="none"/>
            </w:tcBorders>
            <w:tcMar>
              <w:top w:type="dxa" w:w="80"/>
              <w:left w:type="dxa" w:w="200"/>
              <w:bottom w:type="dxa" w:w="0"/>
              <w:right w:type="dxa" w:w="0"/>
            </w:tcMar>
          </w:tcPr>
          <w:p>
            <w:pPr>
              <w:spacing w:after="0"/>
            </w:pPr>
            <w:r>
              <w:rPr>
                <w:rFonts w:ascii="Arial" w:cs="Arial" w:eastAsia="Arial" w:hAnsi="Arial"/>
                <w:b/>
                <w:bCs/>
                <w:sz w:val="22"/>
                <w:szCs w:val="22"/>
              </w:rPr>
              <w:t xml:space="preserve">DANIEL JAMES FAUCITT</w:t>
            </w:r>
          </w:p>
          <w:p>
            <w:pPr>
              <w:spacing w:after="0"/>
            </w:pPr>
            <w:r>
              <w:rPr>
                <w:rFonts w:ascii="Arial" w:cs="Arial" w:eastAsia="Arial" w:hAnsi="Arial"/>
                <w:sz w:val="22"/>
                <w:szCs w:val="22"/>
              </w:rPr>
              <w:t xml:space="preserve">Director</w:t>
            </w:r>
          </w:p>
        </w:tc>
      </w:tr>
    </w:tbl>
    <w:p>
      <w:pPr>
        <w:spacing w:after="100"/>
      </w:pPr>
    </w:p>
    <w:p>
      <w:r>
        <w:br w:type="page"/>
      </w:r>
    </w:p>
    <w:p>
      <w:pPr>
        <w:pStyle w:val="Heading1"/>
        <w:spacing w:before="360" w:after="240"/>
      </w:pPr>
      <w:r>
        <w:rPr>
          <w:rFonts w:ascii="Arial" w:cs="Arial" w:eastAsia="Arial" w:hAnsi="Arial"/>
          <w:b/>
          <w:bCs/>
          <w:sz w:val="28"/>
          <w:szCs w:val="28"/>
        </w:rPr>
        <w:t xml:space="preserve">ANNEXURE INDEX</w:t>
      </w:r>
    </w:p>
    <w:p>
      <w:pPr>
        <w:spacing w:after="200" w:line="276"/>
      </w:pPr>
      <w:r>
        <w:rPr>
          <w:rFonts w:ascii="Arial" w:cs="Arial" w:eastAsia="Arial" w:hAnsi="Arial"/>
          <w:sz w:val="22"/>
          <w:szCs w:val="22"/>
        </w:rPr>
        <w:t xml:space="preserve">The following documentary evidence is annexed to this notice and forms an integral part hereof: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Annexure</w:t>
            </w:r>
          </w:p>
        </w:tc>
        <w:tc>
          <w:tcPr>
            <w:tcW w:type="dxa" w:w="4426"/>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RWD-002-A</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Sage Administrator Transfer Documents (July 2024): Transfer form, sworn affidavit of P.A. Faucitt, death certificate of K. Pretorius, CIPC registration documents showing three directors</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Sage Business Cloud / P.A. Faucitt submission</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RWD-002-B</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Elliott Attorneys letter dated 2 December 2025 (Ref: KRE/RVR/KF0019) — admits halting of "unnecessary expenses"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Attorney correspondence</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RWD-002-C</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Elliott Attorneys letter dated 12 December 2025 (Ref: KRE/RVR/KF0019) — admits Shopify decommissioning, characterises platform as "waste of cost"</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Attorney correspondence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RWD-002-D</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Elliott Attorneys letter dated 13 February 2026 (Ref: KRE/RVR/KF0019) — Courier Guy interference allegation, contempt threat, communication severance demand</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Attorney correspondence</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RWD-002-E</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The Courier Guy API integration logs confirming API key creation by Second Respondent, 11 February 2026</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The Courier Guy IT Department</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RWD-002-F</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Shopify-Courier Guy integration architecture documentation</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Entity operational records</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RWD-002-R</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Board Resolution authorising this notice</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Entity governance records</w:t>
            </w:r>
          </w:p>
        </w:tc>
      </w:tr>
    </w:tbl>
    <w:p>
      <w:pPr>
        <w:spacing w:after="100"/>
      </w:pPr>
    </w:p>
    <w:p>
      <w:pPr>
        <w:spacing w:after="200" w:line="276"/>
        <w:jc w:val="center"/>
      </w:pPr>
      <w:r>
        <w:rPr>
          <w:rFonts w:ascii="Arial" w:cs="Arial" w:eastAsia="Arial" w:hAnsi="Arial"/>
          <w:b/>
          <w:bCs/>
          <w:sz w:val="22"/>
          <w:szCs w:val="22"/>
        </w:rPr>
        <w:t xml:space="preserve">— END OF NOTICE —</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100"/>
      <w:jc w:val="center"/>
    </w:pPr>
    <w:r>
      <w:rPr>
        <w:rFonts w:ascii="Arial" w:cs="Arial" w:eastAsia="Arial" w:hAnsi="Arial"/>
        <w:color w:val="999999"/>
        <w:sz w:val="16"/>
        <w:szCs w:val="16"/>
      </w:rPr>
      <w:t xml:space="preserve">RWD/NOTICE/002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FOR ADDRESSEES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333333"/>
        <w:sz w:val="18"/>
        <w:szCs w:val="18"/>
      </w:rPr>
      <w:t xml:space="preserve">REGIMA WORLDWIDE DISTRIBUTION (PTY) LTD</w:t>
    </w:r>
  </w:p>
  <w:p>
    <w:pPr>
      <w:spacing w:after="60"/>
      <w:jc w:val="center"/>
    </w:pPr>
    <w:r>
      <w:rPr>
        <w:rFonts w:ascii="Arial" w:cs="Arial" w:eastAsia="Arial" w:hAnsi="Arial"/>
        <w:color w:val="666666"/>
        <w:sz w:val="16"/>
        <w:szCs w:val="16"/>
      </w:rPr>
      <w:t xml:space="preserve">Registration Number: 2011/005722/07</w:t>
    </w:r>
  </w:p>
  <w:p>
    <w:pPr>
      <w:pBdr>
        <w:bottom w:val="single" w:color="333333" w:sz="6" w:space="1"/>
      </w:pBdr>
      <w:spacing w:after="200"/>
      <w:jc w:val="center"/>
    </w:pPr>
    <w:r>
      <w:rPr>
        <w:rFonts w:ascii="Arial" w:cs="Arial" w:eastAsia="Arial" w:hAnsi="Arial"/>
        <w:i/>
        <w:iCs/>
        <w:color w:val="666666"/>
        <w:sz w:val="16"/>
        <w:szCs w:val="16"/>
      </w:rPr>
      <w:t xml:space="preserve">FORMAL NOTICE — Ref: RWD/NOTICE/002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28"/>
      <w:szCs w:val="28"/>
    </w:rPr>
  </w:style>
  <w:style w:type="paragraph" w:styleId="Heading2">
    <w:name w:val="Heading 2"/>
    <w:basedOn w:val="Normal"/>
    <w:next w:val="Normal"/>
    <w:qFormat/>
    <w:pPr>
      <w:spacing w:before="240" w:after="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2026-02-14T16:12:31.439Z</dcterms:created>
  <dcterms:modified xsi:type="dcterms:W3CDTF">2026-02-14T16:12:31.440Z</dcterms:modified>
</cp:coreProperties>
</file>

<file path=docProps/custom.xml><?xml version="1.0" encoding="utf-8"?>
<Properties xmlns="http://schemas.openxmlformats.org/officeDocument/2006/custom-properties" xmlns:vt="http://schemas.openxmlformats.org/officeDocument/2006/docPropsVTypes"/>
</file>