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pStyle w:val="MdHeading1"/>
      </w:pPr>
      <w:r>
        <w:t xml:space="preserve">Affidavit Analysis - Summary of Three-Part Classification</w:t>
      </w:r>
    </w:p>
    <w:p>
      <w:pPr>
        <w:pStyle w:val="MdParagraph"/>
      </w:pPr>
      <w:r>
        <w:rPr>
          <w:rStyle w:val="MdStrong"/>
          <w:b/>
          <w:bCs/>
        </w:rPr>
        <w:t xml:space="preserve">Case Number:</w:t>
      </w:r>
      <w:r>
        <w:t xml:space="preserve"> 2025-137857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Court:</w:t>
      </w:r>
      <w:r>
        <w:t xml:space="preserve"> High Court of South Africa, Gauteng Division, Pretoria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Prepared by:</w:t>
      </w:r>
      <w:r>
        <w:t xml:space="preserve"> Manus AI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Overview</w:t>
      </w:r>
    </w:p>
    <w:p>
      <w:pPr>
        <w:pStyle w:val="MdParagraph"/>
      </w:pPr>
      <w:r>
        <w:t xml:space="preserve">The comprehensive affidavit analysis has been split into </w:t>
      </w:r>
      <w:r>
        <w:rPr>
          <w:rStyle w:val="MdStrong"/>
          <w:b/>
          <w:bCs/>
        </w:rPr>
        <w:t xml:space="preserve">three separate documents</w:t>
      </w:r>
      <w:r>
        <w:t xml:space="preserve"> based on evidentiary strength: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1: Irrefutable Proof</w:t>
      </w:r>
      <w:r>
        <w:t xml:space="preserve"> - 25 points with documentary evidence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2: Strong Evidence</w:t>
      </w:r>
      <w:r>
        <w:t xml:space="preserve"> - 24 points with supporting analysis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3: Circumstantial/Inferred</w:t>
      </w:r>
      <w:r>
        <w:t xml:space="preserve"> - 26 points requiring caution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Total:</w:t>
      </w:r>
      <w:r>
        <w:t xml:space="preserve"> 75 points analyzed across all categories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Part 1: Irrefutable Proof (25 Points)</w:t>
      </w:r>
    </w:p>
    <w:p>
      <w:pPr>
        <w:pStyle w:val="MdParagraph"/>
      </w:pPr>
      <w:r>
        <w:rPr>
          <w:rStyle w:val="MdStrong"/>
          <w:b/>
          <w:bCs/>
        </w:rPr>
        <w:t xml:space="preserve">File:</w:t>
      </w:r>
      <w:r>
        <w:t xml:space="preserve"> AFFIDAVIT_ANALYSIS_1_IRREFUTABLE_PROOF.md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Evidentiary Standard:</w:t>
      </w:r>
      <w:r>
        <w:t xml:space="preserve"> Documentary evidence that cannot be disputed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Categories:</w:t>
      </w:r>
    </w:p>
    <w:p>
      <w:pPr>
        <w:pStyle w:val="MdListItem"/>
        <w:numPr>
          <w:ilvl w:val="0"/>
          <w:numId w:val="3"/>
        </w:numPr>
      </w:pPr>
      <w:r>
        <w:t xml:space="preserve">Trust Evidence (8 points)</w:t>
      </w:r>
    </w:p>
    <w:p>
      <w:pPr>
        <w:pStyle w:val="MdListItem"/>
        <w:numPr>
          <w:ilvl w:val="0"/>
          <w:numId w:val="3"/>
        </w:numPr>
      </w:pPr>
      <w:r>
        <w:t xml:space="preserve">UK Funding Evidence (3 points)</w:t>
      </w:r>
    </w:p>
    <w:p>
      <w:pPr>
        <w:pStyle w:val="MdListItem"/>
        <w:numPr>
          <w:ilvl w:val="0"/>
          <w:numId w:val="3"/>
        </w:numPr>
      </w:pPr>
      <w:r>
        <w:t xml:space="preserve">Corporate Structure (2 points)</w:t>
      </w:r>
    </w:p>
    <w:p>
      <w:pPr>
        <w:pStyle w:val="MdListItem"/>
        <w:numPr>
          <w:ilvl w:val="0"/>
          <w:numId w:val="3"/>
        </w:numPr>
      </w:pPr>
      <w:r>
        <w:t xml:space="preserve">Timeline Evidence (3 points)</w:t>
      </w:r>
    </w:p>
    <w:p>
      <w:pPr>
        <w:pStyle w:val="MdListItem"/>
        <w:numPr>
          <w:ilvl w:val="0"/>
          <w:numId w:val="3"/>
        </w:numPr>
      </w:pPr>
      <w:r>
        <w:t xml:space="preserve">Financial Evidence (3 points)</w:t>
      </w:r>
    </w:p>
    <w:p>
      <w:pPr>
        <w:pStyle w:val="MdListItem"/>
        <w:numPr>
          <w:ilvl w:val="0"/>
          <w:numId w:val="3"/>
        </w:numPr>
      </w:pPr>
      <w:r>
        <w:t xml:space="preserve">Communication Evidence (3 points)</w:t>
      </w:r>
    </w:p>
    <w:p>
      <w:pPr>
        <w:pStyle w:val="MdListItem"/>
        <w:numPr>
          <w:ilvl w:val="0"/>
          <w:numId w:val="3"/>
        </w:numPr>
      </w:pPr>
      <w:r>
        <w:t xml:space="preserve">Legal Status (3 points)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Key Points:</w:t>
      </w:r>
    </w:p>
    <w:p>
      <w:pPr>
        <w:pStyle w:val="MdListItem"/>
        <w:numPr>
          <w:ilvl w:val="0"/>
          <w:numId w:val="3"/>
        </w:numPr>
      </w:pPr>
      <w:r>
        <w:t xml:space="preserve">Trust created December 5, 2013 (Deed of Trust)</w:t>
      </w:r>
    </w:p>
    <w:p>
      <w:pPr>
        <w:pStyle w:val="MdListItem"/>
        <w:numPr>
          <w:ilvl w:val="0"/>
          <w:numId w:val="3"/>
        </w:numPr>
      </w:pPr>
      <w:r>
        <w:t xml:space="preserve">RWW and Villa Via transferred to trust June 18, 2014</w:t>
      </w:r>
    </w:p>
    <w:p>
      <w:pPr>
        <w:pStyle w:val="MdListItem"/>
        <w:numPr>
          <w:ilvl w:val="0"/>
          <w:numId w:val="3"/>
        </w:numPr>
      </w:pPr>
      <w:r>
        <w:t xml:space="preserve">Bantjies installed as trustee July 2024</w:t>
      </w:r>
    </w:p>
    <w:p>
      <w:pPr>
        <w:pStyle w:val="MdListItem"/>
        <w:numPr>
          <w:ilvl w:val="0"/>
          <w:numId w:val="3"/>
        </w:numPr>
      </w:pPr>
      <w:r>
        <w:t xml:space="preserve">"Main Trustee" signed August 11, 2025</w:t>
      </w:r>
    </w:p>
    <w:p>
      <w:pPr>
        <w:pStyle w:val="MdListItem"/>
        <w:numPr>
          <w:ilvl w:val="0"/>
          <w:numId w:val="3"/>
        </w:numPr>
      </w:pPr>
      <w:r>
        <w:t xml:space="preserve">Ex parte interdict filed August 14/19, 2025 (3-8 days later)</w:t>
      </w:r>
    </w:p>
    <w:p>
      <w:pPr>
        <w:pStyle w:val="MdListItem"/>
        <w:numPr>
          <w:ilvl w:val="0"/>
          <w:numId w:val="3"/>
        </w:numPr>
      </w:pPr>
      <w:r>
        <w:t xml:space="preserve">UK company paid $77,000+ for Shopify operations</w:t>
      </w:r>
    </w:p>
    <w:p>
      <w:pPr>
        <w:pStyle w:val="MdListItem"/>
        <w:numPr>
          <w:ilvl w:val="0"/>
          <w:numId w:val="3"/>
        </w:numPr>
      </w:pPr>
      <w:r>
        <w:t xml:space="preserve">Villa Via 86% profit margin documented</w:t>
      </w:r>
    </w:p>
    <w:p>
      <w:pPr>
        <w:pStyle w:val="MdListItem"/>
        <w:numPr>
          <w:ilvl w:val="0"/>
          <w:numId w:val="3"/>
        </w:numPr>
      </w:pPr>
      <w:r>
        <w:t xml:space="preserve">RWW 0 employees / all expenses documented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</w:t>
      </w:r>
      <w:r>
        <w:rPr>
          <w:rStyle w:val="MdStrong"/>
          <w:b/>
          <w:bCs/>
        </w:rPr>
        <w:t xml:space="preserve">CORE FOUNDATION</w:t>
      </w:r>
      <w:r>
        <w:t xml:space="preserve"> - State these facts with confidence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Part 2: Strong Evidence (24 Points)</w:t>
      </w:r>
    </w:p>
    <w:p>
      <w:pPr>
        <w:pStyle w:val="MdParagraph"/>
      </w:pPr>
      <w:r>
        <w:rPr>
          <w:rStyle w:val="MdStrong"/>
          <w:b/>
          <w:bCs/>
        </w:rPr>
        <w:t xml:space="preserve">File:</w:t>
      </w:r>
      <w:r>
        <w:t xml:space="preserve"> AFFIDAVIT_ANALYSIS_2_STRONG_EVIDENCE.md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Evidentiary Standard:</w:t>
      </w:r>
      <w:r>
        <w:t xml:space="preserve"> Supporting documents indicate facts but fall short of absolute proof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Categories:</w:t>
      </w:r>
    </w:p>
    <w:p>
      <w:pPr>
        <w:pStyle w:val="MdListItem"/>
        <w:numPr>
          <w:ilvl w:val="0"/>
          <w:numId w:val="3"/>
        </w:numPr>
      </w:pPr>
      <w:r>
        <w:t xml:space="preserve">Financial Fraud (4 points)</w:t>
      </w:r>
    </w:p>
    <w:p>
      <w:pPr>
        <w:pStyle w:val="MdListItem"/>
        <w:numPr>
          <w:ilvl w:val="0"/>
          <w:numId w:val="3"/>
        </w:numPr>
      </w:pPr>
      <w:r>
        <w:t xml:space="preserve">Coordination (3 points)</w:t>
      </w:r>
    </w:p>
    <w:p>
      <w:pPr>
        <w:pStyle w:val="MdListItem"/>
        <w:numPr>
          <w:ilvl w:val="0"/>
          <w:numId w:val="3"/>
        </w:numPr>
      </w:pPr>
      <w:r>
        <w:t xml:space="preserve">Peter's Role (3 points)</w:t>
      </w:r>
    </w:p>
    <w:p>
      <w:pPr>
        <w:pStyle w:val="MdListItem"/>
        <w:numPr>
          <w:ilvl w:val="0"/>
          <w:numId w:val="3"/>
        </w:numPr>
      </w:pPr>
      <w:r>
        <w:t xml:space="preserve">Evidence Destruction (3 points)</w:t>
      </w:r>
    </w:p>
    <w:p>
      <w:pPr>
        <w:pStyle w:val="MdListItem"/>
        <w:numPr>
          <w:ilvl w:val="0"/>
          <w:numId w:val="3"/>
        </w:numPr>
      </w:pPr>
      <w:r>
        <w:t xml:space="preserve">Motive (2 points)</w:t>
      </w:r>
    </w:p>
    <w:p>
      <w:pPr>
        <w:pStyle w:val="MdListItem"/>
        <w:numPr>
          <w:ilvl w:val="0"/>
          <w:numId w:val="3"/>
        </w:numPr>
      </w:pPr>
      <w:r>
        <w:t xml:space="preserve">Victim Status (3 points)</w:t>
      </w:r>
    </w:p>
    <w:p>
      <w:pPr>
        <w:pStyle w:val="MdListItem"/>
        <w:numPr>
          <w:ilvl w:val="0"/>
          <w:numId w:val="3"/>
        </w:numPr>
      </w:pPr>
      <w:r>
        <w:t xml:space="preserve">Trust Manipulation (2 points)</w:t>
      </w:r>
    </w:p>
    <w:p>
      <w:pPr>
        <w:pStyle w:val="MdListItem"/>
        <w:numPr>
          <w:ilvl w:val="0"/>
          <w:numId w:val="3"/>
        </w:numPr>
      </w:pPr>
      <w:r>
        <w:t xml:space="preserve">UK Jurisdiction (2 points)</w:t>
      </w:r>
    </w:p>
    <w:p>
      <w:pPr>
        <w:pStyle w:val="MdListItem"/>
        <w:numPr>
          <w:ilvl w:val="0"/>
          <w:numId w:val="3"/>
        </w:numPr>
      </w:pPr>
      <w:r>
        <w:t xml:space="preserve">Criminal Liability (2 points)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Key Points:</w:t>
      </w:r>
    </w:p>
    <w:p>
      <w:pPr>
        <w:pStyle w:val="MdListItem"/>
        <w:numPr>
          <w:ilvl w:val="0"/>
          <w:numId w:val="3"/>
        </w:numPr>
      </w:pPr>
      <w:r>
        <w:t xml:space="preserve">Villa Via extraction amount (ZAR 4M+ estimated)</w:t>
      </w:r>
    </w:p>
    <w:p>
      <w:pPr>
        <w:pStyle w:val="MdListItem"/>
        <w:numPr>
          <w:ilvl w:val="0"/>
          <w:numId w:val="3"/>
        </w:numPr>
      </w:pPr>
      <w:r>
        <w:t xml:space="preserve">Transfer pricing fraud (SLG to RST pattern)</w:t>
      </w:r>
    </w:p>
    <w:p>
      <w:pPr>
        <w:pStyle w:val="MdListItem"/>
        <w:numPr>
          <w:ilvl w:val="0"/>
          <w:numId w:val="3"/>
        </w:numPr>
      </w:pPr>
      <w:r>
        <w:t xml:space="preserve">Peter and Rynette coordination (agency proven, coordination inferred)</w:t>
      </w:r>
    </w:p>
    <w:p>
      <w:pPr>
        <w:pStyle w:val="MdListItem"/>
        <w:numPr>
          <w:ilvl w:val="0"/>
          <w:numId w:val="3"/>
        </w:numPr>
      </w:pPr>
      <w:r>
        <w:t xml:space="preserve">Premeditated attack on Jax (timeline strongly indicates)</w:t>
      </w:r>
    </w:p>
    <w:p>
      <w:pPr>
        <w:pStyle w:val="MdListItem"/>
        <w:numPr>
          <w:ilvl w:val="0"/>
          <w:numId w:val="3"/>
        </w:numPr>
      </w:pPr>
      <w:r>
        <w:t xml:space="preserve">Consciousness of guilt (evidence destruction pattern)</w:t>
      </w:r>
    </w:p>
    <w:p>
      <w:pPr>
        <w:pStyle w:val="MdListItem"/>
        <w:numPr>
          <w:ilvl w:val="0"/>
          <w:numId w:val="3"/>
        </w:numPr>
      </w:pPr>
      <w:r>
        <w:t xml:space="preserve">Jax as fraud detector (confrontation proven, status strongly indicated)</w:t>
      </w:r>
    </w:p>
    <w:p>
      <w:pPr>
        <w:pStyle w:val="MdListItem"/>
        <w:numPr>
          <w:ilvl w:val="0"/>
          <w:numId w:val="3"/>
        </w:numPr>
      </w:pPr>
      <w:r>
        <w:t xml:space="preserve">"Main Trustee" unnecessary (October 2024 powers proven)</w:t>
      </w:r>
    </w:p>
    <w:p>
      <w:pPr>
        <w:pStyle w:val="MdListItem"/>
        <w:numPr>
          <w:ilvl w:val="0"/>
          <w:numId w:val="3"/>
        </w:numPr>
      </w:pPr>
      <w:r>
        <w:t xml:space="preserve">Trustee fraud (civil breach proven, criminal requires prosecution)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</w:t>
      </w:r>
      <w:r>
        <w:rPr>
          <w:rStyle w:val="MdStrong"/>
          <w:b/>
          <w:bCs/>
        </w:rPr>
        <w:t xml:space="preserve">INCLUDE WITH QUALIFICATION</w:t>
      </w:r>
      <w:r>
        <w:t xml:space="preserve"> - Use language like "analysis indicates," "evidence suggests," "pattern demonstrates"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Part 3: Circumstantial/Inferred (26 Points)</w:t>
      </w:r>
    </w:p>
    <w:p>
      <w:pPr>
        <w:pStyle w:val="MdParagraph"/>
      </w:pPr>
      <w:r>
        <w:rPr>
          <w:rStyle w:val="MdStrong"/>
          <w:b/>
          <w:bCs/>
        </w:rPr>
        <w:t xml:space="preserve">File:</w:t>
      </w:r>
      <w:r>
        <w:t xml:space="preserve"> AFFIDAVIT_ANALYSIS_3_CIRCUMSTANTIAL_INFERRED.md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Evidentiary Standard:</w:t>
      </w:r>
      <w:r>
        <w:t xml:space="preserve"> Logical inferences and probable scenarios without direct proof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Categories:</w:t>
      </w:r>
    </w:p>
    <w:p>
      <w:pPr>
        <w:pStyle w:val="MdListItem"/>
        <w:numPr>
          <w:ilvl w:val="0"/>
          <w:numId w:val="3"/>
        </w:numPr>
      </w:pPr>
      <w:r>
        <w:t xml:space="preserve">Subjective Intent (4 points)</w:t>
      </w:r>
    </w:p>
    <w:p>
      <w:pPr>
        <w:pStyle w:val="MdListItem"/>
        <w:numPr>
          <w:ilvl w:val="0"/>
          <w:numId w:val="3"/>
        </w:numPr>
      </w:pPr>
      <w:r>
        <w:t xml:space="preserve">Fraud Mechanisms (4 points)</w:t>
      </w:r>
    </w:p>
    <w:p>
      <w:pPr>
        <w:pStyle w:val="MdListItem"/>
        <w:numPr>
          <w:ilvl w:val="0"/>
          <w:numId w:val="3"/>
        </w:numPr>
      </w:pPr>
      <w:r>
        <w:t xml:space="preserve">Relationships (3 points)</w:t>
      </w:r>
    </w:p>
    <w:p>
      <w:pPr>
        <w:pStyle w:val="MdListItem"/>
        <w:numPr>
          <w:ilvl w:val="0"/>
          <w:numId w:val="3"/>
        </w:numPr>
      </w:pPr>
      <w:r>
        <w:t xml:space="preserve">Timeline Speculation (3 points)</w:t>
      </w:r>
    </w:p>
    <w:p>
      <w:pPr>
        <w:pStyle w:val="MdListItem"/>
        <w:numPr>
          <w:ilvl w:val="0"/>
          <w:numId w:val="3"/>
        </w:numPr>
      </w:pPr>
      <w:r>
        <w:t xml:space="preserve">Kayla's Death (3 points)</w:t>
      </w:r>
    </w:p>
    <w:p>
      <w:pPr>
        <w:pStyle w:val="MdListItem"/>
        <w:numPr>
          <w:ilvl w:val="0"/>
          <w:numId w:val="3"/>
        </w:numPr>
      </w:pPr>
      <w:r>
        <w:t xml:space="preserve">Conspiracy Theories (3 points)</w:t>
      </w:r>
    </w:p>
    <w:p>
      <w:pPr>
        <w:pStyle w:val="MdListItem"/>
        <w:numPr>
          <w:ilvl w:val="0"/>
          <w:numId w:val="3"/>
        </w:numPr>
      </w:pPr>
      <w:r>
        <w:t xml:space="preserve">Legal Characterizations (3 points)</w:t>
      </w:r>
    </w:p>
    <w:p>
      <w:pPr>
        <w:pStyle w:val="MdListItem"/>
        <w:numPr>
          <w:ilvl w:val="0"/>
          <w:numId w:val="3"/>
        </w:numPr>
      </w:pPr>
      <w:r>
        <w:t xml:space="preserve">Damages (3 points)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Key Points:</w:t>
      </w:r>
    </w:p>
    <w:p>
      <w:pPr>
        <w:pStyle w:val="MdListItem"/>
        <w:numPr>
          <w:ilvl w:val="0"/>
          <w:numId w:val="3"/>
        </w:numPr>
      </w:pPr>
      <w:r>
        <w:t xml:space="preserve">Peter's actual cognitive state (multiple explanations, unprovable)</w:t>
      </w:r>
    </w:p>
    <w:p>
      <w:pPr>
        <w:pStyle w:val="MdListItem"/>
        <w:numPr>
          <w:ilvl w:val="0"/>
          <w:numId w:val="3"/>
        </w:numPr>
      </w:pPr>
      <w:r>
        <w:t xml:space="preserve">Exact Villa Via extraction amount (margin proven, exact total unknown)</w:t>
      </w:r>
    </w:p>
    <w:p>
      <w:pPr>
        <w:pStyle w:val="MdListItem"/>
        <w:numPr>
          <w:ilvl w:val="0"/>
          <w:numId w:val="3"/>
        </w:numPr>
      </w:pPr>
      <w:r>
        <w:t xml:space="preserve">Peter/Rynette affair (alleged, not proven, not material)</w:t>
      </w:r>
    </w:p>
    <w:p>
      <w:pPr>
        <w:pStyle w:val="MdListItem"/>
        <w:numPr>
          <w:ilvl w:val="0"/>
          <w:numId w:val="3"/>
        </w:numPr>
      </w:pPr>
      <w:r>
        <w:t xml:space="preserve">When Peter decided to attack (actions documented, timing unknown)</w:t>
      </w:r>
    </w:p>
    <w:p>
      <w:pPr>
        <w:pStyle w:val="MdListItem"/>
        <w:numPr>
          <w:ilvl w:val="0"/>
          <w:numId w:val="3"/>
        </w:numPr>
      </w:pPr>
      <w:r>
        <w:t xml:space="preserve">Kayla's death as "murder" (repository mention, no evidence)</w:t>
      </w:r>
    </w:p>
    <w:p>
      <w:pPr>
        <w:pStyle w:val="MdListItem"/>
        <w:numPr>
          <w:ilvl w:val="0"/>
          <w:numId w:val="3"/>
        </w:numPr>
      </w:pPr>
      <w:r>
        <w:t xml:space="preserve">Criminal conspiracy (coordination proven, criminal agreement requires prosecution)</w:t>
      </w:r>
    </w:p>
    <w:p>
      <w:pPr>
        <w:pStyle w:val="MdListItem"/>
        <w:numPr>
          <w:ilvl w:val="0"/>
          <w:numId w:val="3"/>
        </w:numPr>
      </w:pPr>
      <w:r>
        <w:t xml:space="preserve">Total damages amount (components documented, total requires forensic analysis)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Affidavit Use:</w:t>
      </w:r>
      <w:r>
        <w:t xml:space="preserve"> </w:t>
      </w:r>
      <w:r>
        <w:rPr>
          <w:rStyle w:val="MdStrong"/>
          <w:b/>
          <w:bCs/>
        </w:rPr>
        <w:t xml:space="preserve">USE CAUTIOUSLY OR AVOID</w:t>
      </w:r>
      <w:r>
        <w:t xml:space="preserve"> - Reserve for strategy, investigation targets, or oral argument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Recommended Affidavit Strategy</w:t>
      </w:r>
    </w:p>
    <w:p>
      <w:pPr>
        <w:pStyle w:val="Heading3"/>
        <w:pStyle w:val="MdHeading3"/>
      </w:pPr>
      <w:r>
        <w:t xml:space="preserve">Foundation: Part 1 (Irrefutable Proof)</w:t>
      </w:r>
    </w:p>
    <w:p>
      <w:pPr>
        <w:pStyle w:val="MdParagraph"/>
      </w:pPr>
      <w:r>
        <w:rPr>
          <w:rStyle w:val="MdStrong"/>
          <w:b/>
          <w:bCs/>
        </w:rPr>
        <w:t xml:space="preserve">Build the affidavit core on these 25 points: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Trust Background Section</w:t>
      </w:r>
    </w:p>
    <w:p>
      <w:pPr>
        <w:pStyle w:val="MdListItem"/>
        <w:numPr>
          <w:ilvl w:val="1"/>
          <w:numId w:val="3"/>
        </w:numPr>
      </w:pPr>
      <w:r>
        <w:t xml:space="preserve">Trust creation, asset transfers, trustee evolution</w:t>
      </w:r>
    </w:p>
    <w:p>
      <w:pPr>
        <w:pStyle w:val="MdListItem"/>
        <w:numPr>
          <w:ilvl w:val="1"/>
          <w:numId w:val="3"/>
        </w:numPr>
      </w:pPr>
      <w:r>
        <w:t xml:space="preserve">Fraud in inducement timeline (Aug 11 → Aug 14/19)</w:t>
      </w:r>
    </w:p>
    <w:p>
      <w:pPr>
        <w:pStyle w:val="MdListItem"/>
        <w:numPr>
          <w:ilvl w:val="1"/>
          <w:numId w:val="3"/>
        </w:numPr>
      </w:pPr>
      <w:r>
        <w:t xml:space="preserve">Attach: Deed, Memoranda, Emails, Letters of Authority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UK Funding Section</w:t>
      </w:r>
    </w:p>
    <w:p>
      <w:pPr>
        <w:pStyle w:val="MdListItem"/>
        <w:numPr>
          <w:ilvl w:val="1"/>
          <w:numId w:val="3"/>
        </w:numPr>
      </w:pPr>
      <w:r>
        <w:t xml:space="preserve">UK company ownership and $77,000+ funding</w:t>
      </w:r>
    </w:p>
    <w:p>
      <w:pPr>
        <w:pStyle w:val="MdListItem"/>
        <w:numPr>
          <w:ilvl w:val="1"/>
          <w:numId w:val="3"/>
        </w:numPr>
      </w:pPr>
      <w:r>
        <w:t xml:space="preserve">Dan/Kayla as legitimate operators from 2017</w:t>
      </w:r>
    </w:p>
    <w:p>
      <w:pPr>
        <w:pStyle w:val="MdListItem"/>
        <w:numPr>
          <w:ilvl w:val="1"/>
          <w:numId w:val="3"/>
        </w:numPr>
      </w:pPr>
      <w:r>
        <w:t xml:space="preserve">Attach: Shopify invoices, bank statements, July 26 email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Corporate Structure Section</w:t>
      </w:r>
    </w:p>
    <w:p>
      <w:pPr>
        <w:pStyle w:val="MdListItem"/>
        <w:numPr>
          <w:ilvl w:val="1"/>
          <w:numId w:val="3"/>
        </w:numPr>
      </w:pPr>
      <w:r>
        <w:t xml:space="preserve">Four distinct ownership structures (NOT A GROUP)</w:t>
      </w:r>
    </w:p>
    <w:p>
      <w:pPr>
        <w:pStyle w:val="MdListItem"/>
        <w:numPr>
          <w:ilvl w:val="1"/>
          <w:numId w:val="3"/>
        </w:numPr>
      </w:pPr>
      <w:r>
        <w:t xml:space="preserve">Sole ownership vs. partnerships</w:t>
      </w:r>
    </w:p>
    <w:p>
      <w:pPr>
        <w:pStyle w:val="MdListItem"/>
        <w:numPr>
          <w:ilvl w:val="1"/>
          <w:numId w:val="3"/>
        </w:numPr>
      </w:pPr>
      <w:r>
        <w:t xml:space="preserve">Attach: CIPC records, director searches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Timeline Section</w:t>
      </w:r>
    </w:p>
    <w:p>
      <w:pPr>
        <w:pStyle w:val="MdListItem"/>
        <w:numPr>
          <w:ilvl w:val="1"/>
          <w:numId w:val="3"/>
        </w:numPr>
      </w:pPr>
      <w:r>
        <w:t xml:space="preserve">May 15 confrontation, May 22 destruction, May 29 appropriation</w:t>
      </w:r>
    </w:p>
    <w:p>
      <w:pPr>
        <w:pStyle w:val="MdListItem"/>
        <w:numPr>
          <w:ilvl w:val="1"/>
          <w:numId w:val="3"/>
        </w:numPr>
      </w:pPr>
      <w:r>
        <w:t xml:space="preserve">Jax as fraud detector</w:t>
      </w:r>
    </w:p>
    <w:p>
      <w:pPr>
        <w:pStyle w:val="MdListItem"/>
        <w:numPr>
          <w:ilvl w:val="1"/>
          <w:numId w:val="3"/>
        </w:numPr>
      </w:pPr>
      <w:r>
        <w:t xml:space="preserve">Attach: Correspondence, deletion logs, transfer records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Financial Evidence Section</w:t>
      </w:r>
    </w:p>
    <w:p>
      <w:pPr>
        <w:pStyle w:val="MdListItem"/>
        <w:numPr>
          <w:ilvl w:val="1"/>
          <w:numId w:val="3"/>
        </w:numPr>
      </w:pPr>
      <w:r>
        <w:t xml:space="preserve">Villa Via 86% margin, SLG R5.4M loss, RWW expense structure</w:t>
      </w:r>
    </w:p>
    <w:p>
      <w:pPr>
        <w:pStyle w:val="MdListItem"/>
        <w:numPr>
          <w:ilvl w:val="1"/>
          <w:numId w:val="3"/>
        </w:numPr>
      </w:pPr>
      <w:r>
        <w:t xml:space="preserve">Attach: Financial statements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Legal Conclusions Section</w:t>
      </w:r>
    </w:p>
    <w:p>
      <w:pPr>
        <w:pStyle w:val="MdListItem"/>
        <w:numPr>
          <w:ilvl w:val="1"/>
          <w:numId w:val="3"/>
        </w:numPr>
      </w:pPr>
      <w:r>
        <w:t xml:space="preserve">Trust property status, fiduciary duties, fraud in inducement</w:t>
      </w:r>
    </w:p>
    <w:p>
      <w:pPr>
        <w:pStyle w:val="MdListItem"/>
        <w:numPr>
          <w:ilvl w:val="1"/>
          <w:numId w:val="3"/>
        </w:numPr>
      </w:pPr>
      <w:r>
        <w:t xml:space="preserve">Legal effects of documented facts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Strengthening: Part 2 (Strong Evidence)</w:t>
      </w:r>
    </w:p>
    <w:p>
      <w:pPr>
        <w:pStyle w:val="MdParagraph"/>
      </w:pPr>
      <w:r>
        <w:rPr>
          <w:rStyle w:val="MdStrong"/>
          <w:b/>
          <w:bCs/>
        </w:rPr>
        <w:t xml:space="preserve">Add these 24 points with appropriate qualification: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Financial Fraud Analysis</w:t>
      </w:r>
    </w:p>
    <w:p>
      <w:pPr>
        <w:pStyle w:val="MdListItem"/>
        <w:numPr>
          <w:ilvl w:val="1"/>
          <w:numId w:val="3"/>
        </w:numPr>
      </w:pPr>
      <w:r>
        <w:t xml:space="preserve">"Analysis of Villa Via's documented 86% margin indicates extraction of at least ZAR 4M+"</w:t>
      </w:r>
    </w:p>
    <w:p>
      <w:pPr>
        <w:pStyle w:val="MdListItem"/>
        <w:numPr>
          <w:ilvl w:val="1"/>
          <w:numId w:val="3"/>
        </w:numPr>
      </w:pPr>
      <w:r>
        <w:t xml:space="preserve">"Financial patterns show systematic transfer pricing manipulation"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Coordination Evidence</w:t>
      </w:r>
    </w:p>
    <w:p>
      <w:pPr>
        <w:pStyle w:val="MdListItem"/>
        <w:numPr>
          <w:ilvl w:val="1"/>
          <w:numId w:val="3"/>
        </w:numPr>
      </w:pPr>
      <w:r>
        <w:t xml:space="preserve">"Rynette's control of Peter's email and signing 'pp Peter' indicates coordinated fraud"</w:t>
      </w:r>
    </w:p>
    <w:p>
      <w:pPr>
        <w:pStyle w:val="MdListItem"/>
        <w:numPr>
          <w:ilvl w:val="1"/>
          <w:numId w:val="3"/>
        </w:numPr>
      </w:pPr>
      <w:r>
        <w:t xml:space="preserve">"The 3-8 day gap strongly suggests premeditated attack"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Evidence Destruction Analysis</w:t>
      </w:r>
    </w:p>
    <w:p>
      <w:pPr>
        <w:pStyle w:val="MdListItem"/>
        <w:numPr>
          <w:ilvl w:val="1"/>
          <w:numId w:val="3"/>
        </w:numPr>
      </w:pPr>
      <w:r>
        <w:t xml:space="preserve">"The systematic destruction 7 days after confrontation demonstrates consciousness of guilt"</w:t>
      </w:r>
    </w:p>
    <w:p>
      <w:pPr>
        <w:pStyle w:val="MdListItem"/>
        <w:numPr>
          <w:ilvl w:val="1"/>
          <w:numId w:val="3"/>
        </w:numPr>
      </w:pPr>
      <w:r>
        <w:t xml:space="preserve">"The pattern suggests ex parte interdict was final step in cover-up sequence"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Victim Status</w:t>
      </w:r>
    </w:p>
    <w:p>
      <w:pPr>
        <w:pStyle w:val="MdListItem"/>
        <w:numPr>
          <w:ilvl w:val="1"/>
          <w:numId w:val="3"/>
        </w:numPr>
      </w:pPr>
      <w:r>
        <w:t xml:space="preserve">"Jax's confrontation followed by evidence destruction establishes her as fraud detector"</w:t>
      </w:r>
    </w:p>
    <w:p>
      <w:pPr>
        <w:pStyle w:val="MdListItem"/>
        <w:numPr>
          <w:ilvl w:val="1"/>
          <w:numId w:val="3"/>
        </w:numPr>
      </w:pPr>
      <w:r>
        <w:t xml:space="preserve">"RWW's expense structure indicates Dan is victim of systematic dumping"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Trust Manipulation</w:t>
      </w:r>
    </w:p>
    <w:p>
      <w:pPr>
        <w:pStyle w:val="MdListItem"/>
        <w:numPr>
          <w:ilvl w:val="1"/>
          <w:numId w:val="3"/>
        </w:numPr>
      </w:pPr>
      <w:r>
        <w:t xml:space="preserve">"October 2024 documents demonstrate 'Main Trustee' appointment was unnecessary"</w:t>
      </w:r>
    </w:p>
    <w:p>
      <w:pPr>
        <w:pStyle w:val="MdListItem"/>
        <w:numPr>
          <w:ilvl w:val="1"/>
          <w:numId w:val="3"/>
        </w:numPr>
      </w:pPr>
      <w:r>
        <w:t xml:space="preserve">"Peter's actions represent founder's betrayal of his own creation"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Caution: Part 3 (Circumstantial/Inferred)</w:t>
      </w:r>
    </w:p>
    <w:p>
      <w:pPr>
        <w:pStyle w:val="MdParagraph"/>
      </w:pPr>
      <w:r>
        <w:rPr>
          <w:rStyle w:val="MdStrong"/>
          <w:b/>
          <w:bCs/>
        </w:rPr>
        <w:t xml:space="preserve">Use selectively or avoid: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AVOID ENTIRELY:</w:t>
      </w:r>
    </w:p>
    <w:p>
      <w:pPr>
        <w:pStyle w:val="MdListItem"/>
        <w:numPr>
          <w:ilvl w:val="0"/>
          <w:numId w:val="3"/>
        </w:numPr>
      </w:pPr>
      <w:r>
        <w:t xml:space="preserve">Kayla's death as "murder"</w:t>
      </w:r>
    </w:p>
    <w:p>
      <w:pPr>
        <w:pStyle w:val="MdListItem"/>
        <w:numPr>
          <w:ilvl w:val="0"/>
          <w:numId w:val="3"/>
        </w:numPr>
      </w:pPr>
      <w:r>
        <w:t xml:space="preserve">R1.8M stolen</w:t>
      </w:r>
    </w:p>
    <w:p>
      <w:pPr>
        <w:pStyle w:val="MdListItem"/>
        <w:numPr>
          <w:ilvl w:val="0"/>
          <w:numId w:val="3"/>
        </w:numPr>
      </w:pPr>
      <w:r>
        <w:t xml:space="preserve">Money laundering</w:t>
      </w:r>
    </w:p>
    <w:p>
      <w:pPr>
        <w:pStyle w:val="MdListItem"/>
        <w:numPr>
          <w:ilvl w:val="0"/>
          <w:numId w:val="3"/>
        </w:numPr>
      </w:pPr>
      <w:r>
        <w:t xml:space="preserve">Racketeering</w:t>
      </w:r>
    </w:p>
    <w:p>
      <w:pPr>
        <w:pStyle w:val="MdListItem"/>
        <w:numPr>
          <w:ilvl w:val="0"/>
          <w:numId w:val="3"/>
        </w:numPr>
      </w:pPr>
      <w:r>
        <w:t xml:space="preserve">Peter/Rynette affair</w:t>
      </w:r>
    </w:p>
    <w:p>
      <w:pPr>
        <w:pStyle w:val="MdListItem"/>
        <w:numPr>
          <w:ilvl w:val="0"/>
          <w:numId w:val="3"/>
        </w:numPr>
      </w:pPr>
      <w:r>
        <w:t xml:space="preserve">Pre-planned scheme from 2013</w:t>
      </w:r>
    </w:p>
    <w:p>
      <w:pPr>
        <w:pStyle w:val="MdListItem"/>
        <w:numPr>
          <w:ilvl w:val="0"/>
          <w:numId w:val="3"/>
        </w:numPr>
      </w:pPr>
      <w:r>
        <w:t xml:space="preserve">Total damages amount (without forensic analysis)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USE WITH HEAVY QUALIFICATION (if at all):</w:t>
      </w:r>
    </w:p>
    <w:p>
      <w:pPr>
        <w:pStyle w:val="MdListItem"/>
        <w:numPr>
          <w:ilvl w:val="0"/>
          <w:numId w:val="3"/>
        </w:numPr>
      </w:pPr>
      <w:r>
        <w:t xml:space="preserve">Peter's cognitive state (note contradiction only)</w:t>
      </w:r>
    </w:p>
    <w:p>
      <w:pPr>
        <w:pStyle w:val="MdListItem"/>
        <w:numPr>
          <w:ilvl w:val="0"/>
          <w:numId w:val="3"/>
        </w:numPr>
      </w:pPr>
      <w:r>
        <w:t xml:space="preserve">Coordination vs. manipulation (state agency and benefit)</w:t>
      </w:r>
    </w:p>
    <w:p>
      <w:pPr>
        <w:pStyle w:val="MdListItem"/>
        <w:numPr>
          <w:ilvl w:val="0"/>
          <w:numId w:val="3"/>
        </w:numPr>
      </w:pPr>
      <w:r>
        <w:t xml:space="preserve">Fraud mechanism purposes (state patterns, note implications)</w:t>
      </w:r>
    </w:p>
    <w:p>
      <w:pPr>
        <w:pStyle w:val="MdListItem"/>
        <w:numPr>
          <w:ilvl w:val="0"/>
          <w:numId w:val="3"/>
        </w:numPr>
      </w:pPr>
      <w:r>
        <w:t xml:space="preserve">Timeline speculation (state actions only)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RESERVE FOR STRATEGY:</w:t>
      </w:r>
    </w:p>
    <w:p>
      <w:pPr>
        <w:pStyle w:val="MdListItem"/>
        <w:numPr>
          <w:ilvl w:val="0"/>
          <w:numId w:val="3"/>
        </w:numPr>
      </w:pPr>
      <w:r>
        <w:t xml:space="preserve">Punitive damages (request but acknowledge discretion)</w:t>
      </w:r>
    </w:p>
    <w:p>
      <w:pPr>
        <w:pStyle w:val="MdListItem"/>
        <w:numPr>
          <w:ilvl w:val="0"/>
          <w:numId w:val="3"/>
        </w:numPr>
      </w:pPr>
      <w:r>
        <w:t xml:space="preserve">Trust dissolution (request as appropriate remedy)</w:t>
      </w:r>
    </w:p>
    <w:p>
      <w:pPr>
        <w:pStyle w:val="MdListItem"/>
        <w:numPr>
          <w:ilvl w:val="0"/>
          <w:numId w:val="3"/>
        </w:numPr>
      </w:pPr>
      <w:r>
        <w:t xml:space="preserve">Criminal conspiracy (note pattern, suggest investigation)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USE FOR INVESTIGATION:</w:t>
      </w:r>
    </w:p>
    <w:p>
      <w:pPr>
        <w:pStyle w:val="MdListItem"/>
        <w:numPr>
          <w:ilvl w:val="0"/>
          <w:numId w:val="3"/>
        </w:numPr>
      </w:pPr>
      <w:r>
        <w:t xml:space="preserve">Exact amounts (forensic analysis targets)</w:t>
      </w:r>
    </w:p>
    <w:p>
      <w:pPr>
        <w:pStyle w:val="MdListItem"/>
        <w:numPr>
          <w:ilvl w:val="0"/>
          <w:numId w:val="3"/>
        </w:numPr>
      </w:pPr>
      <w:r>
        <w:t xml:space="preserve">Kayla's death circumstances (separate investigation)</w:t>
      </w:r>
    </w:p>
    <w:p>
      <w:pPr>
        <w:pStyle w:val="MdListItem"/>
        <w:numPr>
          <w:ilvl w:val="0"/>
          <w:numId w:val="3"/>
        </w:numPr>
      </w:pPr>
      <w:r>
        <w:t xml:space="preserve">Bantjies' knowledge and intent (discovery targets)</w:t>
      </w:r>
    </w:p>
    <w:p>
      <w:pPr>
        <w:pStyle w:val="MdListItem"/>
        <w:numPr>
          <w:ilvl w:val="0"/>
          <w:numId w:val="3"/>
        </w:numPr>
      </w:pPr>
      <w:r>
        <w:t xml:space="preserve">Timeline details (witness testimony)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Evidentiary Strength Pyramid</w:t>
      </w:r>
    </w:p>
    <w:p>
      <w:pPr>
        <w:pStyle w:val="MdCode"/>
        <w:pBdr>
          <w:top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12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     Part 3: Circumstantial/Inferred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     26 points - Use cautiously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     Logical inferences, speculation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    /                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   /                  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  /                    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 /    Part 2: Strong Evidence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 /     24 points - Include with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 /      qualification      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 /       Supporting analysis 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 /                            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 /____________________________________________\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 /                                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 /        Part 1: Irrefutable Proof  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 /         25 points - Core foundation            \</w:t>
      </w:r>
    </w:p>
    <w:p>
      <w:pPr>
        <w:pStyle w:val="MdCode"/>
        <w:pBdr>
          <w:left w:val="single" w:color="E1E4E8" w:sz="1" w:space="8"/>
          <w:right w:val="single" w:color="E1E4E8" w:sz="1" w:space="8"/>
        </w:pBdr>
        <w:shd w:fill="F6F8FA"/>
        <w:spacing w:before="0" w:after="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 /          Documentary evidence                   \</w:t>
      </w:r>
    </w:p>
    <w:p>
      <w:pPr>
        <w:pStyle w:val="MdCode"/>
        <w:pBdr>
          <w:bottom w:val="single" w:color="E1E4E8" w:sz="1" w:space="8"/>
          <w:left w:val="single" w:color="E1E4E8" w:sz="1" w:space="8"/>
          <w:right w:val="single" w:color="E1E4E8" w:sz="1" w:space="8"/>
        </w:pBdr>
        <w:shd w:fill="F6F8FA"/>
        <w:spacing w:before="0" w:after="120" w:line="276"/>
        <w:ind w:left="360"/>
      </w:pPr>
      <w:r>
        <w:rPr>
          <w:rFonts w:ascii="Courier New" w:cs="Courier New" w:eastAsia="Courier New" w:hAnsi="Courier New"/>
          <w:color w:val="24292E"/>
          <w:sz w:val="20"/>
          <w:szCs w:val="20"/>
        </w:rPr>
        <w:t xml:space="preserve">      /_______________________________________________   \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Build from bottom up: Strong foundation (Part 1) → Reinforcement (Part 2) → Strategic context (Part 3)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Key Principles</w:t>
      </w:r>
    </w:p>
    <w:p>
      <w:pPr>
        <w:pStyle w:val="Heading3"/>
        <w:pStyle w:val="MdHeading3"/>
      </w:pPr>
      <w:r>
        <w:t xml:space="preserve">1. Strength Through Restraint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Better:</w:t>
      </w:r>
      <w:r>
        <w:t xml:space="preserve"> Fewer points with strong evidence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Worse:</w:t>
      </w:r>
      <w:r>
        <w:t xml:space="preserve"> Many points with weak evidence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Focus:</w:t>
      </w:r>
      <w:r>
        <w:t xml:space="preserve"> Quality over quantity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Defensive Drafting</w:t>
      </w:r>
    </w:p>
    <w:p>
      <w:pPr>
        <w:pStyle w:val="MdListItem"/>
        <w:numPr>
          <w:ilvl w:val="0"/>
          <w:numId w:val="3"/>
        </w:numPr>
      </w:pPr>
      <w:r>
        <w:t xml:space="preserve">Every claim must be defensible under cross-examination</w:t>
      </w:r>
    </w:p>
    <w:p>
      <w:pPr>
        <w:pStyle w:val="MdListItem"/>
        <w:numPr>
          <w:ilvl w:val="0"/>
          <w:numId w:val="3"/>
        </w:numPr>
      </w:pPr>
      <w:r>
        <w:t xml:space="preserve">Avoid speculation that can be challenged</w:t>
      </w:r>
    </w:p>
    <w:p>
      <w:pPr>
        <w:pStyle w:val="MdListItem"/>
        <w:numPr>
          <w:ilvl w:val="0"/>
          <w:numId w:val="3"/>
        </w:numPr>
      </w:pPr>
      <w:r>
        <w:t xml:space="preserve">Anticipate opposing arguments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Strategic Layering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Core:</w:t>
      </w:r>
      <w:r>
        <w:t xml:space="preserve"> Irrefutable facts (Part 1)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Support:</w:t>
      </w:r>
      <w:r>
        <w:t xml:space="preserve"> Strong analysis (Part 2)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Context:</w:t>
      </w:r>
      <w:r>
        <w:t xml:space="preserve"> Strategic understanding (Part 3)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Investigation Targets</w:t>
      </w:r>
    </w:p>
    <w:p>
      <w:pPr>
        <w:pStyle w:val="MdListItem"/>
        <w:numPr>
          <w:ilvl w:val="0"/>
          <w:numId w:val="3"/>
        </w:numPr>
      </w:pPr>
      <w:r>
        <w:t xml:space="preserve">Part 3 identifies areas needing further investigation</w:t>
      </w:r>
    </w:p>
    <w:p>
      <w:pPr>
        <w:pStyle w:val="MdListItem"/>
        <w:numPr>
          <w:ilvl w:val="0"/>
          <w:numId w:val="3"/>
        </w:numPr>
      </w:pPr>
      <w:r>
        <w:t xml:space="preserve">Discovery should target proving or disproving Part 3 points</w:t>
      </w:r>
    </w:p>
    <w:p>
      <w:pPr>
        <w:pStyle w:val="MdListItem"/>
        <w:numPr>
          <w:ilvl w:val="0"/>
          <w:numId w:val="3"/>
        </w:numPr>
      </w:pPr>
      <w:r>
        <w:t xml:space="preserve">Forensic analysis can move points from Part 3 → Part 2 → Part 1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Document Usage Guide</w:t>
      </w:r>
    </w:p>
    <w:p>
      <w:pPr>
        <w:pStyle w:val="Heading3"/>
        <w:pStyle w:val="MdHeading3"/>
      </w:pPr>
      <w:r>
        <w:t xml:space="preserve">For Affidavit Drafting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Start with Part 1</w:t>
      </w:r>
      <w:r>
        <w:t xml:space="preserve"> - Build core sections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Add Part 2</w:t>
      </w:r>
      <w:r>
        <w:t xml:space="preserve"> - Strengthen with qualified analysis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Reference Part 3</w:t>
      </w:r>
      <w:r>
        <w:t xml:space="preserve"> - Understand full context but use cautiously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For Legal Strategy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1</w:t>
      </w:r>
      <w:r>
        <w:t xml:space="preserve"> - Facts we can prove absolutely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2</w:t>
      </w:r>
      <w:r>
        <w:t xml:space="preserve"> - Arguments we can defend strongly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3</w:t>
      </w:r>
      <w:r>
        <w:t xml:space="preserve"> - Theories we're investigating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For Discovery Planning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1</w:t>
      </w:r>
      <w:r>
        <w:t xml:space="preserve"> - Evidence we have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2</w:t>
      </w:r>
      <w:r>
        <w:t xml:space="preserve"> - Evidence we need to strengthen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3</w:t>
      </w:r>
      <w:r>
        <w:t xml:space="preserve"> - Evidence we need to obtain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For Trial Preparation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1</w:t>
      </w:r>
      <w:r>
        <w:t xml:space="preserve"> - Direct examination foundation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2</w:t>
      </w:r>
      <w:r>
        <w:t xml:space="preserve"> - Expert testimony support</w:t>
      </w:r>
    </w:p>
    <w:p>
      <w:pPr>
        <w:pStyle w:val="MdListItem"/>
        <w:numPr>
          <w:ilvl w:val="0"/>
          <w:numId w:val="2"/>
        </w:numPr>
      </w:pPr>
      <w:r>
        <w:rPr>
          <w:rStyle w:val="MdStrong"/>
          <w:b/>
          <w:bCs/>
        </w:rPr>
        <w:t xml:space="preserve">Part 3</w:t>
      </w:r>
      <w:r>
        <w:t xml:space="preserve"> - Cross-examination preparation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Summary Statistics</w:t>
      </w:r>
    </w:p>
    <w:tbl>
      <w:tblPr>
        <w:tblStyle w:val="MdTable"/>
        <w:tblW w:type="pct" w:w="100%"/>
        <w:tblBorders>
          <w:top w:val="single" w:color="E1E4E8" w:sz="4"/>
          <w:left w:val="none"/>
          <w:bottom w:val="single" w:color="E1E4E8" w:sz="4"/>
          <w:right w:val="none"/>
          <w:insideH w:val="single" w:color="E1E4E8" w:sz="2"/>
          <w:insideV w:val="single" w:color="F6F8FA" w:sz="2"/>
        </w:tblBorders>
      </w:tblPr>
      <w:tblGrid>
        <w:gridCol w:w="100"/>
        <w:gridCol w:w="100"/>
        <w:gridCol w:w="100"/>
        <w:gridCol w:w="100"/>
        <w:gridCol w:w="100"/>
      </w:tblGrid>
      <w:tr>
        <w:trPr>
          <w:cantSplit/>
          <w:tblHeader/>
          <w:trHeight w:val="720" w:hRule="atLeast"/>
        </w:trPr>
        <w:tc>
          <w:tcPr>
            <w:tcBorders>
              <w:lef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Category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Part 1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Part 2</w:t>
            </w:r>
          </w:p>
        </w:tc>
        <w:tc>
          <w:tcPr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Part 3</w:t>
            </w:r>
          </w:p>
        </w:tc>
        <w:tc>
          <w:tcPr>
            <w:tcBorders>
              <w:right w:val="none"/>
            </w:tcBorders>
            <w:tcMar>
              <w:top w:type="dxa" w:w="100"/>
              <w:left w:type="dxa" w:w="120"/>
              <w:bottom w:type="dxa" w:w="100"/>
              <w:right w:type="dxa" w:w="120"/>
            </w:tcMar>
            <w:vAlign w:val="center"/>
          </w:tcPr>
          <w:p>
            <w:pPr>
              <w:pStyle w:val="MdTableHeader"/>
            </w:pPr>
            <w:r>
              <w:t xml:space="preserve">Total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Points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25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24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26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75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Strength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Irrefutable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Strong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Weak-Medium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-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Affidavit Use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Core foundation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Include with qualification</w:t>
            </w:r>
          </w:p>
        </w:tc>
        <w:tc>
          <w:tcPr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Use cautiously</w:t>
            </w:r>
          </w:p>
        </w:tc>
        <w:tc>
          <w:tcPr>
            <w:tcBorders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-</w:t>
            </w:r>
          </w:p>
        </w:tc>
      </w:tr>
      <w:tr>
        <w:trPr>
          <w:cantSplit/>
          <w:trHeight w:val="576" w:hRule="atLeast"/>
        </w:trPr>
        <w:tc>
          <w:tcPr>
            <w:tcBorders>
              <w:left w:val="none"/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rPr>
                <w:rStyle w:val="MdStrong"/>
                <w:b/>
                <w:bCs/>
              </w:rPr>
              <w:t xml:space="preserve">Evidence Type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Documentary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Analytical</w:t>
            </w:r>
          </w:p>
        </w:tc>
        <w:tc>
          <w:tcPr>
            <w:tcBorders>
              <w:bottom w:val="single" w:color="E1E4E8" w:sz="4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Inferential</w:t>
            </w:r>
          </w:p>
        </w:tc>
        <w:tc>
          <w:tcPr>
            <w:tcBorders>
              <w:bottom w:val="single" w:color="E1E4E8" w:sz="4"/>
              <w:right w:val="none"/>
            </w:tcBorders>
            <w:tcMar>
              <w:top w:type="dxa" w:w="80"/>
              <w:left w:type="dxa" w:w="120"/>
              <w:bottom w:type="dxa" w:w="80"/>
              <w:right w:type="dxa" w:w="120"/>
            </w:tcMar>
            <w:vAlign w:val="center"/>
          </w:tcPr>
          <w:p>
            <w:pPr>
              <w:pStyle w:val="MdTableCell"/>
            </w:pPr>
            <w:r>
              <w:t xml:space="preserve">-</w:t>
            </w:r>
          </w:p>
        </w:tc>
      </w:tr>
    </w:tbl>
    <w:p>
      <w:pPr>
        <w:pStyle w:val="Heading3"/>
        <w:pStyle w:val="MdHeading3"/>
      </w:pPr>
      <w:r>
        <w:t xml:space="preserve">Affidavit Composition Recommendation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Part 1 (Irrefutable):</w:t>
      </w:r>
      <w:r>
        <w:t xml:space="preserve"> 60% of affidavit content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Part 2 (Strong):</w:t>
      </w:r>
      <w:r>
        <w:t xml:space="preserve"> 35% of affidavit content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Part 3 (Circumstantial):</w:t>
      </w:r>
      <w:r>
        <w:t xml:space="preserve"> 5% of affidavit content (highly selective)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Critical Success Factors</w:t>
      </w:r>
    </w:p>
    <w:p>
      <w:pPr>
        <w:pStyle w:val="Heading3"/>
        <w:pStyle w:val="MdHeading3"/>
      </w:pPr>
      <w:r>
        <w:t xml:space="preserve">1. Trust Evidence (Part 1)</w:t>
      </w:r>
    </w:p>
    <w:p>
      <w:pPr>
        <w:pStyle w:val="MdParagraph"/>
      </w:pPr>
      <w:r>
        <w:rPr>
          <w:rStyle w:val="MdStrong"/>
          <w:b/>
          <w:bCs/>
        </w:rPr>
        <w:t xml:space="preserve">Game-changing irrefutable facts:</w:t>
      </w:r>
    </w:p>
    <w:p>
      <w:pPr>
        <w:pStyle w:val="MdListItem"/>
        <w:numPr>
          <w:ilvl w:val="0"/>
          <w:numId w:val="3"/>
        </w:numPr>
      </w:pPr>
      <w:r>
        <w:t xml:space="preserve">Trust ownership of RWW and Villa Via (June 18, 2014)</w:t>
      </w:r>
    </w:p>
    <w:p>
      <w:pPr>
        <w:pStyle w:val="MdListItem"/>
        <w:numPr>
          <w:ilvl w:val="0"/>
          <w:numId w:val="3"/>
        </w:numPr>
      </w:pPr>
      <w:r>
        <w:t xml:space="preserve">Bantjies as trustee (July 2024)</w:t>
      </w:r>
    </w:p>
    <w:p>
      <w:pPr>
        <w:pStyle w:val="MdListItem"/>
        <w:numPr>
          <w:ilvl w:val="0"/>
          <w:numId w:val="3"/>
        </w:numPr>
      </w:pPr>
      <w:r>
        <w:t xml:space="preserve">Fraud in inducement timeline (Aug 11 → Aug 14/19)</w:t>
      </w:r>
    </w:p>
    <w:p>
      <w:pPr>
        <w:pStyle w:val="MdListItem"/>
        <w:numPr>
          <w:ilvl w:val="0"/>
          <w:numId w:val="3"/>
        </w:numPr>
      </w:pPr>
      <w:r>
        <w:t xml:space="preserve">Peter as Founder (ultimate betrayal)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Impact:</w:t>
      </w:r>
      <w:r>
        <w:t xml:space="preserve"> Elevates case from corporate dispute to trustee fraud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2. UK Funding (Part 1)</w:t>
      </w:r>
    </w:p>
    <w:p>
      <w:pPr>
        <w:pStyle w:val="MdParagraph"/>
      </w:pPr>
      <w:r>
        <w:rPr>
          <w:rStyle w:val="MdStrong"/>
          <w:b/>
          <w:bCs/>
        </w:rPr>
        <w:t xml:space="preserve">Jurisdiction and debt refutation:</w:t>
      </w:r>
    </w:p>
    <w:p>
      <w:pPr>
        <w:pStyle w:val="MdListItem"/>
        <w:numPr>
          <w:ilvl w:val="0"/>
          <w:numId w:val="3"/>
        </w:numPr>
      </w:pPr>
      <w:r>
        <w:t xml:space="preserve">$77,000+ documented payments</w:t>
      </w:r>
    </w:p>
    <w:p>
      <w:pPr>
        <w:pStyle w:val="MdListItem"/>
        <w:numPr>
          <w:ilvl w:val="0"/>
          <w:numId w:val="3"/>
        </w:numPr>
      </w:pPr>
      <w:r>
        <w:t xml:space="preserve">Dan/Kayla as legitimate operators (July 26, 2017)</w:t>
      </w:r>
    </w:p>
    <w:p>
      <w:pPr>
        <w:pStyle w:val="MdListItem"/>
        <w:numPr>
          <w:ilvl w:val="0"/>
          <w:numId w:val="3"/>
        </w:numPr>
      </w:pPr>
      <w:r>
        <w:t xml:space="preserve">UK economic ownership claim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Impact:</w:t>
      </w:r>
      <w:r>
        <w:t xml:space="preserve"> Establishes UK jurisdiction, refutes Peter's debt claims as perjury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3. Evidence Destruction (Part 1 + Part 2)</w:t>
      </w:r>
    </w:p>
    <w:p>
      <w:pPr>
        <w:pStyle w:val="MdParagraph"/>
      </w:pPr>
      <w:r>
        <w:rPr>
          <w:rStyle w:val="MdStrong"/>
          <w:b/>
          <w:bCs/>
        </w:rPr>
        <w:t xml:space="preserve">Consciousness of guilt:</w:t>
      </w:r>
    </w:p>
    <w:p>
      <w:pPr>
        <w:pStyle w:val="MdListItem"/>
        <w:numPr>
          <w:ilvl w:val="0"/>
          <w:numId w:val="3"/>
        </w:numPr>
      </w:pPr>
      <w:r>
        <w:t xml:space="preserve">May 15 confrontation → May 22 destruction (7 days)</w:t>
      </w:r>
    </w:p>
    <w:p>
      <w:pPr>
        <w:pStyle w:val="MdListItem"/>
        <w:numPr>
          <w:ilvl w:val="0"/>
          <w:numId w:val="3"/>
        </w:numPr>
      </w:pPr>
      <w:r>
        <w:t xml:space="preserve">Targeted nature proves Jax as detector</w:t>
      </w:r>
    </w:p>
    <w:p>
      <w:pPr>
        <w:pStyle w:val="MdListItem"/>
        <w:numPr>
          <w:ilvl w:val="0"/>
          <w:numId w:val="3"/>
        </w:numPr>
      </w:pPr>
      <w:r>
        <w:t xml:space="preserve">Ex parte interdict as cover-up completion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Impact:</w:t>
      </w:r>
      <w:r>
        <w:t xml:space="preserve"> Proves Jax is victim, not perpetrator; shows consciousness of guilt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4. Financial Evidence (Part 1 + Part 2)</w:t>
      </w:r>
    </w:p>
    <w:p>
      <w:pPr>
        <w:pStyle w:val="MdParagraph"/>
      </w:pPr>
      <w:r>
        <w:rPr>
          <w:rStyle w:val="MdStrong"/>
          <w:b/>
          <w:bCs/>
        </w:rPr>
        <w:t xml:space="preserve">Profit extraction and manipulation:</w:t>
      </w:r>
    </w:p>
    <w:p>
      <w:pPr>
        <w:pStyle w:val="MdListItem"/>
        <w:numPr>
          <w:ilvl w:val="0"/>
          <w:numId w:val="3"/>
        </w:numPr>
      </w:pPr>
      <w:r>
        <w:t xml:space="preserve">Villa Via 86% margin (irrefutable)</w:t>
      </w:r>
    </w:p>
    <w:p>
      <w:pPr>
        <w:pStyle w:val="MdListItem"/>
        <w:numPr>
          <w:ilvl w:val="0"/>
          <w:numId w:val="3"/>
        </w:numPr>
      </w:pPr>
      <w:r>
        <w:t xml:space="preserve">ZAR 4M+ extraction (strong estimate)</w:t>
      </w:r>
    </w:p>
    <w:p>
      <w:pPr>
        <w:pStyle w:val="MdListItem"/>
        <w:numPr>
          <w:ilvl w:val="0"/>
          <w:numId w:val="3"/>
        </w:numPr>
      </w:pPr>
      <w:r>
        <w:t xml:space="preserve">RWW expense dumping (documented pattern)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Impact:</w:t>
      </w:r>
      <w:r>
        <w:t xml:space="preserve"> Proves systematic fraud and Peter's financial motive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Next Steps</w:t>
      </w:r>
    </w:p>
    <w:p>
      <w:pPr>
        <w:pStyle w:val="Heading3"/>
        <w:pStyle w:val="MdHeading3"/>
      </w:pPr>
      <w:r>
        <w:t xml:space="preserve">Immediate (Affidavit Drafting)</w:t>
      </w:r>
    </w:p>
    <w:p>
      <w:pPr>
        <w:pStyle w:val="MdListItem"/>
        <w:numPr>
          <w:ilvl w:val="0"/>
          <w:numId w:val="2"/>
        </w:numPr>
      </w:pPr>
      <w:r>
        <w:t xml:space="preserve">Use Part 1 as core foundation</w:t>
      </w:r>
    </w:p>
    <w:p>
      <w:pPr>
        <w:pStyle w:val="MdListItem"/>
        <w:numPr>
          <w:ilvl w:val="0"/>
          <w:numId w:val="2"/>
        </w:numPr>
      </w:pPr>
      <w:r>
        <w:t xml:space="preserve">Integrate Part 2 with appropriate qualification</w:t>
      </w:r>
    </w:p>
    <w:p>
      <w:pPr>
        <w:pStyle w:val="MdListItem"/>
        <w:numPr>
          <w:ilvl w:val="0"/>
          <w:numId w:val="2"/>
        </w:numPr>
      </w:pPr>
      <w:r>
        <w:t xml:space="preserve">Selectively reference Part 3 (or avoid)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Short-term (Evidence Gathering)</w:t>
      </w:r>
    </w:p>
    <w:p>
      <w:pPr>
        <w:pStyle w:val="MdListItem"/>
        <w:numPr>
          <w:ilvl w:val="0"/>
          <w:numId w:val="2"/>
        </w:numPr>
      </w:pPr>
      <w:r>
        <w:t xml:space="preserve">Obtain missing documents identified in Part 1</w:t>
      </w:r>
    </w:p>
    <w:p>
      <w:pPr>
        <w:pStyle w:val="MdListItem"/>
        <w:numPr>
          <w:ilvl w:val="0"/>
          <w:numId w:val="2"/>
        </w:numPr>
      </w:pPr>
      <w:r>
        <w:t xml:space="preserve">Strengthen Part 2 points with additional evidence</w:t>
      </w:r>
    </w:p>
    <w:p>
      <w:pPr>
        <w:pStyle w:val="MdListItem"/>
        <w:numPr>
          <w:ilvl w:val="0"/>
          <w:numId w:val="2"/>
        </w:numPr>
      </w:pPr>
      <w:r>
        <w:t xml:space="preserve">Investigate Part 3 points to move them to Part 2 or Part 1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Medium-term (Discovery)</w:t>
      </w:r>
    </w:p>
    <w:p>
      <w:pPr>
        <w:pStyle w:val="MdListItem"/>
        <w:numPr>
          <w:ilvl w:val="0"/>
          <w:numId w:val="2"/>
        </w:numPr>
      </w:pPr>
      <w:r>
        <w:t xml:space="preserve">Target Part 3 points for discovery</w:t>
      </w:r>
    </w:p>
    <w:p>
      <w:pPr>
        <w:pStyle w:val="MdListItem"/>
        <w:numPr>
          <w:ilvl w:val="0"/>
          <w:numId w:val="2"/>
        </w:numPr>
      </w:pPr>
      <w:r>
        <w:t xml:space="preserve">Obtain forensic accounting analysis</w:t>
      </w:r>
    </w:p>
    <w:p>
      <w:pPr>
        <w:pStyle w:val="MdListItem"/>
        <w:numPr>
          <w:ilvl w:val="0"/>
          <w:numId w:val="2"/>
        </w:numPr>
      </w:pPr>
      <w:r>
        <w:t xml:space="preserve">Depose witnesses on Part 2 and Part 3 points</w:t>
      </w:r>
    </w:p>
    <w:p>
      <w:pPr>
        <w:pStyle w:val="MdSpace"/>
        <w:spacing w:before="0" w:after="60"/>
      </w:pPr>
    </w:p>
    <w:p>
      <w:pPr>
        <w:pStyle w:val="Heading3"/>
        <w:pStyle w:val="MdHeading3"/>
      </w:pPr>
      <w:r>
        <w:t xml:space="preserve">Long-term (Trial Preparation)</w:t>
      </w:r>
    </w:p>
    <w:p>
      <w:pPr>
        <w:pStyle w:val="MdListItem"/>
        <w:numPr>
          <w:ilvl w:val="0"/>
          <w:numId w:val="2"/>
        </w:numPr>
      </w:pPr>
      <w:r>
        <w:t xml:space="preserve">Expert witnesses for Part 2 financial analysis</w:t>
      </w:r>
    </w:p>
    <w:p>
      <w:pPr>
        <w:pStyle w:val="MdListItem"/>
        <w:numPr>
          <w:ilvl w:val="0"/>
          <w:numId w:val="2"/>
        </w:numPr>
      </w:pPr>
      <w:r>
        <w:t xml:space="preserve">Fact witnesses for Part 1 timeline</w:t>
      </w:r>
    </w:p>
    <w:p>
      <w:pPr>
        <w:pStyle w:val="MdListItem"/>
        <w:numPr>
          <w:ilvl w:val="0"/>
          <w:numId w:val="2"/>
        </w:numPr>
      </w:pPr>
      <w:r>
        <w:t xml:space="preserve">Cross-examination preparation for Part 3 theories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Heading2"/>
        <w:pStyle w:val="MdHeading2"/>
      </w:pPr>
      <w:r>
        <w:t xml:space="preserve">Conclusion</w:t>
      </w:r>
    </w:p>
    <w:p>
      <w:pPr>
        <w:pStyle w:val="MdParagraph"/>
      </w:pPr>
      <w:r>
        <w:t xml:space="preserve">The three-part classification provides a </w:t>
      </w:r>
      <w:r>
        <w:rPr>
          <w:rStyle w:val="MdStrong"/>
          <w:b/>
          <w:bCs/>
        </w:rPr>
        <w:t xml:space="preserve">clear evidentiary hierarchy</w:t>
      </w:r>
      <w:r>
        <w:t xml:space="preserve"> for affidavit drafting:</w:t>
      </w:r>
    </w:p>
    <w:p>
      <w:pPr>
        <w:pStyle w:val="MdSpace"/>
        <w:spacing w:before="0" w:after="60"/>
      </w:pP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Part 1 (Irrefutable Proof):</w:t>
      </w:r>
      <w:r>
        <w:t xml:space="preserve"> Build the foundation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Part 2 (Strong Evidence):</w:t>
      </w:r>
      <w:r>
        <w:t xml:space="preserve"> Strengthen the case</w:t>
      </w:r>
    </w:p>
    <w:p>
      <w:pPr>
        <w:pStyle w:val="MdListItem"/>
        <w:numPr>
          <w:ilvl w:val="0"/>
          <w:numId w:val="3"/>
        </w:numPr>
      </w:pPr>
      <w:r>
        <w:rPr>
          <w:rStyle w:val="MdStrong"/>
          <w:b/>
          <w:bCs/>
        </w:rPr>
        <w:t xml:space="preserve">Part 3 (Circumstantial/Inferred):</w:t>
      </w:r>
      <w:r>
        <w:t xml:space="preserve"> Understand the context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The strongest affidavit focuses on Parts 1 and 2, using Part 3 strategically for investigation and oral argument.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Key Recommendation:</w:t>
      </w:r>
      <w:r>
        <w:t xml:space="preserve"> Draft affidavit primarily from Part 1 (60%) and Part 2 (35%), with minimal selective use of Part 3 (5%).</w:t>
      </w:r>
    </w:p>
    <w:p>
      <w:pPr>
        <w:pStyle w:val="MdSpace"/>
        <w:spacing w:before="0" w:after="60"/>
      </w:pPr>
    </w:p>
    <w:p>
      <w:pPr>
        <w:pStyle w:val="MdHr"/>
        <w:pBdr>
          <w:bottom w:val="single" w:color="auto" w:sz="6" w:space="1"/>
        </w:pBdr>
      </w:pP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Files Provided:</w:t>
      </w:r>
    </w:p>
    <w:p>
      <w:pPr>
        <w:pStyle w:val="MdListItem"/>
        <w:numPr>
          <w:ilvl w:val="0"/>
          <w:numId w:val="2"/>
        </w:numPr>
      </w:pPr>
      <w:r>
        <w:t xml:space="preserve">AFFIDAVIT_ANALYSIS_1_IRREFUTABLE_PROOF.md (25 points)</w:t>
      </w:r>
    </w:p>
    <w:p>
      <w:pPr>
        <w:pStyle w:val="MdListItem"/>
        <w:numPr>
          <w:ilvl w:val="0"/>
          <w:numId w:val="2"/>
        </w:numPr>
      </w:pPr>
      <w:r>
        <w:t xml:space="preserve">AFFIDAVIT_ANALYSIS_2_STRONG_EVIDENCE.md (24 points)</w:t>
      </w:r>
    </w:p>
    <w:p>
      <w:pPr>
        <w:pStyle w:val="MdListItem"/>
        <w:numPr>
          <w:ilvl w:val="0"/>
          <w:numId w:val="2"/>
        </w:numPr>
      </w:pPr>
      <w:r>
        <w:t xml:space="preserve">AFFIDAVIT_ANALYSIS_3_CIRCUMSTANTIAL_INFERRED.md (26 points)</w:t>
      </w:r>
    </w:p>
    <w:p>
      <w:pPr>
        <w:pStyle w:val="MdListItem"/>
        <w:numPr>
          <w:ilvl w:val="0"/>
          <w:numId w:val="2"/>
        </w:numPr>
      </w:pPr>
      <w:r>
        <w:t xml:space="preserve">AFFIDAVIT_ANALYSIS_SUMMARY.md (this document)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Total Analysis:</w:t>
      </w:r>
      <w:r>
        <w:t xml:space="preserve"> 75 points across all evidentiary levels</w:t>
      </w:r>
    </w:p>
    <w:p>
      <w:pPr>
        <w:pStyle w:val="MdSpace"/>
        <w:spacing w:before="0" w:after="60"/>
      </w:pPr>
    </w:p>
    <w:p>
      <w:pPr>
        <w:pStyle w:val="MdParagraph"/>
      </w:pPr>
      <w:r>
        <w:rPr>
          <w:rStyle w:val="MdStrong"/>
          <w:b/>
          <w:bCs/>
        </w:rPr>
        <w:t xml:space="preserve">Case:</w:t>
      </w:r>
      <w:r>
        <w:t xml:space="preserve"> 2025-137857 (High Court of South Africa, Gauteng Division, Pretoria)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Analysis Prepared by:</w:t>
      </w:r>
      <w:r>
        <w:t xml:space="preserve"> Manus AI</w:t>
      </w:r>
      <w:r>
        <w:rPr>
          <w:rStyle w:val="MdBr"/>
        </w:rPr>
        <w:br/>
        <w:t xml:space="preserve"/>
      </w:r>
      <w:r>
        <w:rPr>
          <w:rStyle w:val="MdStrong"/>
          <w:b/>
          <w:bCs/>
        </w:rPr>
        <w:t xml:space="preserve">Date:</w:t>
      </w:r>
      <w:r>
        <w:t xml:space="preserve"> October 12, 2025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"/>
      <w:lvlJc w:val="left"/>
      <w:pPr>
        <w:ind w:left="720" w:hanging="360"/>
      </w:pPr>
    </w:lvl>
    <w:lvl w:ilvl="1" w15:tentative="1">
      <w:start w:val="1"/>
      <w:numFmt w:val="decimal"/>
      <w:lvlText w:val="%1.%2"/>
      <w:lvlJc w:val="left"/>
      <w:pPr>
        <w:ind w:left="1440" w:hanging="360"/>
      </w:pPr>
    </w:lvl>
    <w:lvl w:ilvl="2" w15:tentative="1">
      <w:start w:val="1"/>
      <w:numFmt w:val="decimal"/>
      <w:lvlText w:val="%1.%2.%3"/>
      <w:lvlJc w:val="left"/>
      <w:pPr>
        <w:ind w:left="2160" w:hanging="360"/>
      </w:pPr>
    </w:lvl>
    <w:lvl w:ilvl="3" w15:tentative="1">
      <w:start w:val="1"/>
      <w:numFmt w:val="decimal"/>
      <w:lvlText w:val="%4)"/>
      <w:lvlJc w:val="left"/>
      <w:pPr>
        <w:ind w:left="2880" w:hanging="360"/>
      </w:pPr>
    </w:lvl>
    <w:lvl w:ilvl="4" w15:tentative="1">
      <w:start w:val="1"/>
      <w:numFmt w:val="decimal"/>
      <w:lvlText w:val="%5)"/>
      <w:lvlJc w:val="left"/>
      <w:pPr>
        <w:ind w:left="3600" w:hanging="360"/>
      </w:pPr>
    </w:lvl>
    <w:lvl w:ilvl="5" w15:tentative="1">
      <w:start w:val="1"/>
      <w:numFmt w:val="decimal"/>
      <w:lvlText w:val="%6)"/>
      <w:lvlJc w:val="left"/>
      <w:pPr>
        <w:ind w:left="4320" w:hanging="360"/>
      </w:pPr>
    </w:lvl>
    <w:lvl w:ilvl="6" w15:tentative="1">
      <w:start w:val="1"/>
      <w:numFmt w:val="decimal"/>
      <w:lvlText w:val="%7)"/>
      <w:lvlJc w:val="left"/>
      <w:pPr>
        <w:ind w:left="5040" w:hanging="360"/>
      </w:pPr>
    </w:lvl>
    <w:lvl w:ilvl="7" w15:tentative="1">
      <w:start w:val="1"/>
      <w:numFmt w:val="decimal"/>
      <w:lvlText w:val="%8)"/>
      <w:lvlJc w:val="left"/>
      <w:pPr>
        <w:ind w:left="5760" w:hanging="360"/>
      </w:pPr>
    </w:lvl>
    <w:lvl w:ilvl="8" w15:tentative="1">
      <w:start w:val="1"/>
      <w:numFmt w:val="decimal"/>
      <w:lvlText w:val="%9)"/>
      <w:lvlJc w:val="left"/>
      <w:pPr>
        <w:ind w:left="6480" w:hanging="360"/>
      </w:pPr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•"/>
      <w:lvlJc w:val="left"/>
      <w:pPr>
        <w:ind w:left="720" w:hanging="360"/>
      </w:pPr>
    </w:lvl>
    <w:lvl w:ilvl="1" w15:tentative="1">
      <w:start w:val="1"/>
      <w:numFmt w:val="bullet"/>
      <w:lvlText w:val="◦"/>
      <w:lvlJc w:val="left"/>
      <w:pPr>
        <w:ind w:left="1440" w:hanging="360"/>
      </w:pPr>
    </w:lvl>
    <w:lvl w:ilvl="2" w15:tentative="1">
      <w:start w:val="1"/>
      <w:numFmt w:val="bullet"/>
      <w:lvlText w:val="•"/>
      <w:lvlJc w:val="left"/>
      <w:pPr>
        <w:ind w:left="2160" w:hanging="360"/>
      </w:pPr>
    </w:lvl>
    <w:lvl w:ilvl="3" w15:tentative="1">
      <w:start w:val="1"/>
      <w:numFmt w:val="bullet"/>
      <w:lvlText w:val="◦"/>
      <w:lvlJc w:val="left"/>
      <w:pPr>
        <w:ind w:left="2880" w:hanging="360"/>
      </w:pPr>
    </w:lvl>
    <w:lvl w:ilvl="4" w15:tentative="1">
      <w:start w:val="1"/>
      <w:numFmt w:val="bullet"/>
      <w:lvlText w:val="•"/>
      <w:lvlJc w:val="left"/>
      <w:pPr>
        <w:ind w:left="3600" w:hanging="360"/>
      </w:pPr>
    </w:lvl>
    <w:lvl w:ilvl="5" w15:tentative="1">
      <w:start w:val="1"/>
      <w:numFmt w:val="bullet"/>
      <w:lvlText w:val="◦"/>
      <w:lvlJc w:val="left"/>
      <w:pPr>
        <w:ind w:left="4320" w:hanging="360"/>
      </w:pPr>
    </w:lvl>
    <w:lvl w:ilvl="6" w15:tentative="1">
      <w:start w:val="1"/>
      <w:numFmt w:val="bullet"/>
      <w:lvlText w:val="•"/>
      <w:lvlJc w:val="left"/>
      <w:pPr>
        <w:ind w:left="5040" w:hanging="360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</w:rPr>
    </w:rPrDefault>
    <w:pPrDefault>
      <w:pPr>
        <w:spacing w:lineRule="auto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 w:color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MdSpace">
    <w:name w:val="MdSpace"/>
    <w:basedOn w:val="Normal"/>
    <w:next w:val="Normal"/>
    <w:qFormat/>
    <w:pPr>
      <w:spacing w:before="0" w:after="0"/>
    </w:pPr>
    <w:rPr>
      <w:sz w:val="12"/>
      <w:szCs w:val="12"/>
    </w:rPr>
  </w:style>
  <w:style w:type="paragraph" w:styleId="MdCode">
    <w:name w:val="MdCode"/>
    <w:basedOn w:val="Normal"/>
    <w:next w:val="Normal"/>
    <w:qFormat/>
    <w:pPr>
      <w:pBdr>
        <w:top w:val="single" w:color="A5A5A5" w:sz="1" w:space="8"/>
        <w:bottom w:val="single" w:color="A5A5A5" w:sz="1" w:space="8"/>
        <w:left w:val="single" w:color="A5A5A5" w:sz="1" w:space="8"/>
        <w:right w:val="single" w:color="A5A5A5" w:sz="1" w:space="8"/>
      </w:pBdr>
      <w:spacing w:before="200" w:after="200"/>
    </w:pPr>
    <w:rPr>
      <w:rFonts w:ascii="Courier New" w:cs="Courier New" w:eastAsia="Courier New" w:hAnsi="Courier New"/>
      <w:color w:val="70AD47"/>
      <w:sz w:val="22"/>
      <w:szCs w:val="22"/>
    </w:rPr>
  </w:style>
  <w:style w:type="paragraph" w:styleId="MdHr">
    <w:name w:val="MdHr"/>
    <w:basedOn w:val="Normal"/>
    <w:next w:val="Normal"/>
    <w:qFormat/>
    <w:pPr>
      <w:pBdr>
        <w:bottom w:val="single" w:color="A5A5A5" w:sz="1" w:space="1"/>
      </w:pBdr>
      <w:spacing w:before="240" w:after="240"/>
    </w:pPr>
  </w:style>
  <w:style w:type="paragraph" w:styleId="MdBlockquote">
    <w:name w:val="MdBlockquote"/>
    <w:basedOn w:val="Normal"/>
    <w:next w:val="Normal"/>
    <w:qFormat/>
    <w:pPr>
      <w:pBdr>
        <w:left w:val="single" w:color="A5A5A5" w:sz="20" w:space="12"/>
      </w:pBdr>
      <w:spacing w:before="200" w:after="200"/>
      <w:ind w:left="360"/>
    </w:pPr>
    <w:rPr>
      <w:i/>
      <w:iCs/>
      <w:color w:val="666666"/>
    </w:rPr>
  </w:style>
  <w:style w:type="paragraph" w:styleId="MdHtml">
    <w:name w:val="MdHtml"/>
    <w:basedOn w:val="Normal"/>
    <w:next w:val="Normal"/>
    <w:qFormat/>
    <w:rPr>
      <w:rFonts w:ascii="Courier New" w:cs="Courier New" w:eastAsia="Courier New" w:hAnsi="Courier New"/>
      <w:color w:val="ED7D31"/>
    </w:rPr>
  </w:style>
  <w:style w:type="paragraph" w:styleId="MdDef">
    <w:name w:val="MdDef"/>
    <w:basedOn w:val="Normal"/>
    <w:next w:val="Normal"/>
    <w:qFormat/>
    <w:pPr>
      <w:ind w:left="720" w:hanging="360"/>
    </w:pPr>
  </w:style>
  <w:style w:type="paragraph" w:styleId="MdParagraph">
    <w:name w:val="MdParagraph"/>
    <w:basedOn w:val="Normal"/>
    <w:next w:val="Normal"/>
    <w:qFormat/>
    <w:pPr>
      <w:spacing w:before="120" w:after="120"/>
    </w:pPr>
  </w:style>
  <w:style w:type="paragraph" w:styleId="MdText">
    <w:name w:val="MdText"/>
    <w:basedOn w:val="Normal"/>
    <w:next w:val="Normal"/>
    <w:qFormat/>
  </w:style>
  <w:style w:type="paragraph" w:styleId="MdFootnote">
    <w:name w:val="MdFootnote"/>
    <w:basedOn w:val="Normal"/>
    <w:next w:val="Normal"/>
    <w:qFormat/>
    <w:rPr>
      <w:vertAlign w:val="superscript"/>
    </w:rPr>
  </w:style>
  <w:style w:type="paragraph" w:styleId="MdListItem">
    <w:name w:val="MdListItem"/>
    <w:basedOn w:val="Normal"/>
    <w:next w:val="Normal"/>
    <w:qFormat/>
    <w:pPr>
      <w:spacing w:before="60" w:after="60"/>
      <w:ind w:left="720" w:hanging="360"/>
    </w:pPr>
  </w:style>
  <w:style w:type="paragraph" w:styleId="MdTable">
    <w:name w:val="MdTable"/>
    <w:basedOn w:val="Normal"/>
    <w:next w:val="Normal"/>
    <w:qFormat/>
    <w:pPr>
      <w:spacing w:before="60" w:after="60"/>
    </w:pPr>
  </w:style>
  <w:style w:type="paragraph" w:styleId="MdTableHeader">
    <w:name w:val="MdTableHeader"/>
    <w:basedOn w:val="Normal"/>
    <w:next w:val="Normal"/>
    <w:qFormat/>
    <w:pPr>
      <w:spacing w:before="60" w:after="60"/>
    </w:pPr>
    <w:rPr>
      <w:b/>
      <w:bCs/>
      <w:sz w:val="22"/>
      <w:szCs w:val="22"/>
    </w:rPr>
  </w:style>
  <w:style w:type="paragraph" w:styleId="MdTableCell">
    <w:name w:val="MdTableCell"/>
    <w:basedOn w:val="Normal"/>
    <w:next w:val="Normal"/>
    <w:qFormat/>
    <w:pPr>
      <w:spacing w:before="40" w:after="40"/>
    </w:pPr>
    <w:rPr>
      <w:sz w:val="20"/>
      <w:szCs w:val="20"/>
    </w:rPr>
  </w:style>
  <w:style w:type="paragraph" w:styleId="MdHeading1">
    <w:name w:val="MdHeading1"/>
    <w:basedOn w:val="Normal"/>
    <w:next w:val="Normal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styleId="MdHeading2">
    <w:name w:val="MdHeading2"/>
    <w:basedOn w:val="Normal"/>
    <w:next w:val="Normal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styleId="MdHeading3">
    <w:name w:val="MdHeading3"/>
    <w:basedOn w:val="Normal"/>
    <w:next w:val="Normal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styleId="MdHeading4">
    <w:name w:val="MdHeading4"/>
    <w:basedOn w:val="Normal"/>
    <w:next w:val="Normal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styleId="MdHeading5">
    <w:name w:val="MdHeading5"/>
    <w:basedOn w:val="Normal"/>
    <w:next w:val="Normal"/>
    <w:qFormat/>
    <w:pPr>
      <w:keepNext/>
      <w:spacing w:before="240" w:after="120"/>
      <w:outlineLvl w:val="4"/>
    </w:pPr>
    <w:rPr>
      <w:b/>
      <w:bCs/>
      <w:i/>
      <w:iCs/>
      <w:sz w:val="24"/>
      <w:szCs w:val="24"/>
    </w:rPr>
  </w:style>
  <w:style w:type="paragraph" w:styleId="MdHeading6">
    <w:name w:val="MdHeading6"/>
    <w:basedOn w:val="Normal"/>
    <w:next w:val="Normal"/>
    <w:qFormat/>
    <w:pPr>
      <w:keepNext/>
      <w:spacing w:before="240" w:after="120"/>
      <w:outlineLvl w:val="5"/>
    </w:pPr>
    <w:rPr>
      <w:b w:val="false"/>
      <w:bCs w:val="false"/>
      <w:i/>
      <w:iCs/>
      <w:sz w:val="24"/>
      <w:szCs w:val="24"/>
    </w:rPr>
  </w:style>
  <w:style w:type="character" w:styleId="MdTag">
    <w:name w:val="MdTag"/>
    <w:basedOn w:val="Normal"/>
    <w:next w:val="Normal"/>
    <w:uiPriority w:val="99"/>
    <w:unhideWhenUsed/>
    <w:qFormat/>
    <w:rPr>
      <w:rFonts w:ascii="Courier New" w:cs="Courier New" w:eastAsia="Courier New" w:hAnsi="Courier New"/>
      <w:color w:val="ED7D31"/>
    </w:rPr>
  </w:style>
  <w:style w:type="character" w:styleId="MdLink">
    <w:name w:val="MdLink"/>
    <w:basedOn w:val="Normal"/>
    <w:next w:val="Normal"/>
    <w:uiPriority w:val="99"/>
    <w:unhideWhenUsed/>
    <w:qFormat/>
    <w:rPr>
      <w:color w:val="0563C1"/>
      <w:u w:val="single"/>
    </w:rPr>
  </w:style>
  <w:style w:type="character" w:styleId="MdStrong">
    <w:name w:val="MdStrong"/>
    <w:basedOn w:val="Normal"/>
    <w:next w:val="Normal"/>
    <w:uiPriority w:val="99"/>
    <w:unhideWhenUsed/>
    <w:qFormat/>
    <w:rPr>
      <w:b/>
      <w:bCs/>
    </w:rPr>
  </w:style>
  <w:style w:type="character" w:styleId="MdEm">
    <w:name w:val="MdEm"/>
    <w:basedOn w:val="Normal"/>
    <w:next w:val="Normal"/>
    <w:uiPriority w:val="99"/>
    <w:unhideWhenUsed/>
    <w:qFormat/>
    <w:rPr>
      <w:i/>
      <w:iCs/>
    </w:rPr>
  </w:style>
  <w:style w:type="character" w:styleId="MdCodespan">
    <w:name w:val="MdCodespan"/>
    <w:basedOn w:val="Normal"/>
    <w:next w:val="Normal"/>
    <w:uiPriority w:val="99"/>
    <w:unhideWhenUsed/>
    <w:qFormat/>
    <w:rPr>
      <w:rFonts w:ascii="Courier New" w:cs="Courier New" w:eastAsia="Courier New" w:hAnsi="Courier New"/>
      <w:color w:val="70AD47"/>
    </w:rPr>
  </w:style>
  <w:style w:type="character" w:styleId="MdDel">
    <w:name w:val="MdDel"/>
    <w:basedOn w:val="Normal"/>
    <w:next w:val="Normal"/>
    <w:uiPriority w:val="99"/>
    <w:unhideWhenUsed/>
    <w:qFormat/>
    <w:rPr>
      <w:strike/>
    </w:rPr>
  </w:style>
  <w:style w:type="character" w:styleId="MdBr">
    <w:name w:val="MdBr"/>
    <w:basedOn w:val="Normal"/>
    <w:next w:val="Normal"/>
    <w:uiPriority w:val="99"/>
    <w:unhideWhenUsed/>
    <w:qFormat/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Un-named</cp:lastModifiedBy>
  <cp:revision>1</cp:revision>
  <dcterms:created xsi:type="dcterms:W3CDTF">2025-10-12T15:48:07.052Z</dcterms:created>
  <dcterms:modified xsi:type="dcterms:W3CDTF">2025-10-12T15:48:07.052Z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