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2D57" w14:textId="77777777" w:rsidR="000A20B0" w:rsidRDefault="00000000">
      <w:pPr>
        <w:spacing w:after="80"/>
        <w:jc w:val="center"/>
      </w:pPr>
      <w:r>
        <w:rPr>
          <w:rFonts w:ascii="Arial" w:eastAsia="Arial" w:hAnsi="Arial"/>
          <w:b/>
          <w:color w:val="1F4E79"/>
          <w:sz w:val="44"/>
        </w:rPr>
        <w:t>Interim Feedback for Team 3</w:t>
      </w:r>
    </w:p>
    <w:p w14:paraId="14B0442A" w14:textId="77777777" w:rsidR="000A20B0" w:rsidRDefault="000A20B0">
      <w:pPr>
        <w:pBdr>
          <w:bottom w:val="single" w:sz="10" w:space="1" w:color="4F81BD"/>
        </w:pBdr>
        <w:spacing w:after="240"/>
      </w:pPr>
    </w:p>
    <w:p w14:paraId="4933C5C4" w14:textId="77777777" w:rsidR="000A20B0" w:rsidRDefault="00000000">
      <w:pPr>
        <w:spacing w:after="240"/>
        <w:jc w:val="center"/>
      </w:pPr>
      <w:r>
        <w:rPr>
          <w:rFonts w:ascii="Cambria" w:eastAsia="Cambria" w:hAnsi="Cambria"/>
          <w:b/>
          <w:color w:val="000000"/>
          <w:sz w:val="30"/>
        </w:rPr>
        <w:t>Overall interim assessment: Promising foundation</w:t>
      </w:r>
    </w:p>
    <w:p w14:paraId="6236C71E" w14:textId="77777777" w:rsidR="000A20B0" w:rsidRDefault="00000000">
      <w:pPr>
        <w:spacing w:after="240" w:line="307" w:lineRule="auto"/>
      </w:pPr>
      <w:r>
        <w:rPr>
          <w:rFonts w:ascii="Cambria" w:eastAsia="Cambria" w:hAnsi="Cambria"/>
          <w:sz w:val="23"/>
        </w:rPr>
        <w:t>This is a credible Week 4 thin-slice submission. The strongest parts are the API service, the model selection rationale, and the effort to define a replay-mode path that matches the later system direction. The main need now is submission completeness. Several items named in the execution report are not present in the packaged deliverable, so the final needs a tighter link between what is described, what is stored in the repo, and what another reviewer can run.</w:t>
      </w:r>
    </w:p>
    <w:tbl>
      <w:tblPr>
        <w:tblW w:w="109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365"/>
        <w:gridCol w:w="2250"/>
        <w:gridCol w:w="3060"/>
        <w:gridCol w:w="3269"/>
      </w:tblGrid>
      <w:tr w:rsidR="000A20B0" w14:paraId="1D5AE3D7" w14:textId="77777777" w:rsidTr="00EE1647">
        <w:trPr>
          <w:jc w:val="center"/>
        </w:trPr>
        <w:tc>
          <w:tcPr>
            <w:tcW w:w="2365" w:type="dxa"/>
            <w:shd w:val="clear" w:color="auto" w:fill="D9E6F2"/>
            <w:tcMar>
              <w:top w:w="80" w:type="dxa"/>
              <w:left w:w="110" w:type="dxa"/>
              <w:bottom w:w="80" w:type="dxa"/>
              <w:right w:w="110" w:type="dxa"/>
            </w:tcMar>
            <w:vAlign w:val="center"/>
          </w:tcPr>
          <w:p w14:paraId="6A81BEB6" w14:textId="77777777" w:rsidR="000A20B0" w:rsidRDefault="00000000">
            <w:pPr>
              <w:spacing w:before="40" w:after="40" w:line="240" w:lineRule="auto"/>
              <w:jc w:val="center"/>
            </w:pPr>
            <w:r>
              <w:rPr>
                <w:rFonts w:ascii="Arial" w:eastAsia="Arial" w:hAnsi="Arial"/>
                <w:b/>
                <w:color w:val="1F4E79"/>
              </w:rPr>
              <w:t>Dimension</w:t>
            </w:r>
          </w:p>
        </w:tc>
        <w:tc>
          <w:tcPr>
            <w:tcW w:w="2250" w:type="dxa"/>
            <w:shd w:val="clear" w:color="auto" w:fill="D9E6F2"/>
            <w:tcMar>
              <w:top w:w="80" w:type="dxa"/>
              <w:left w:w="110" w:type="dxa"/>
              <w:bottom w:w="80" w:type="dxa"/>
              <w:right w:w="110" w:type="dxa"/>
            </w:tcMar>
            <w:vAlign w:val="center"/>
          </w:tcPr>
          <w:p w14:paraId="0E7E2CC7" w14:textId="77777777" w:rsidR="000A20B0" w:rsidRDefault="00000000">
            <w:pPr>
              <w:spacing w:before="40" w:after="40" w:line="240" w:lineRule="auto"/>
              <w:jc w:val="center"/>
            </w:pPr>
            <w:r>
              <w:rPr>
                <w:rFonts w:ascii="Arial" w:eastAsia="Arial" w:hAnsi="Arial"/>
                <w:b/>
                <w:color w:val="1F4E79"/>
              </w:rPr>
              <w:t>Overall rating</w:t>
            </w:r>
          </w:p>
        </w:tc>
        <w:tc>
          <w:tcPr>
            <w:tcW w:w="3060" w:type="dxa"/>
            <w:shd w:val="clear" w:color="auto" w:fill="D9E6F2"/>
            <w:tcMar>
              <w:top w:w="80" w:type="dxa"/>
              <w:left w:w="110" w:type="dxa"/>
              <w:bottom w:w="80" w:type="dxa"/>
              <w:right w:w="110" w:type="dxa"/>
            </w:tcMar>
            <w:vAlign w:val="center"/>
          </w:tcPr>
          <w:p w14:paraId="19888DE9" w14:textId="77777777" w:rsidR="000A20B0" w:rsidRDefault="00000000">
            <w:pPr>
              <w:spacing w:before="40" w:after="40" w:line="240" w:lineRule="auto"/>
              <w:jc w:val="center"/>
            </w:pPr>
            <w:r>
              <w:rPr>
                <w:rFonts w:ascii="Arial" w:eastAsia="Arial" w:hAnsi="Arial"/>
                <w:b/>
                <w:color w:val="1F4E79"/>
              </w:rPr>
              <w:t>What is working well</w:t>
            </w:r>
          </w:p>
        </w:tc>
        <w:tc>
          <w:tcPr>
            <w:tcW w:w="3269" w:type="dxa"/>
            <w:shd w:val="clear" w:color="auto" w:fill="D9E6F2"/>
            <w:tcMar>
              <w:top w:w="80" w:type="dxa"/>
              <w:left w:w="110" w:type="dxa"/>
              <w:bottom w:w="80" w:type="dxa"/>
              <w:right w:w="110" w:type="dxa"/>
            </w:tcMar>
            <w:vAlign w:val="center"/>
          </w:tcPr>
          <w:p w14:paraId="26B8DF4A" w14:textId="77777777" w:rsidR="000A20B0" w:rsidRDefault="00000000">
            <w:pPr>
              <w:spacing w:before="40" w:after="40" w:line="240" w:lineRule="auto"/>
              <w:jc w:val="center"/>
            </w:pPr>
            <w:r>
              <w:rPr>
                <w:rFonts w:ascii="Arial" w:eastAsia="Arial" w:hAnsi="Arial"/>
                <w:b/>
                <w:color w:val="1F4E79"/>
              </w:rPr>
              <w:t>What must be</w:t>
            </w:r>
            <w:r>
              <w:rPr>
                <w:rFonts w:ascii="Arial" w:eastAsia="Arial" w:hAnsi="Arial"/>
                <w:b/>
                <w:color w:val="1F4E79"/>
              </w:rPr>
              <w:br/>
              <w:t>strengthened</w:t>
            </w:r>
          </w:p>
        </w:tc>
      </w:tr>
      <w:tr w:rsidR="000A20B0" w14:paraId="4DE2F7FD" w14:textId="77777777" w:rsidTr="00EE1647">
        <w:trPr>
          <w:jc w:val="center"/>
        </w:trPr>
        <w:tc>
          <w:tcPr>
            <w:tcW w:w="2365" w:type="dxa"/>
            <w:tcMar>
              <w:top w:w="70" w:type="dxa"/>
              <w:left w:w="110" w:type="dxa"/>
              <w:bottom w:w="70" w:type="dxa"/>
              <w:right w:w="110" w:type="dxa"/>
            </w:tcMar>
            <w:vAlign w:val="center"/>
          </w:tcPr>
          <w:p w14:paraId="42E36D4C" w14:textId="77777777" w:rsidR="000A20B0" w:rsidRDefault="00000000">
            <w:pPr>
              <w:spacing w:after="0" w:line="259" w:lineRule="auto"/>
            </w:pPr>
            <w:r>
              <w:rPr>
                <w:rFonts w:ascii="Cambria" w:eastAsia="Cambria" w:hAnsi="Cambria"/>
                <w:b/>
              </w:rPr>
              <w:t>1) System architecture and</w:t>
            </w:r>
            <w:r>
              <w:rPr>
                <w:rFonts w:ascii="Cambria" w:eastAsia="Cambria" w:hAnsi="Cambria"/>
                <w:b/>
              </w:rPr>
              <w:br/>
              <w:t>thin-slice framing</w:t>
            </w:r>
          </w:p>
        </w:tc>
        <w:tc>
          <w:tcPr>
            <w:tcW w:w="2250" w:type="dxa"/>
            <w:shd w:val="clear" w:color="auto" w:fill="EADFC0"/>
            <w:tcMar>
              <w:top w:w="70" w:type="dxa"/>
              <w:left w:w="110" w:type="dxa"/>
              <w:bottom w:w="70" w:type="dxa"/>
              <w:right w:w="110" w:type="dxa"/>
            </w:tcMar>
            <w:vAlign w:val="center"/>
          </w:tcPr>
          <w:p w14:paraId="29E4CD4F" w14:textId="77777777" w:rsidR="000A20B0" w:rsidRDefault="00000000">
            <w:pPr>
              <w:spacing w:after="0" w:line="259" w:lineRule="auto"/>
              <w:jc w:val="center"/>
            </w:pPr>
            <w:r>
              <w:rPr>
                <w:rFonts w:ascii="Cambria" w:eastAsia="Cambria" w:hAnsi="Cambria"/>
                <w:b/>
                <w:sz w:val="23"/>
              </w:rPr>
              <w:t>Promising / On track</w:t>
            </w:r>
          </w:p>
        </w:tc>
        <w:tc>
          <w:tcPr>
            <w:tcW w:w="3060" w:type="dxa"/>
            <w:tcMar>
              <w:top w:w="70" w:type="dxa"/>
              <w:left w:w="110" w:type="dxa"/>
              <w:bottom w:w="70" w:type="dxa"/>
              <w:right w:w="110" w:type="dxa"/>
            </w:tcMar>
            <w:vAlign w:val="center"/>
          </w:tcPr>
          <w:p w14:paraId="49A51B3A" w14:textId="77777777" w:rsidR="000A20B0" w:rsidRDefault="000A20B0"/>
          <w:p w14:paraId="5E125D81" w14:textId="77777777" w:rsidR="000A20B0" w:rsidRDefault="00000000">
            <w:pPr>
              <w:spacing w:after="0" w:line="252" w:lineRule="auto"/>
              <w:ind w:left="200" w:hanging="160"/>
            </w:pPr>
            <w:r>
              <w:rPr>
                <w:rFonts w:ascii="Cambria" w:eastAsia="Cambria" w:hAnsi="Cambria"/>
                <w:sz w:val="21"/>
              </w:rPr>
              <w:t>• The end-to-end thin-slice story is clear: replay data, model artifact, API endpoints, and monitoring hooks.</w:t>
            </w:r>
          </w:p>
          <w:p w14:paraId="019A0B1D" w14:textId="77777777" w:rsidR="000A20B0" w:rsidRDefault="00000000">
            <w:pPr>
              <w:spacing w:after="0" w:line="252" w:lineRule="auto"/>
              <w:ind w:left="200" w:hanging="160"/>
            </w:pPr>
            <w:r>
              <w:rPr>
                <w:rFonts w:ascii="Cambria" w:eastAsia="Cambria" w:hAnsi="Cambria"/>
                <w:sz w:val="21"/>
              </w:rPr>
              <w:t>• The architecture intentionally uses replay mode for Week 4 instead of pretending the system is fully live.</w:t>
            </w:r>
          </w:p>
          <w:p w14:paraId="0DA90492" w14:textId="77777777" w:rsidR="000A20B0" w:rsidRDefault="00000000">
            <w:pPr>
              <w:spacing w:after="0" w:line="252" w:lineRule="auto"/>
              <w:ind w:left="200" w:hanging="160"/>
            </w:pPr>
            <w:r>
              <w:rPr>
                <w:rFonts w:ascii="Cambria" w:eastAsia="Cambria" w:hAnsi="Cambria"/>
                <w:sz w:val="21"/>
              </w:rPr>
              <w:t>• The team charter and system diagram make the service boundaries reasonably easy to follow.</w:t>
            </w:r>
          </w:p>
        </w:tc>
        <w:tc>
          <w:tcPr>
            <w:tcW w:w="3269" w:type="dxa"/>
            <w:tcMar>
              <w:top w:w="70" w:type="dxa"/>
              <w:left w:w="110" w:type="dxa"/>
              <w:bottom w:w="70" w:type="dxa"/>
              <w:right w:w="110" w:type="dxa"/>
            </w:tcMar>
            <w:vAlign w:val="center"/>
          </w:tcPr>
          <w:p w14:paraId="28210EE3" w14:textId="77777777" w:rsidR="000A20B0" w:rsidRDefault="000A20B0"/>
          <w:p w14:paraId="1744E223" w14:textId="77777777" w:rsidR="000A20B0" w:rsidRDefault="00000000">
            <w:pPr>
              <w:spacing w:after="0" w:line="252" w:lineRule="auto"/>
              <w:ind w:left="200" w:hanging="160"/>
            </w:pPr>
            <w:r>
              <w:rPr>
                <w:rFonts w:ascii="Cambria" w:eastAsia="Cambria" w:hAnsi="Cambria"/>
                <w:sz w:val="21"/>
              </w:rPr>
              <w:t>• Several diagram and doc references point to files that are not in the delivered package, including the replay smoke script.</w:t>
            </w:r>
          </w:p>
          <w:p w14:paraId="48A4155E" w14:textId="77777777" w:rsidR="000A20B0" w:rsidRDefault="00000000">
            <w:pPr>
              <w:spacing w:after="0" w:line="252" w:lineRule="auto"/>
              <w:ind w:left="200" w:hanging="160"/>
            </w:pPr>
            <w:r>
              <w:rPr>
                <w:rFonts w:ascii="Cambria" w:eastAsia="Cambria" w:hAnsi="Cambria"/>
                <w:sz w:val="21"/>
              </w:rPr>
              <w:t>• Keep one authoritative implementation path so the architecture, file tree, and README all say the same thing.</w:t>
            </w:r>
          </w:p>
          <w:p w14:paraId="59D4A5A1" w14:textId="77777777" w:rsidR="000A20B0" w:rsidRDefault="00000000">
            <w:pPr>
              <w:spacing w:after="0" w:line="252" w:lineRule="auto"/>
              <w:ind w:left="200" w:hanging="160"/>
            </w:pPr>
            <w:r>
              <w:rPr>
                <w:rFonts w:ascii="Cambria" w:eastAsia="Cambria" w:hAnsi="Cambria"/>
                <w:sz w:val="21"/>
              </w:rPr>
              <w:t>• Make sure the final package backs the diagram with the actual runnable assets.</w:t>
            </w:r>
          </w:p>
        </w:tc>
      </w:tr>
      <w:tr w:rsidR="000A20B0" w14:paraId="50B8A10E" w14:textId="77777777" w:rsidTr="00EE1647">
        <w:trPr>
          <w:jc w:val="center"/>
        </w:trPr>
        <w:tc>
          <w:tcPr>
            <w:tcW w:w="2365" w:type="dxa"/>
            <w:tcMar>
              <w:top w:w="70" w:type="dxa"/>
              <w:left w:w="110" w:type="dxa"/>
              <w:bottom w:w="70" w:type="dxa"/>
              <w:right w:w="110" w:type="dxa"/>
            </w:tcMar>
            <w:vAlign w:val="center"/>
          </w:tcPr>
          <w:p w14:paraId="17509156" w14:textId="77777777" w:rsidR="000A20B0" w:rsidRDefault="00000000">
            <w:pPr>
              <w:spacing w:after="0" w:line="259" w:lineRule="auto"/>
            </w:pPr>
            <w:r>
              <w:rPr>
                <w:rFonts w:ascii="Cambria" w:eastAsia="Cambria" w:hAnsi="Cambria"/>
                <w:b/>
              </w:rPr>
              <w:t>2) Model selection and</w:t>
            </w:r>
            <w:r>
              <w:rPr>
                <w:rFonts w:ascii="Cambria" w:eastAsia="Cambria" w:hAnsi="Cambria"/>
                <w:b/>
              </w:rPr>
              <w:br/>
              <w:t>service rationale</w:t>
            </w:r>
          </w:p>
        </w:tc>
        <w:tc>
          <w:tcPr>
            <w:tcW w:w="2250" w:type="dxa"/>
            <w:shd w:val="clear" w:color="auto" w:fill="DDEAD3"/>
            <w:tcMar>
              <w:top w:w="70" w:type="dxa"/>
              <w:left w:w="110" w:type="dxa"/>
              <w:bottom w:w="70" w:type="dxa"/>
              <w:right w:w="110" w:type="dxa"/>
            </w:tcMar>
            <w:vAlign w:val="center"/>
          </w:tcPr>
          <w:p w14:paraId="08E43D5A" w14:textId="77777777" w:rsidR="000A20B0" w:rsidRDefault="00000000">
            <w:pPr>
              <w:spacing w:after="0" w:line="259" w:lineRule="auto"/>
              <w:jc w:val="center"/>
            </w:pPr>
            <w:r>
              <w:rPr>
                <w:rFonts w:ascii="Cambria" w:eastAsia="Cambria" w:hAnsi="Cambria"/>
                <w:b/>
                <w:sz w:val="23"/>
              </w:rPr>
              <w:t>Strong</w:t>
            </w:r>
          </w:p>
        </w:tc>
        <w:tc>
          <w:tcPr>
            <w:tcW w:w="3060" w:type="dxa"/>
            <w:tcMar>
              <w:top w:w="70" w:type="dxa"/>
              <w:left w:w="110" w:type="dxa"/>
              <w:bottom w:w="70" w:type="dxa"/>
              <w:right w:w="110" w:type="dxa"/>
            </w:tcMar>
            <w:vAlign w:val="center"/>
          </w:tcPr>
          <w:p w14:paraId="37126682" w14:textId="77777777" w:rsidR="000A20B0" w:rsidRDefault="000A20B0"/>
          <w:p w14:paraId="57F367A3" w14:textId="77777777" w:rsidR="000A20B0" w:rsidRDefault="00000000">
            <w:pPr>
              <w:spacing w:after="0" w:line="252" w:lineRule="auto"/>
              <w:ind w:left="200" w:hanging="160"/>
            </w:pPr>
            <w:r>
              <w:rPr>
                <w:rFonts w:ascii="Cambria" w:eastAsia="Cambria" w:hAnsi="Cambria"/>
                <w:sz w:val="21"/>
              </w:rPr>
              <w:t>• The logistic regression choice is sensible for Week 4 because it keeps the service path simple and testable.</w:t>
            </w:r>
          </w:p>
          <w:p w14:paraId="2FDBACF6" w14:textId="77777777" w:rsidR="000A20B0" w:rsidRDefault="00000000">
            <w:pPr>
              <w:spacing w:after="0" w:line="252" w:lineRule="auto"/>
              <w:ind w:left="200" w:hanging="160"/>
            </w:pPr>
            <w:r>
              <w:rPr>
                <w:rFonts w:ascii="Cambria" w:eastAsia="Cambria" w:hAnsi="Cambria"/>
                <w:sz w:val="21"/>
              </w:rPr>
              <w:t>• The included metrics show the selected model outperforming the baseline on PR-AUC and F1.</w:t>
            </w:r>
          </w:p>
          <w:p w14:paraId="19871D8E" w14:textId="77777777" w:rsidR="000A20B0" w:rsidRDefault="00000000">
            <w:pPr>
              <w:spacing w:after="0" w:line="252" w:lineRule="auto"/>
              <w:ind w:left="200" w:hanging="160"/>
            </w:pPr>
            <w:r>
              <w:rPr>
                <w:rFonts w:ascii="Cambria" w:eastAsia="Cambria" w:hAnsi="Cambria"/>
                <w:sz w:val="21"/>
              </w:rPr>
              <w:t>• The rationale focuses on operational fit, not just model quality, which is the right emphasis here.</w:t>
            </w:r>
          </w:p>
        </w:tc>
        <w:tc>
          <w:tcPr>
            <w:tcW w:w="3269" w:type="dxa"/>
            <w:tcMar>
              <w:top w:w="70" w:type="dxa"/>
              <w:left w:w="110" w:type="dxa"/>
              <w:bottom w:w="70" w:type="dxa"/>
              <w:right w:w="110" w:type="dxa"/>
            </w:tcMar>
            <w:vAlign w:val="center"/>
          </w:tcPr>
          <w:p w14:paraId="6F858F4C" w14:textId="77777777" w:rsidR="000A20B0" w:rsidRDefault="000A20B0"/>
          <w:p w14:paraId="71D75815" w14:textId="77777777" w:rsidR="000A20B0" w:rsidRDefault="00000000">
            <w:pPr>
              <w:spacing w:after="0" w:line="252" w:lineRule="auto"/>
              <w:ind w:left="200" w:hanging="160"/>
            </w:pPr>
            <w:r>
              <w:rPr>
                <w:rFonts w:ascii="Cambria" w:eastAsia="Cambria" w:hAnsi="Cambria"/>
                <w:sz w:val="21"/>
              </w:rPr>
              <w:t>• Keep the threshold and label-rule story fully consistent across the docs.</w:t>
            </w:r>
          </w:p>
          <w:p w14:paraId="6D5B1909" w14:textId="77777777" w:rsidR="000A20B0" w:rsidRDefault="00000000">
            <w:pPr>
              <w:spacing w:after="0" w:line="252" w:lineRule="auto"/>
              <w:ind w:left="200" w:hanging="160"/>
            </w:pPr>
            <w:r>
              <w:rPr>
                <w:rFonts w:ascii="Cambria" w:eastAsia="Cambria" w:hAnsi="Cambria"/>
                <w:sz w:val="21"/>
              </w:rPr>
              <w:t>• Be explicit that the current model is regime-specific and should be treated as the service baseline, not the final modeling answer.</w:t>
            </w:r>
          </w:p>
          <w:p w14:paraId="5ADC4E67" w14:textId="77777777" w:rsidR="000A20B0" w:rsidRDefault="00000000">
            <w:pPr>
              <w:spacing w:after="0" w:line="252" w:lineRule="auto"/>
              <w:ind w:left="200" w:hanging="160"/>
            </w:pPr>
            <w:r>
              <w:rPr>
                <w:rFonts w:ascii="Cambria" w:eastAsia="Cambria" w:hAnsi="Cambria"/>
                <w:sz w:val="21"/>
              </w:rPr>
              <w:t>• Carry the same model designation consistently into later-week rollback and monitoring work.</w:t>
            </w:r>
          </w:p>
        </w:tc>
      </w:tr>
      <w:tr w:rsidR="000A20B0" w14:paraId="1A9E6527" w14:textId="77777777" w:rsidTr="00EE1647">
        <w:trPr>
          <w:jc w:val="center"/>
        </w:trPr>
        <w:tc>
          <w:tcPr>
            <w:tcW w:w="2365" w:type="dxa"/>
            <w:tcMar>
              <w:top w:w="70" w:type="dxa"/>
              <w:left w:w="110" w:type="dxa"/>
              <w:bottom w:w="70" w:type="dxa"/>
              <w:right w:w="110" w:type="dxa"/>
            </w:tcMar>
            <w:vAlign w:val="center"/>
          </w:tcPr>
          <w:p w14:paraId="5607758B" w14:textId="77777777" w:rsidR="000A20B0" w:rsidRDefault="00000000">
            <w:pPr>
              <w:spacing w:after="0" w:line="259" w:lineRule="auto"/>
            </w:pPr>
            <w:r>
              <w:rPr>
                <w:rFonts w:ascii="Cambria" w:eastAsia="Cambria" w:hAnsi="Cambria"/>
                <w:b/>
              </w:rPr>
              <w:t>3) API functionality and</w:t>
            </w:r>
            <w:r>
              <w:rPr>
                <w:rFonts w:ascii="Cambria" w:eastAsia="Cambria" w:hAnsi="Cambria"/>
                <w:b/>
              </w:rPr>
              <w:br/>
              <w:t>contract compliance</w:t>
            </w:r>
          </w:p>
        </w:tc>
        <w:tc>
          <w:tcPr>
            <w:tcW w:w="2250" w:type="dxa"/>
            <w:shd w:val="clear" w:color="auto" w:fill="DDEAD3"/>
            <w:tcMar>
              <w:top w:w="70" w:type="dxa"/>
              <w:left w:w="110" w:type="dxa"/>
              <w:bottom w:w="70" w:type="dxa"/>
              <w:right w:w="110" w:type="dxa"/>
            </w:tcMar>
            <w:vAlign w:val="center"/>
          </w:tcPr>
          <w:p w14:paraId="77353F11" w14:textId="77777777" w:rsidR="000A20B0" w:rsidRDefault="00000000">
            <w:pPr>
              <w:spacing w:after="0" w:line="259" w:lineRule="auto"/>
              <w:jc w:val="center"/>
            </w:pPr>
            <w:r>
              <w:rPr>
                <w:rFonts w:ascii="Cambria" w:eastAsia="Cambria" w:hAnsi="Cambria"/>
                <w:b/>
                <w:sz w:val="23"/>
              </w:rPr>
              <w:t>Strong</w:t>
            </w:r>
          </w:p>
        </w:tc>
        <w:tc>
          <w:tcPr>
            <w:tcW w:w="3060" w:type="dxa"/>
            <w:tcMar>
              <w:top w:w="70" w:type="dxa"/>
              <w:left w:w="110" w:type="dxa"/>
              <w:bottom w:w="70" w:type="dxa"/>
              <w:right w:w="110" w:type="dxa"/>
            </w:tcMar>
            <w:vAlign w:val="center"/>
          </w:tcPr>
          <w:p w14:paraId="50C16CC1" w14:textId="77777777" w:rsidR="000A20B0" w:rsidRDefault="000A20B0"/>
          <w:p w14:paraId="27761270" w14:textId="77777777" w:rsidR="000A20B0" w:rsidRDefault="00000000">
            <w:pPr>
              <w:spacing w:after="0" w:line="252" w:lineRule="auto"/>
              <w:ind w:left="200" w:hanging="160"/>
            </w:pPr>
            <w:r>
              <w:rPr>
                <w:rFonts w:ascii="Cambria" w:eastAsia="Cambria" w:hAnsi="Cambria"/>
                <w:sz w:val="21"/>
              </w:rPr>
              <w:t xml:space="preserve">• All four required endpoints are present: /health, </w:t>
            </w:r>
            <w:r>
              <w:rPr>
                <w:rFonts w:ascii="Cambria" w:eastAsia="Cambria" w:hAnsi="Cambria"/>
                <w:sz w:val="21"/>
              </w:rPr>
              <w:lastRenderedPageBreak/>
              <w:t>/predict, /version, and /metrics.</w:t>
            </w:r>
          </w:p>
          <w:p w14:paraId="77AE22DC" w14:textId="77777777" w:rsidR="000A20B0" w:rsidRDefault="00000000">
            <w:pPr>
              <w:spacing w:after="0" w:line="252" w:lineRule="auto"/>
              <w:ind w:left="200" w:hanging="160"/>
            </w:pPr>
            <w:r>
              <w:rPr>
                <w:rFonts w:ascii="Cambria" w:eastAsia="Cambria" w:hAnsi="Cambria"/>
                <w:sz w:val="21"/>
              </w:rPr>
              <w:t>• The request schema is concrete and the response includes model metadata that will matter later in operations.</w:t>
            </w:r>
          </w:p>
          <w:p w14:paraId="6E7C3965" w14:textId="77777777" w:rsidR="000A20B0" w:rsidRDefault="00000000">
            <w:pPr>
              <w:spacing w:after="0" w:line="252" w:lineRule="auto"/>
              <w:ind w:left="200" w:hanging="160"/>
            </w:pPr>
            <w:r>
              <w:rPr>
                <w:rFonts w:ascii="Cambria" w:eastAsia="Cambria" w:hAnsi="Cambria"/>
                <w:sz w:val="21"/>
              </w:rPr>
              <w:t>• The replay-count option is a useful thin-slice design choice for Week 4 validation.</w:t>
            </w:r>
          </w:p>
        </w:tc>
        <w:tc>
          <w:tcPr>
            <w:tcW w:w="3269" w:type="dxa"/>
            <w:tcMar>
              <w:top w:w="70" w:type="dxa"/>
              <w:left w:w="110" w:type="dxa"/>
              <w:bottom w:w="70" w:type="dxa"/>
              <w:right w:w="110" w:type="dxa"/>
            </w:tcMar>
            <w:vAlign w:val="center"/>
          </w:tcPr>
          <w:p w14:paraId="2EB2D20D" w14:textId="77777777" w:rsidR="000A20B0" w:rsidRDefault="000A20B0"/>
          <w:p w14:paraId="1D310807" w14:textId="77777777" w:rsidR="000A20B0" w:rsidRDefault="00000000">
            <w:pPr>
              <w:spacing w:after="0" w:line="252" w:lineRule="auto"/>
              <w:ind w:left="200" w:hanging="160"/>
            </w:pPr>
            <w:r>
              <w:rPr>
                <w:rFonts w:ascii="Cambria" w:eastAsia="Cambria" w:hAnsi="Cambria"/>
                <w:sz w:val="21"/>
              </w:rPr>
              <w:t xml:space="preserve">• Include one fully reproducible request and response example </w:t>
            </w:r>
            <w:r>
              <w:rPr>
                <w:rFonts w:ascii="Cambria" w:eastAsia="Cambria" w:hAnsi="Cambria"/>
                <w:sz w:val="21"/>
              </w:rPr>
              <w:lastRenderedPageBreak/>
              <w:t>tied only to packaged files.</w:t>
            </w:r>
          </w:p>
          <w:p w14:paraId="7D0DBD12" w14:textId="77777777" w:rsidR="000A20B0" w:rsidRDefault="00000000">
            <w:pPr>
              <w:spacing w:after="0" w:line="252" w:lineRule="auto"/>
              <w:ind w:left="200" w:hanging="160"/>
            </w:pPr>
            <w:r>
              <w:rPr>
                <w:rFonts w:ascii="Cambria" w:eastAsia="Cambria" w:hAnsi="Cambria"/>
                <w:sz w:val="21"/>
              </w:rPr>
              <w:t>• Document the manual-row path and the replay path together so a reviewer does not have to infer the two modes.</w:t>
            </w:r>
          </w:p>
          <w:p w14:paraId="131B5527" w14:textId="77777777" w:rsidR="000A20B0" w:rsidRDefault="00000000">
            <w:pPr>
              <w:spacing w:after="0" w:line="252" w:lineRule="auto"/>
              <w:ind w:left="200" w:hanging="160"/>
            </w:pPr>
            <w:r>
              <w:rPr>
                <w:rFonts w:ascii="Cambria" w:eastAsia="Cambria" w:hAnsi="Cambria"/>
                <w:sz w:val="21"/>
              </w:rPr>
              <w:t>• Keep the final API examples tightly synchronized with the README.</w:t>
            </w:r>
          </w:p>
        </w:tc>
      </w:tr>
      <w:tr w:rsidR="000A20B0" w14:paraId="35D3B279" w14:textId="77777777" w:rsidTr="00EE1647">
        <w:trPr>
          <w:jc w:val="center"/>
        </w:trPr>
        <w:tc>
          <w:tcPr>
            <w:tcW w:w="2365" w:type="dxa"/>
            <w:tcMar>
              <w:top w:w="70" w:type="dxa"/>
              <w:left w:w="110" w:type="dxa"/>
              <w:bottom w:w="70" w:type="dxa"/>
              <w:right w:w="110" w:type="dxa"/>
            </w:tcMar>
            <w:vAlign w:val="center"/>
          </w:tcPr>
          <w:p w14:paraId="499B548C" w14:textId="77777777" w:rsidR="000A20B0" w:rsidRDefault="00000000">
            <w:pPr>
              <w:spacing w:after="0" w:line="259" w:lineRule="auto"/>
            </w:pPr>
            <w:r>
              <w:rPr>
                <w:rFonts w:ascii="Cambria" w:eastAsia="Cambria" w:hAnsi="Cambria"/>
                <w:b/>
              </w:rPr>
              <w:lastRenderedPageBreak/>
              <w:t>4) Infrastructure, containerization,</w:t>
            </w:r>
            <w:r>
              <w:rPr>
                <w:rFonts w:ascii="Cambria" w:eastAsia="Cambria" w:hAnsi="Cambria"/>
                <w:b/>
              </w:rPr>
              <w:br/>
              <w:t>and one-command startup</w:t>
            </w:r>
          </w:p>
        </w:tc>
        <w:tc>
          <w:tcPr>
            <w:tcW w:w="2250" w:type="dxa"/>
            <w:shd w:val="clear" w:color="auto" w:fill="EADFC0"/>
            <w:tcMar>
              <w:top w:w="70" w:type="dxa"/>
              <w:left w:w="110" w:type="dxa"/>
              <w:bottom w:w="70" w:type="dxa"/>
              <w:right w:w="110" w:type="dxa"/>
            </w:tcMar>
            <w:vAlign w:val="center"/>
          </w:tcPr>
          <w:p w14:paraId="67074E5B" w14:textId="77777777" w:rsidR="000A20B0" w:rsidRDefault="00000000">
            <w:pPr>
              <w:spacing w:after="0" w:line="259" w:lineRule="auto"/>
              <w:jc w:val="center"/>
            </w:pPr>
            <w:r>
              <w:rPr>
                <w:rFonts w:ascii="Cambria" w:eastAsia="Cambria" w:hAnsi="Cambria"/>
                <w:b/>
                <w:sz w:val="23"/>
              </w:rPr>
              <w:t>Promising / On track</w:t>
            </w:r>
          </w:p>
        </w:tc>
        <w:tc>
          <w:tcPr>
            <w:tcW w:w="3060" w:type="dxa"/>
            <w:tcMar>
              <w:top w:w="70" w:type="dxa"/>
              <w:left w:w="110" w:type="dxa"/>
              <w:bottom w:w="70" w:type="dxa"/>
              <w:right w:w="110" w:type="dxa"/>
            </w:tcMar>
            <w:vAlign w:val="center"/>
          </w:tcPr>
          <w:p w14:paraId="1E55EE8C" w14:textId="77777777" w:rsidR="000A20B0" w:rsidRDefault="000A20B0"/>
          <w:p w14:paraId="61AD4381" w14:textId="77777777" w:rsidR="000A20B0" w:rsidRDefault="00000000">
            <w:pPr>
              <w:spacing w:after="0" w:line="252" w:lineRule="auto"/>
              <w:ind w:left="200" w:hanging="160"/>
            </w:pPr>
            <w:r>
              <w:rPr>
                <w:rFonts w:ascii="Cambria" w:eastAsia="Cambria" w:hAnsi="Cambria"/>
                <w:sz w:val="21"/>
              </w:rPr>
              <w:t>• Docker Compose and the two Dockerfiles are present in the packaged deliverable.</w:t>
            </w:r>
          </w:p>
          <w:p w14:paraId="4F03931D" w14:textId="77777777" w:rsidR="000A20B0" w:rsidRDefault="00000000">
            <w:pPr>
              <w:spacing w:after="0" w:line="252" w:lineRule="auto"/>
              <w:ind w:left="200" w:hanging="160"/>
            </w:pPr>
            <w:r>
              <w:rPr>
                <w:rFonts w:ascii="Cambria" w:eastAsia="Cambria" w:hAnsi="Cambria"/>
                <w:sz w:val="21"/>
              </w:rPr>
              <w:t>• Kafka, MLflow, and the API are all represented in the compose setup as the assignment expects.</w:t>
            </w:r>
          </w:p>
          <w:p w14:paraId="572FA4E9" w14:textId="77777777" w:rsidR="000A20B0" w:rsidRDefault="00000000">
            <w:pPr>
              <w:spacing w:after="0" w:line="252" w:lineRule="auto"/>
              <w:ind w:left="200" w:hanging="160"/>
            </w:pPr>
            <w:r>
              <w:rPr>
                <w:rFonts w:ascii="Cambria" w:eastAsia="Cambria" w:hAnsi="Cambria"/>
                <w:sz w:val="21"/>
              </w:rPr>
              <w:t>• The README uses a simple startup command rather than a long manual sequence.</w:t>
            </w:r>
          </w:p>
        </w:tc>
        <w:tc>
          <w:tcPr>
            <w:tcW w:w="3269" w:type="dxa"/>
            <w:tcMar>
              <w:top w:w="70" w:type="dxa"/>
              <w:left w:w="110" w:type="dxa"/>
              <w:bottom w:w="70" w:type="dxa"/>
              <w:right w:w="110" w:type="dxa"/>
            </w:tcMar>
            <w:vAlign w:val="center"/>
          </w:tcPr>
          <w:p w14:paraId="59D675A1" w14:textId="77777777" w:rsidR="000A20B0" w:rsidRDefault="000A20B0"/>
          <w:p w14:paraId="136B8C6A" w14:textId="77777777" w:rsidR="000A20B0" w:rsidRDefault="00000000">
            <w:pPr>
              <w:spacing w:after="0" w:line="252" w:lineRule="auto"/>
              <w:ind w:left="200" w:hanging="160"/>
            </w:pPr>
            <w:r>
              <w:rPr>
                <w:rFonts w:ascii="Cambria" w:eastAsia="Cambria" w:hAnsi="Cambria"/>
                <w:sz w:val="21"/>
              </w:rPr>
              <w:t>• The execution report cites docker/compose.yaml, while the delivered package uses top-level docker-compose.yaml. Remove that ambiguity.</w:t>
            </w:r>
          </w:p>
          <w:p w14:paraId="1FF679B4" w14:textId="77777777" w:rsidR="000A20B0" w:rsidRDefault="00000000">
            <w:pPr>
              <w:spacing w:after="0" w:line="252" w:lineRule="auto"/>
              <w:ind w:left="200" w:hanging="160"/>
            </w:pPr>
            <w:r>
              <w:rPr>
                <w:rFonts w:ascii="Cambria" w:eastAsia="Cambria" w:hAnsi="Cambria"/>
                <w:sz w:val="21"/>
              </w:rPr>
              <w:t>• Make it obvious which exact files were used for the validated run.</w:t>
            </w:r>
          </w:p>
          <w:p w14:paraId="4DA7B4E6" w14:textId="77777777" w:rsidR="000A20B0" w:rsidRDefault="00000000">
            <w:pPr>
              <w:spacing w:after="0" w:line="252" w:lineRule="auto"/>
              <w:ind w:left="200" w:hanging="160"/>
            </w:pPr>
            <w:r>
              <w:rPr>
                <w:rFonts w:ascii="Cambria" w:eastAsia="Cambria" w:hAnsi="Cambria"/>
                <w:sz w:val="21"/>
              </w:rPr>
              <w:t>• The final should be reproducible from the submitted package alone, not from unstated branch context.</w:t>
            </w:r>
          </w:p>
        </w:tc>
      </w:tr>
      <w:tr w:rsidR="000A20B0" w14:paraId="7AAFF671" w14:textId="77777777" w:rsidTr="00EE1647">
        <w:trPr>
          <w:jc w:val="center"/>
        </w:trPr>
        <w:tc>
          <w:tcPr>
            <w:tcW w:w="2365" w:type="dxa"/>
            <w:tcMar>
              <w:top w:w="70" w:type="dxa"/>
              <w:left w:w="110" w:type="dxa"/>
              <w:bottom w:w="70" w:type="dxa"/>
              <w:right w:w="110" w:type="dxa"/>
            </w:tcMar>
            <w:vAlign w:val="center"/>
          </w:tcPr>
          <w:p w14:paraId="15729A69" w14:textId="77777777" w:rsidR="000A20B0" w:rsidRDefault="00000000">
            <w:pPr>
              <w:spacing w:after="0" w:line="259" w:lineRule="auto"/>
            </w:pPr>
            <w:r>
              <w:rPr>
                <w:rFonts w:ascii="Cambria" w:eastAsia="Cambria" w:hAnsi="Cambria"/>
                <w:b/>
              </w:rPr>
              <w:t>5) Replay pipeline and</w:t>
            </w:r>
            <w:r>
              <w:rPr>
                <w:rFonts w:ascii="Cambria" w:eastAsia="Cambria" w:hAnsi="Cambria"/>
                <w:b/>
              </w:rPr>
              <w:br/>
              <w:t>end-to-end integration</w:t>
            </w:r>
          </w:p>
        </w:tc>
        <w:tc>
          <w:tcPr>
            <w:tcW w:w="2250" w:type="dxa"/>
            <w:shd w:val="clear" w:color="auto" w:fill="EADFC0"/>
            <w:tcMar>
              <w:top w:w="70" w:type="dxa"/>
              <w:left w:w="110" w:type="dxa"/>
              <w:bottom w:w="70" w:type="dxa"/>
              <w:right w:w="110" w:type="dxa"/>
            </w:tcMar>
            <w:vAlign w:val="center"/>
          </w:tcPr>
          <w:p w14:paraId="689A6870" w14:textId="77777777" w:rsidR="000A20B0" w:rsidRDefault="00000000">
            <w:pPr>
              <w:spacing w:after="0" w:line="259" w:lineRule="auto"/>
              <w:jc w:val="center"/>
            </w:pPr>
            <w:r>
              <w:rPr>
                <w:rFonts w:ascii="Cambria" w:eastAsia="Cambria" w:hAnsi="Cambria"/>
                <w:b/>
                <w:sz w:val="23"/>
              </w:rPr>
              <w:t>Promising / On track</w:t>
            </w:r>
          </w:p>
        </w:tc>
        <w:tc>
          <w:tcPr>
            <w:tcW w:w="3060" w:type="dxa"/>
            <w:tcMar>
              <w:top w:w="70" w:type="dxa"/>
              <w:left w:w="110" w:type="dxa"/>
              <w:bottom w:w="70" w:type="dxa"/>
              <w:right w:w="110" w:type="dxa"/>
            </w:tcMar>
            <w:vAlign w:val="center"/>
          </w:tcPr>
          <w:p w14:paraId="06A576AB" w14:textId="77777777" w:rsidR="000A20B0" w:rsidRDefault="000A20B0"/>
          <w:p w14:paraId="14C639C4" w14:textId="77777777" w:rsidR="000A20B0" w:rsidRDefault="00000000">
            <w:pPr>
              <w:spacing w:after="0" w:line="252" w:lineRule="auto"/>
              <w:ind w:left="200" w:hanging="160"/>
            </w:pPr>
            <w:r>
              <w:rPr>
                <w:rFonts w:ascii="Cambria" w:eastAsia="Cambria" w:hAnsi="Cambria"/>
                <w:sz w:val="21"/>
              </w:rPr>
              <w:t>• The execution report gives concrete replay results rather than vague claims.</w:t>
            </w:r>
          </w:p>
          <w:p w14:paraId="13A2DE29" w14:textId="77777777" w:rsidR="000A20B0" w:rsidRDefault="00000000">
            <w:pPr>
              <w:spacing w:after="0" w:line="252" w:lineRule="auto"/>
              <w:ind w:left="200" w:hanging="160"/>
            </w:pPr>
            <w:r>
              <w:rPr>
                <w:rFonts w:ascii="Cambria" w:eastAsia="Cambria" w:hAnsi="Cambria"/>
                <w:sz w:val="21"/>
              </w:rPr>
              <w:t>• The package includes the feature parquet file and the selected model artifact needed for replay scoring.</w:t>
            </w:r>
          </w:p>
          <w:p w14:paraId="6A318915" w14:textId="77777777" w:rsidR="000A20B0" w:rsidRDefault="00000000">
            <w:pPr>
              <w:spacing w:after="0" w:line="252" w:lineRule="auto"/>
              <w:ind w:left="200" w:hanging="160"/>
            </w:pPr>
            <w:r>
              <w:rPr>
                <w:rFonts w:ascii="Cambria" w:eastAsia="Cambria" w:hAnsi="Cambria"/>
                <w:sz w:val="21"/>
              </w:rPr>
              <w:t>• The API code contains explicit replay-slice logic, which is better than a placeholder endpoint.</w:t>
            </w:r>
          </w:p>
        </w:tc>
        <w:tc>
          <w:tcPr>
            <w:tcW w:w="3269" w:type="dxa"/>
            <w:tcMar>
              <w:top w:w="70" w:type="dxa"/>
              <w:left w:w="110" w:type="dxa"/>
              <w:bottom w:w="70" w:type="dxa"/>
              <w:right w:w="110" w:type="dxa"/>
            </w:tcMar>
            <w:vAlign w:val="center"/>
          </w:tcPr>
          <w:p w14:paraId="0964E1B2" w14:textId="77777777" w:rsidR="000A20B0" w:rsidRDefault="000A20B0"/>
          <w:p w14:paraId="7E330ED3" w14:textId="77777777" w:rsidR="000A20B0" w:rsidRDefault="00000000">
            <w:pPr>
              <w:spacing w:after="0" w:line="252" w:lineRule="auto"/>
              <w:ind w:left="200" w:hanging="160"/>
            </w:pPr>
            <w:r>
              <w:rPr>
                <w:rFonts w:ascii="Cambria" w:eastAsia="Cambria" w:hAnsi="Cambria"/>
                <w:sz w:val="21"/>
              </w:rPr>
              <w:t>• The replay smoke script named in the report is not included in the package.</w:t>
            </w:r>
          </w:p>
          <w:p w14:paraId="07CCB874" w14:textId="77777777" w:rsidR="000A20B0" w:rsidRDefault="00000000">
            <w:pPr>
              <w:spacing w:after="0" w:line="252" w:lineRule="auto"/>
              <w:ind w:left="200" w:hanging="160"/>
            </w:pPr>
            <w:r>
              <w:rPr>
                <w:rFonts w:ascii="Cambria" w:eastAsia="Cambria" w:hAnsi="Cambria"/>
                <w:sz w:val="21"/>
              </w:rPr>
              <w:t>• The updated test files mentioned in the report are also not present, which weakens the replay validation story.</w:t>
            </w:r>
          </w:p>
          <w:p w14:paraId="53CD0119" w14:textId="77777777" w:rsidR="000A20B0" w:rsidRDefault="00000000">
            <w:pPr>
              <w:spacing w:after="0" w:line="252" w:lineRule="auto"/>
              <w:ind w:left="200" w:hanging="160"/>
            </w:pPr>
            <w:r>
              <w:rPr>
                <w:rFonts w:ascii="Cambria" w:eastAsia="Cambria" w:hAnsi="Cambria"/>
                <w:sz w:val="21"/>
              </w:rPr>
              <w:t>• For the final, keep the full replay path inside the deliverable so another reviewer can rerun it directly.</w:t>
            </w:r>
          </w:p>
        </w:tc>
      </w:tr>
      <w:tr w:rsidR="000A20B0" w14:paraId="7ECDE827" w14:textId="77777777" w:rsidTr="00EE1647">
        <w:trPr>
          <w:jc w:val="center"/>
        </w:trPr>
        <w:tc>
          <w:tcPr>
            <w:tcW w:w="2365" w:type="dxa"/>
            <w:tcMar>
              <w:top w:w="70" w:type="dxa"/>
              <w:left w:w="110" w:type="dxa"/>
              <w:bottom w:w="70" w:type="dxa"/>
              <w:right w:w="110" w:type="dxa"/>
            </w:tcMar>
            <w:vAlign w:val="center"/>
          </w:tcPr>
          <w:p w14:paraId="4B8E4F80" w14:textId="77777777" w:rsidR="000A20B0" w:rsidRDefault="00000000">
            <w:pPr>
              <w:spacing w:after="0" w:line="259" w:lineRule="auto"/>
            </w:pPr>
            <w:r>
              <w:rPr>
                <w:rFonts w:ascii="Cambria" w:eastAsia="Cambria" w:hAnsi="Cambria"/>
                <w:b/>
              </w:rPr>
              <w:t>6) Engineering quality,</w:t>
            </w:r>
            <w:r>
              <w:rPr>
                <w:rFonts w:ascii="Cambria" w:eastAsia="Cambria" w:hAnsi="Cambria"/>
                <w:b/>
              </w:rPr>
              <w:br/>
              <w:t>documentation, and team coordination</w:t>
            </w:r>
          </w:p>
        </w:tc>
        <w:tc>
          <w:tcPr>
            <w:tcW w:w="2250" w:type="dxa"/>
            <w:shd w:val="clear" w:color="auto" w:fill="EADFC0"/>
            <w:tcMar>
              <w:top w:w="70" w:type="dxa"/>
              <w:left w:w="110" w:type="dxa"/>
              <w:bottom w:w="70" w:type="dxa"/>
              <w:right w:w="110" w:type="dxa"/>
            </w:tcMar>
            <w:vAlign w:val="center"/>
          </w:tcPr>
          <w:p w14:paraId="2D8CC47B" w14:textId="77777777" w:rsidR="000A20B0" w:rsidRDefault="00000000">
            <w:pPr>
              <w:spacing w:after="0" w:line="259" w:lineRule="auto"/>
              <w:jc w:val="center"/>
            </w:pPr>
            <w:r>
              <w:rPr>
                <w:rFonts w:ascii="Cambria" w:eastAsia="Cambria" w:hAnsi="Cambria"/>
                <w:b/>
                <w:sz w:val="23"/>
              </w:rPr>
              <w:t>Promising / On track</w:t>
            </w:r>
          </w:p>
        </w:tc>
        <w:tc>
          <w:tcPr>
            <w:tcW w:w="3060" w:type="dxa"/>
            <w:tcMar>
              <w:top w:w="70" w:type="dxa"/>
              <w:left w:w="110" w:type="dxa"/>
              <w:bottom w:w="70" w:type="dxa"/>
              <w:right w:w="110" w:type="dxa"/>
            </w:tcMar>
            <w:vAlign w:val="center"/>
          </w:tcPr>
          <w:p w14:paraId="0C5A7A81" w14:textId="77777777" w:rsidR="000A20B0" w:rsidRDefault="000A20B0"/>
          <w:p w14:paraId="061A55D9" w14:textId="77777777" w:rsidR="000A20B0" w:rsidRDefault="00000000">
            <w:pPr>
              <w:spacing w:after="0" w:line="252" w:lineRule="auto"/>
              <w:ind w:left="200" w:hanging="160"/>
            </w:pPr>
            <w:r>
              <w:rPr>
                <w:rFonts w:ascii="Cambria" w:eastAsia="Cambria" w:hAnsi="Cambria"/>
                <w:sz w:val="21"/>
              </w:rPr>
              <w:t>• The team charter is detailed and shows a realistic division of work across later weeks.</w:t>
            </w:r>
          </w:p>
          <w:p w14:paraId="3B5C150A" w14:textId="77777777" w:rsidR="000A20B0" w:rsidRDefault="00000000">
            <w:pPr>
              <w:spacing w:after="0" w:line="252" w:lineRule="auto"/>
              <w:ind w:left="200" w:hanging="160"/>
            </w:pPr>
            <w:r>
              <w:rPr>
                <w:rFonts w:ascii="Cambria" w:eastAsia="Cambria" w:hAnsi="Cambria"/>
                <w:sz w:val="21"/>
              </w:rPr>
              <w:t>• The repo structure across pipeline, service, docs, and models is understandable.</w:t>
            </w:r>
          </w:p>
          <w:p w14:paraId="569FE4BE" w14:textId="77777777" w:rsidR="000A20B0" w:rsidRDefault="00000000">
            <w:pPr>
              <w:spacing w:after="0" w:line="252" w:lineRule="auto"/>
              <w:ind w:left="200" w:hanging="160"/>
            </w:pPr>
            <w:r>
              <w:rPr>
                <w:rFonts w:ascii="Cambria" w:eastAsia="Cambria" w:hAnsi="Cambria"/>
                <w:sz w:val="21"/>
              </w:rPr>
              <w:t>• The docs are more disciplined than many interim submissions and do show handoff thinking.</w:t>
            </w:r>
          </w:p>
        </w:tc>
        <w:tc>
          <w:tcPr>
            <w:tcW w:w="3269" w:type="dxa"/>
            <w:tcMar>
              <w:top w:w="70" w:type="dxa"/>
              <w:left w:w="110" w:type="dxa"/>
              <w:bottom w:w="70" w:type="dxa"/>
              <w:right w:w="110" w:type="dxa"/>
            </w:tcMar>
            <w:vAlign w:val="center"/>
          </w:tcPr>
          <w:p w14:paraId="4F172B22" w14:textId="77777777" w:rsidR="000A20B0" w:rsidRDefault="000A20B0"/>
          <w:p w14:paraId="46DE9696" w14:textId="77777777" w:rsidR="000A20B0" w:rsidRDefault="00000000">
            <w:pPr>
              <w:spacing w:after="0" w:line="252" w:lineRule="auto"/>
              <w:ind w:left="200" w:hanging="160"/>
            </w:pPr>
            <w:r>
              <w:rPr>
                <w:rFonts w:ascii="Cambria" w:eastAsia="Cambria" w:hAnsi="Cambria"/>
                <w:sz w:val="21"/>
              </w:rPr>
              <w:t>• The docs still over-reference prior files and milestones that are not part of the current package.</w:t>
            </w:r>
          </w:p>
          <w:p w14:paraId="6443CD29" w14:textId="77777777" w:rsidR="000A20B0" w:rsidRDefault="00000000">
            <w:pPr>
              <w:spacing w:after="0" w:line="252" w:lineRule="auto"/>
              <w:ind w:left="200" w:hanging="160"/>
            </w:pPr>
            <w:r>
              <w:rPr>
                <w:rFonts w:ascii="Cambria" w:eastAsia="Cambria" w:hAnsi="Cambria"/>
                <w:sz w:val="21"/>
              </w:rPr>
              <w:t>• Tighten the README so it reflects only what a reviewer can inspect and run now.</w:t>
            </w:r>
          </w:p>
          <w:p w14:paraId="1822817A" w14:textId="77777777" w:rsidR="000A20B0" w:rsidRDefault="00000000">
            <w:pPr>
              <w:spacing w:after="0" w:line="252" w:lineRule="auto"/>
              <w:ind w:left="200" w:hanging="160"/>
            </w:pPr>
            <w:r>
              <w:rPr>
                <w:rFonts w:ascii="Cambria" w:eastAsia="Cambria" w:hAnsi="Cambria"/>
                <w:sz w:val="21"/>
              </w:rPr>
              <w:t>• Keep the final submission focused on the actual team deliverable rather than the broader branch history.</w:t>
            </w:r>
          </w:p>
        </w:tc>
      </w:tr>
      <w:tr w:rsidR="000A20B0" w14:paraId="43E6B75A" w14:textId="77777777" w:rsidTr="00EE1647">
        <w:trPr>
          <w:jc w:val="center"/>
        </w:trPr>
        <w:tc>
          <w:tcPr>
            <w:tcW w:w="2365" w:type="dxa"/>
            <w:tcMar>
              <w:top w:w="70" w:type="dxa"/>
              <w:left w:w="110" w:type="dxa"/>
              <w:bottom w:w="70" w:type="dxa"/>
              <w:right w:w="110" w:type="dxa"/>
            </w:tcMar>
            <w:vAlign w:val="center"/>
          </w:tcPr>
          <w:p w14:paraId="3C502145" w14:textId="77777777" w:rsidR="000A20B0" w:rsidRDefault="00000000">
            <w:pPr>
              <w:spacing w:after="0" w:line="259" w:lineRule="auto"/>
            </w:pPr>
            <w:r>
              <w:rPr>
                <w:rFonts w:ascii="Cambria" w:eastAsia="Cambria" w:hAnsi="Cambria"/>
                <w:b/>
              </w:rPr>
              <w:lastRenderedPageBreak/>
              <w:t>7) Observability and</w:t>
            </w:r>
            <w:r>
              <w:rPr>
                <w:rFonts w:ascii="Cambria" w:eastAsia="Cambria" w:hAnsi="Cambria"/>
                <w:b/>
              </w:rPr>
              <w:br/>
              <w:t>debugging readiness</w:t>
            </w:r>
          </w:p>
        </w:tc>
        <w:tc>
          <w:tcPr>
            <w:tcW w:w="2250" w:type="dxa"/>
            <w:shd w:val="clear" w:color="auto" w:fill="EADFC0"/>
            <w:tcMar>
              <w:top w:w="70" w:type="dxa"/>
              <w:left w:w="110" w:type="dxa"/>
              <w:bottom w:w="70" w:type="dxa"/>
              <w:right w:w="110" w:type="dxa"/>
            </w:tcMar>
            <w:vAlign w:val="center"/>
          </w:tcPr>
          <w:p w14:paraId="69192CB4" w14:textId="77777777" w:rsidR="000A20B0" w:rsidRDefault="00000000">
            <w:pPr>
              <w:spacing w:after="0" w:line="259" w:lineRule="auto"/>
              <w:jc w:val="center"/>
            </w:pPr>
            <w:r>
              <w:rPr>
                <w:rFonts w:ascii="Cambria" w:eastAsia="Cambria" w:hAnsi="Cambria"/>
                <w:b/>
                <w:sz w:val="23"/>
              </w:rPr>
              <w:t>Promising / On track</w:t>
            </w:r>
          </w:p>
        </w:tc>
        <w:tc>
          <w:tcPr>
            <w:tcW w:w="3060" w:type="dxa"/>
            <w:tcMar>
              <w:top w:w="70" w:type="dxa"/>
              <w:left w:w="110" w:type="dxa"/>
              <w:bottom w:w="70" w:type="dxa"/>
              <w:right w:w="110" w:type="dxa"/>
            </w:tcMar>
            <w:vAlign w:val="center"/>
          </w:tcPr>
          <w:p w14:paraId="05D4F107" w14:textId="77777777" w:rsidR="000A20B0" w:rsidRDefault="000A20B0"/>
          <w:p w14:paraId="552F41C7" w14:textId="77777777" w:rsidR="000A20B0" w:rsidRDefault="00000000">
            <w:pPr>
              <w:spacing w:after="0" w:line="252" w:lineRule="auto"/>
              <w:ind w:left="200" w:hanging="160"/>
            </w:pPr>
            <w:r>
              <w:rPr>
                <w:rFonts w:ascii="Cambria" w:eastAsia="Cambria" w:hAnsi="Cambria"/>
                <w:sz w:val="21"/>
              </w:rPr>
              <w:t>• The /metrics endpoint exposes counters, gauges, and a latency histogram, which is a good Week 4 start.</w:t>
            </w:r>
          </w:p>
          <w:p w14:paraId="10FB5DE4" w14:textId="77777777" w:rsidR="000A20B0" w:rsidRDefault="00000000">
            <w:pPr>
              <w:spacing w:after="0" w:line="252" w:lineRule="auto"/>
              <w:ind w:left="200" w:hanging="160"/>
            </w:pPr>
            <w:r>
              <w:rPr>
                <w:rFonts w:ascii="Cambria" w:eastAsia="Cambria" w:hAnsi="Cambria"/>
                <w:sz w:val="21"/>
              </w:rPr>
              <w:t>• The /health and /version endpoints provide practical debugging hooks.</w:t>
            </w:r>
          </w:p>
          <w:p w14:paraId="164DAB34" w14:textId="77777777" w:rsidR="000A20B0" w:rsidRDefault="00000000">
            <w:pPr>
              <w:spacing w:after="0" w:line="252" w:lineRule="auto"/>
              <w:ind w:left="200" w:hanging="160"/>
            </w:pPr>
            <w:r>
              <w:rPr>
                <w:rFonts w:ascii="Cambria" w:eastAsia="Cambria" w:hAnsi="Cambria"/>
                <w:sz w:val="21"/>
              </w:rPr>
              <w:t>• The screenshots suggest the team is already thinking about the monitoring path for later weeks.</w:t>
            </w:r>
          </w:p>
        </w:tc>
        <w:tc>
          <w:tcPr>
            <w:tcW w:w="3269" w:type="dxa"/>
            <w:tcMar>
              <w:top w:w="70" w:type="dxa"/>
              <w:left w:w="110" w:type="dxa"/>
              <w:bottom w:w="70" w:type="dxa"/>
              <w:right w:w="110" w:type="dxa"/>
            </w:tcMar>
            <w:vAlign w:val="center"/>
          </w:tcPr>
          <w:p w14:paraId="3CADA649" w14:textId="77777777" w:rsidR="000A20B0" w:rsidRDefault="000A20B0"/>
          <w:p w14:paraId="6CD1016E" w14:textId="77777777" w:rsidR="000A20B0" w:rsidRDefault="00000000">
            <w:pPr>
              <w:spacing w:after="0" w:line="252" w:lineRule="auto"/>
              <w:ind w:left="200" w:hanging="160"/>
            </w:pPr>
            <w:r>
              <w:rPr>
                <w:rFonts w:ascii="Cambria" w:eastAsia="Cambria" w:hAnsi="Cambria"/>
                <w:sz w:val="21"/>
              </w:rPr>
              <w:t>• Most observability evidence is screenshot-based rather than runnable from the package.</w:t>
            </w:r>
          </w:p>
          <w:p w14:paraId="2930BAAB" w14:textId="77777777" w:rsidR="000A20B0" w:rsidRDefault="00000000">
            <w:pPr>
              <w:spacing w:after="0" w:line="252" w:lineRule="auto"/>
              <w:ind w:left="200" w:hanging="160"/>
            </w:pPr>
            <w:r>
              <w:rPr>
                <w:rFonts w:ascii="Cambria" w:eastAsia="Cambria" w:hAnsi="Cambria"/>
                <w:sz w:val="21"/>
              </w:rPr>
              <w:t>• The report references dashboard and Evidently links, but the packaged monitoring assets are limited.</w:t>
            </w:r>
          </w:p>
          <w:p w14:paraId="4D760691" w14:textId="77777777" w:rsidR="000A20B0" w:rsidRDefault="00000000">
            <w:pPr>
              <w:spacing w:after="0" w:line="252" w:lineRule="auto"/>
              <w:ind w:left="200" w:hanging="160"/>
            </w:pPr>
            <w:r>
              <w:rPr>
                <w:rFonts w:ascii="Cambria" w:eastAsia="Cambria" w:hAnsi="Cambria"/>
                <w:sz w:val="21"/>
              </w:rPr>
              <w:t>• The final should include the real dashboard JSON, runbook materials, and a clearer local monitoring path.</w:t>
            </w:r>
          </w:p>
        </w:tc>
      </w:tr>
      <w:tr w:rsidR="000A20B0" w14:paraId="17552B11" w14:textId="77777777" w:rsidTr="00EE1647">
        <w:trPr>
          <w:jc w:val="center"/>
        </w:trPr>
        <w:tc>
          <w:tcPr>
            <w:tcW w:w="2365" w:type="dxa"/>
            <w:tcMar>
              <w:top w:w="70" w:type="dxa"/>
              <w:left w:w="110" w:type="dxa"/>
              <w:bottom w:w="70" w:type="dxa"/>
              <w:right w:w="110" w:type="dxa"/>
            </w:tcMar>
            <w:vAlign w:val="center"/>
          </w:tcPr>
          <w:p w14:paraId="0514C6E6" w14:textId="77777777" w:rsidR="000A20B0" w:rsidRDefault="00000000">
            <w:pPr>
              <w:spacing w:after="0" w:line="259" w:lineRule="auto"/>
            </w:pPr>
            <w:r>
              <w:rPr>
                <w:rFonts w:ascii="Cambria" w:eastAsia="Cambria" w:hAnsi="Cambria"/>
                <w:b/>
              </w:rPr>
              <w:t>8) Readiness for the final</w:t>
            </w:r>
            <w:r>
              <w:rPr>
                <w:rFonts w:ascii="Cambria" w:eastAsia="Cambria" w:hAnsi="Cambria"/>
                <w:b/>
              </w:rPr>
              <w:br/>
              <w:t>report and handoff</w:t>
            </w:r>
          </w:p>
        </w:tc>
        <w:tc>
          <w:tcPr>
            <w:tcW w:w="2250" w:type="dxa"/>
            <w:shd w:val="clear" w:color="auto" w:fill="EADFC0"/>
            <w:tcMar>
              <w:top w:w="70" w:type="dxa"/>
              <w:left w:w="110" w:type="dxa"/>
              <w:bottom w:w="70" w:type="dxa"/>
              <w:right w:w="110" w:type="dxa"/>
            </w:tcMar>
            <w:vAlign w:val="center"/>
          </w:tcPr>
          <w:p w14:paraId="091F18CF" w14:textId="77777777" w:rsidR="000A20B0" w:rsidRDefault="00000000">
            <w:pPr>
              <w:spacing w:after="0" w:line="259" w:lineRule="auto"/>
              <w:jc w:val="center"/>
            </w:pPr>
            <w:r>
              <w:rPr>
                <w:rFonts w:ascii="Cambria" w:eastAsia="Cambria" w:hAnsi="Cambria"/>
                <w:b/>
                <w:sz w:val="23"/>
              </w:rPr>
              <w:t>Promising / On track</w:t>
            </w:r>
          </w:p>
        </w:tc>
        <w:tc>
          <w:tcPr>
            <w:tcW w:w="3060" w:type="dxa"/>
            <w:tcMar>
              <w:top w:w="70" w:type="dxa"/>
              <w:left w:w="110" w:type="dxa"/>
              <w:bottom w:w="70" w:type="dxa"/>
              <w:right w:w="110" w:type="dxa"/>
            </w:tcMar>
            <w:vAlign w:val="center"/>
          </w:tcPr>
          <w:p w14:paraId="090779F8" w14:textId="77777777" w:rsidR="000A20B0" w:rsidRDefault="000A20B0"/>
          <w:p w14:paraId="7EDEDE7B" w14:textId="77777777" w:rsidR="000A20B0" w:rsidRDefault="00000000">
            <w:pPr>
              <w:spacing w:after="0" w:line="252" w:lineRule="auto"/>
              <w:ind w:left="200" w:hanging="160"/>
            </w:pPr>
            <w:r>
              <w:rPr>
                <w:rFonts w:ascii="Cambria" w:eastAsia="Cambria" w:hAnsi="Cambria"/>
                <w:sz w:val="21"/>
              </w:rPr>
              <w:t>• There is enough foundation here to move into CI, reliability, and later monitoring work.</w:t>
            </w:r>
          </w:p>
          <w:p w14:paraId="470A0826" w14:textId="77777777" w:rsidR="000A20B0" w:rsidRDefault="00000000">
            <w:pPr>
              <w:spacing w:after="0" w:line="252" w:lineRule="auto"/>
              <w:ind w:left="200" w:hanging="160"/>
            </w:pPr>
            <w:r>
              <w:rPr>
                <w:rFonts w:ascii="Cambria" w:eastAsia="Cambria" w:hAnsi="Cambria"/>
                <w:sz w:val="21"/>
              </w:rPr>
              <w:t>• The selected-base model concept gives the team a stable starting point for the next phases.</w:t>
            </w:r>
          </w:p>
          <w:p w14:paraId="66E77032" w14:textId="77777777" w:rsidR="000A20B0" w:rsidRDefault="00000000">
            <w:pPr>
              <w:spacing w:after="0" w:line="252" w:lineRule="auto"/>
              <w:ind w:left="200" w:hanging="160"/>
            </w:pPr>
            <w:r>
              <w:rPr>
                <w:rFonts w:ascii="Cambria" w:eastAsia="Cambria" w:hAnsi="Cambria"/>
                <w:sz w:val="21"/>
              </w:rPr>
              <w:t>• The thin-slice API surface is credible enough to support a stronger final system.</w:t>
            </w:r>
          </w:p>
        </w:tc>
        <w:tc>
          <w:tcPr>
            <w:tcW w:w="3269" w:type="dxa"/>
            <w:tcMar>
              <w:top w:w="70" w:type="dxa"/>
              <w:left w:w="110" w:type="dxa"/>
              <w:bottom w:w="70" w:type="dxa"/>
              <w:right w:w="110" w:type="dxa"/>
            </w:tcMar>
            <w:vAlign w:val="center"/>
          </w:tcPr>
          <w:p w14:paraId="57C81890" w14:textId="77777777" w:rsidR="000A20B0" w:rsidRDefault="000A20B0"/>
          <w:p w14:paraId="32632375" w14:textId="77777777" w:rsidR="000A20B0" w:rsidRDefault="00000000">
            <w:pPr>
              <w:spacing w:after="0" w:line="252" w:lineRule="auto"/>
              <w:ind w:left="200" w:hanging="160"/>
            </w:pPr>
            <w:r>
              <w:rPr>
                <w:rFonts w:ascii="Cambria" w:eastAsia="Cambria" w:hAnsi="Cambria"/>
                <w:sz w:val="21"/>
              </w:rPr>
              <w:t>• Package completeness has to improve before the later-phase claims will feel fully convincing.</w:t>
            </w:r>
          </w:p>
          <w:p w14:paraId="2053FC7F" w14:textId="77777777" w:rsidR="000A20B0" w:rsidRDefault="00000000">
            <w:pPr>
              <w:spacing w:after="0" w:line="252" w:lineRule="auto"/>
              <w:ind w:left="200" w:hanging="160"/>
            </w:pPr>
            <w:r>
              <w:rPr>
                <w:rFonts w:ascii="Cambria" w:eastAsia="Cambria" w:hAnsi="Cambria"/>
                <w:sz w:val="21"/>
              </w:rPr>
              <w:t>• Only claim later-week readiness when the matching scripts, configs, and docs are actually delivered.</w:t>
            </w:r>
          </w:p>
          <w:p w14:paraId="510A686E" w14:textId="77777777" w:rsidR="000A20B0" w:rsidRDefault="00000000">
            <w:pPr>
              <w:spacing w:after="0" w:line="252" w:lineRule="auto"/>
              <w:ind w:left="200" w:hanging="160"/>
            </w:pPr>
            <w:r>
              <w:rPr>
                <w:rFonts w:ascii="Cambria" w:eastAsia="Cambria" w:hAnsi="Cambria"/>
                <w:sz w:val="21"/>
              </w:rPr>
              <w:t>• Use the final submission to close the gap between validation notes and reproducible artifacts.</w:t>
            </w:r>
          </w:p>
        </w:tc>
      </w:tr>
    </w:tbl>
    <w:p w14:paraId="3961DC41" w14:textId="77777777" w:rsidR="000A20B0" w:rsidRDefault="000A20B0">
      <w:pPr>
        <w:spacing w:after="160"/>
      </w:pPr>
    </w:p>
    <w:p w14:paraId="7A4B827A" w14:textId="77777777" w:rsidR="000A20B0" w:rsidRDefault="00000000">
      <w:pPr>
        <w:spacing w:after="120" w:line="283" w:lineRule="auto"/>
      </w:pPr>
      <w:r>
        <w:rPr>
          <w:rFonts w:ascii="Cambria" w:eastAsia="Cambria" w:hAnsi="Cambria"/>
          <w:b/>
          <w:color w:val="1F4E79"/>
          <w:sz w:val="30"/>
        </w:rPr>
        <w:t>Top priorities before the final submission</w:t>
      </w:r>
    </w:p>
    <w:p w14:paraId="3DD96C7F" w14:textId="77777777" w:rsidR="000A20B0" w:rsidRDefault="00000000">
      <w:pPr>
        <w:spacing w:after="0" w:line="259" w:lineRule="auto"/>
      </w:pPr>
      <w:r>
        <w:rPr>
          <w:rFonts w:ascii="Cambria" w:eastAsia="Cambria" w:hAnsi="Cambria"/>
          <w:sz w:val="23"/>
        </w:rPr>
        <w:t>• Make the package and report match exactly</w:t>
      </w:r>
    </w:p>
    <w:p w14:paraId="59240672" w14:textId="7F6AAA5D" w:rsidR="000A20B0" w:rsidRDefault="00000000" w:rsidP="00EE1647">
      <w:pPr>
        <w:pStyle w:val="ListParagraph"/>
        <w:numPr>
          <w:ilvl w:val="0"/>
          <w:numId w:val="12"/>
        </w:numPr>
        <w:spacing w:after="0" w:line="252" w:lineRule="auto"/>
      </w:pPr>
      <w:r w:rsidRPr="00EE1647">
        <w:rPr>
          <w:rFonts w:ascii="Cambria" w:eastAsia="Cambria" w:hAnsi="Cambria"/>
        </w:rPr>
        <w:t>Include every script, test, and dashboard artifact mentioned in the report, or remove the references.</w:t>
      </w:r>
    </w:p>
    <w:p w14:paraId="56183A19" w14:textId="6D56F751" w:rsidR="000A20B0" w:rsidRDefault="00000000" w:rsidP="00EE1647">
      <w:pPr>
        <w:pStyle w:val="ListParagraph"/>
        <w:numPr>
          <w:ilvl w:val="0"/>
          <w:numId w:val="12"/>
        </w:numPr>
        <w:spacing w:after="0" w:line="252" w:lineRule="auto"/>
      </w:pPr>
      <w:r w:rsidRPr="00EE1647">
        <w:rPr>
          <w:rFonts w:ascii="Cambria" w:eastAsia="Cambria" w:hAnsi="Cambria"/>
        </w:rPr>
        <w:t xml:space="preserve">Ensure the file paths in the report, README, </w:t>
      </w:r>
      <w:proofErr w:type="gramStart"/>
      <w:r w:rsidRPr="00EE1647">
        <w:rPr>
          <w:rFonts w:ascii="Cambria" w:eastAsia="Cambria" w:hAnsi="Cambria"/>
        </w:rPr>
        <w:t>Compose</w:t>
      </w:r>
      <w:proofErr w:type="gramEnd"/>
      <w:r w:rsidRPr="00EE1647">
        <w:rPr>
          <w:rFonts w:ascii="Cambria" w:eastAsia="Cambria" w:hAnsi="Cambria"/>
        </w:rPr>
        <w:t xml:space="preserve"> file, and docs all agree.</w:t>
      </w:r>
    </w:p>
    <w:p w14:paraId="7A79C67E" w14:textId="77777777" w:rsidR="000A20B0" w:rsidRDefault="00000000">
      <w:pPr>
        <w:spacing w:after="0" w:line="259" w:lineRule="auto"/>
      </w:pPr>
      <w:r>
        <w:rPr>
          <w:rFonts w:ascii="Cambria" w:eastAsia="Cambria" w:hAnsi="Cambria"/>
          <w:sz w:val="23"/>
        </w:rPr>
        <w:t>• Strengthen reproducibility of the replay path</w:t>
      </w:r>
    </w:p>
    <w:p w14:paraId="2CC0C1D1" w14:textId="582D809E" w:rsidR="000A20B0" w:rsidRDefault="00000000" w:rsidP="00EE1647">
      <w:pPr>
        <w:pStyle w:val="ListParagraph"/>
        <w:numPr>
          <w:ilvl w:val="0"/>
          <w:numId w:val="13"/>
        </w:numPr>
        <w:spacing w:after="0" w:line="252" w:lineRule="auto"/>
      </w:pPr>
      <w:r w:rsidRPr="00EE1647">
        <w:rPr>
          <w:rFonts w:ascii="Cambria" w:eastAsia="Cambria" w:hAnsi="Cambria"/>
        </w:rPr>
        <w:t>Include the replay smoke script and any validation tests used for the Week 4 run.</w:t>
      </w:r>
    </w:p>
    <w:p w14:paraId="79D833EE" w14:textId="2F0F58B2" w:rsidR="000A20B0" w:rsidRDefault="00000000" w:rsidP="00EE1647">
      <w:pPr>
        <w:pStyle w:val="ListParagraph"/>
        <w:numPr>
          <w:ilvl w:val="0"/>
          <w:numId w:val="13"/>
        </w:numPr>
        <w:spacing w:after="0" w:line="252" w:lineRule="auto"/>
      </w:pPr>
      <w:r w:rsidRPr="00EE1647">
        <w:rPr>
          <w:rFonts w:ascii="Cambria" w:eastAsia="Cambria" w:hAnsi="Cambria"/>
        </w:rPr>
        <w:t>Make it easy for a reviewer to rerun the replay flow from the delivered package alone.</w:t>
      </w:r>
    </w:p>
    <w:p w14:paraId="764D3CD3" w14:textId="77777777" w:rsidR="000A20B0" w:rsidRDefault="00000000">
      <w:pPr>
        <w:spacing w:after="0" w:line="259" w:lineRule="auto"/>
      </w:pPr>
      <w:r>
        <w:rPr>
          <w:rFonts w:ascii="Cambria" w:eastAsia="Cambria" w:hAnsi="Cambria"/>
          <w:sz w:val="23"/>
        </w:rPr>
        <w:t>• Turn screenshots into runnable evidence</w:t>
      </w:r>
    </w:p>
    <w:p w14:paraId="0C23652A" w14:textId="5AF04463" w:rsidR="000A20B0" w:rsidRDefault="00000000" w:rsidP="00EE1647">
      <w:pPr>
        <w:pStyle w:val="ListParagraph"/>
        <w:numPr>
          <w:ilvl w:val="0"/>
          <w:numId w:val="17"/>
        </w:numPr>
        <w:spacing w:after="0" w:line="252" w:lineRule="auto"/>
      </w:pPr>
      <w:r w:rsidRPr="00EE1647">
        <w:rPr>
          <w:rFonts w:ascii="Cambria" w:eastAsia="Cambria" w:hAnsi="Cambria"/>
        </w:rPr>
        <w:t>Include the real dashboard data or configuration where relevant, not just screenshots.</w:t>
      </w:r>
    </w:p>
    <w:p w14:paraId="44ECAF22" w14:textId="46EB8951" w:rsidR="000A20B0" w:rsidRDefault="00000000" w:rsidP="00EE1647">
      <w:pPr>
        <w:pStyle w:val="ListParagraph"/>
        <w:numPr>
          <w:ilvl w:val="0"/>
          <w:numId w:val="17"/>
        </w:numPr>
        <w:spacing w:after="0" w:line="252" w:lineRule="auto"/>
      </w:pPr>
      <w:r w:rsidRPr="00EE1647">
        <w:rPr>
          <w:rFonts w:ascii="Cambria" w:eastAsia="Cambria" w:hAnsi="Cambria"/>
        </w:rPr>
        <w:t>Prepare for Weeks 5-7 by tightening the monitoring, QA, and handoff assets now.</w:t>
      </w:r>
    </w:p>
    <w:p w14:paraId="47079201" w14:textId="77777777" w:rsidR="000A20B0" w:rsidRDefault="00000000">
      <w:pPr>
        <w:spacing w:before="160" w:after="120" w:line="283" w:lineRule="auto"/>
      </w:pPr>
      <w:r>
        <w:rPr>
          <w:rFonts w:ascii="Cambria" w:eastAsia="Cambria" w:hAnsi="Cambria"/>
          <w:b/>
          <w:color w:val="1F4E79"/>
          <w:sz w:val="30"/>
        </w:rPr>
        <w:t>Recommended direction</w:t>
      </w:r>
    </w:p>
    <w:p w14:paraId="0879045D" w14:textId="77777777" w:rsidR="000A20B0" w:rsidRDefault="00000000">
      <w:pPr>
        <w:spacing w:after="0" w:line="252" w:lineRule="auto"/>
      </w:pPr>
      <w:r>
        <w:rPr>
          <w:rFonts w:ascii="Cambria" w:eastAsia="Cambria" w:hAnsi="Cambria"/>
          <w:sz w:val="23"/>
        </w:rPr>
        <w:t>• Continue current direction with targeted refinement</w:t>
      </w:r>
    </w:p>
    <w:p w14:paraId="25A908A7" w14:textId="77777777" w:rsidR="000A20B0" w:rsidRDefault="00000000">
      <w:pPr>
        <w:spacing w:after="0" w:line="252" w:lineRule="auto"/>
      </w:pPr>
      <w:r>
        <w:rPr>
          <w:rFonts w:ascii="Cambria" w:eastAsia="Cambria" w:hAnsi="Cambria"/>
          <w:sz w:val="23"/>
        </w:rPr>
        <w:t>• Improve Docker reproducibility and startup clarity</w:t>
      </w:r>
    </w:p>
    <w:p w14:paraId="60BDB03B" w14:textId="77777777" w:rsidR="000A20B0" w:rsidRDefault="00000000">
      <w:pPr>
        <w:spacing w:after="0" w:line="252" w:lineRule="auto"/>
      </w:pPr>
      <w:r>
        <w:rPr>
          <w:rFonts w:ascii="Cambria" w:eastAsia="Cambria" w:hAnsi="Cambria"/>
          <w:sz w:val="23"/>
        </w:rPr>
        <w:t>• Strengthen replay pipeline integration</w:t>
      </w:r>
    </w:p>
    <w:p w14:paraId="681E9ECC" w14:textId="77777777" w:rsidR="000A20B0" w:rsidRDefault="00000000">
      <w:pPr>
        <w:spacing w:after="0" w:line="252" w:lineRule="auto"/>
      </w:pPr>
      <w:r>
        <w:rPr>
          <w:rFonts w:ascii="Cambria" w:eastAsia="Cambria" w:hAnsi="Cambria"/>
          <w:sz w:val="23"/>
        </w:rPr>
        <w:t>• Improve documentation and repo completeness</w:t>
      </w:r>
    </w:p>
    <w:p w14:paraId="79BEF05E" w14:textId="77777777" w:rsidR="000A20B0" w:rsidRDefault="00000000">
      <w:pPr>
        <w:spacing w:after="0" w:line="252" w:lineRule="auto"/>
      </w:pPr>
      <w:r>
        <w:rPr>
          <w:rFonts w:ascii="Cambria" w:eastAsia="Cambria" w:hAnsi="Cambria"/>
          <w:sz w:val="23"/>
        </w:rPr>
        <w:t>• Build a stronger path to monitoring and reliability</w:t>
      </w:r>
    </w:p>
    <w:sectPr w:rsidR="000A20B0"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A818A" w14:textId="77777777" w:rsidR="00D0287D" w:rsidRDefault="00D0287D">
      <w:pPr>
        <w:spacing w:after="0" w:line="240" w:lineRule="auto"/>
      </w:pPr>
      <w:r>
        <w:separator/>
      </w:r>
    </w:p>
  </w:endnote>
  <w:endnote w:type="continuationSeparator" w:id="0">
    <w:p w14:paraId="575BFBB5" w14:textId="77777777" w:rsidR="00D0287D" w:rsidRDefault="00D02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90E75" w14:textId="77777777" w:rsidR="000A20B0" w:rsidRDefault="00000000">
    <w:pPr>
      <w:pStyle w:val="Footer"/>
      <w:jc w:val="center"/>
    </w:pPr>
    <w:r>
      <w:rPr>
        <w:rFonts w:ascii="Cambria" w:eastAsia="Cambria" w:hAnsi="Cambria"/>
        <w:sz w:val="21"/>
      </w:rPr>
      <w:t xml:space="preserve">Page </w:t>
    </w:r>
    <w:r>
      <w:rPr>
        <w:rFonts w:ascii="Cambria" w:eastAsia="Cambria" w:hAnsi="Cambria"/>
        <w:sz w:val="21"/>
      </w:rPr>
      <w:fldChar w:fldCharType="begin"/>
    </w:r>
    <w:r>
      <w:rPr>
        <w:rFonts w:ascii="Cambria" w:eastAsia="Cambria" w:hAnsi="Cambria"/>
        <w:sz w:val="21"/>
      </w:rPr>
      <w:instrText>PAGE</w:instrText>
    </w:r>
    <w:r w:rsidR="00EE1647">
      <w:rPr>
        <w:rFonts w:ascii="Cambria" w:eastAsia="Cambria" w:hAnsi="Cambria"/>
        <w:sz w:val="21"/>
      </w:rPr>
      <w:fldChar w:fldCharType="separate"/>
    </w:r>
    <w:r w:rsidR="00EE1647">
      <w:rPr>
        <w:rFonts w:ascii="Cambria" w:eastAsia="Cambria" w:hAnsi="Cambria"/>
        <w:noProof/>
        <w:sz w:val="21"/>
      </w:rPr>
      <w:t>1</w:t>
    </w:r>
    <w:r>
      <w:rPr>
        <w:rFonts w:ascii="Cambria" w:eastAsia="Cambria" w:hAnsi="Cambria"/>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77703" w14:textId="77777777" w:rsidR="00D0287D" w:rsidRDefault="00D0287D">
      <w:pPr>
        <w:spacing w:after="0" w:line="240" w:lineRule="auto"/>
      </w:pPr>
      <w:r>
        <w:separator/>
      </w:r>
    </w:p>
  </w:footnote>
  <w:footnote w:type="continuationSeparator" w:id="0">
    <w:p w14:paraId="577D2AFF" w14:textId="77777777" w:rsidR="00D0287D" w:rsidRDefault="00D02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7BE8" w14:textId="77777777" w:rsidR="000A20B0" w:rsidRDefault="00000000">
    <w:pPr>
      <w:pStyle w:val="Header"/>
      <w:jc w:val="right"/>
    </w:pPr>
    <w:r>
      <w:rPr>
        <w:rFonts w:ascii="Cambria" w:eastAsia="Cambria" w:hAnsi="Cambria"/>
        <w:color w:val="6E6E6E"/>
        <w:sz w:val="21"/>
      </w:rPr>
      <w:t>Operationalizing AI | Interim feedback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AA7304"/>
    <w:multiLevelType w:val="hybridMultilevel"/>
    <w:tmpl w:val="454E37A8"/>
    <w:lvl w:ilvl="0" w:tplc="1DD84898">
      <w:numFmt w:val="bullet"/>
      <w:lvlText w:val="•"/>
      <w:lvlJc w:val="left"/>
      <w:pPr>
        <w:ind w:left="640" w:hanging="360"/>
      </w:pPr>
      <w:rPr>
        <w:rFonts w:ascii="Cambria" w:eastAsia="Cambria" w:hAnsi="Cambria" w:cstheme="minorBidi"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0" w15:restartNumberingAfterBreak="0">
    <w:nsid w:val="264E2652"/>
    <w:multiLevelType w:val="hybridMultilevel"/>
    <w:tmpl w:val="B5422234"/>
    <w:lvl w:ilvl="0" w:tplc="ECBCB178">
      <w:numFmt w:val="bullet"/>
      <w:lvlText w:val="•"/>
      <w:lvlJc w:val="left"/>
      <w:pPr>
        <w:ind w:left="920" w:hanging="360"/>
      </w:pPr>
      <w:rPr>
        <w:rFonts w:ascii="Cambria" w:eastAsia="Cambria" w:hAnsi="Cambria" w:cstheme="minorBidi"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11" w15:restartNumberingAfterBreak="0">
    <w:nsid w:val="497A0B2F"/>
    <w:multiLevelType w:val="hybridMultilevel"/>
    <w:tmpl w:val="0DAA6EB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360" w:hanging="360"/>
      </w:pPr>
      <w:rPr>
        <w:rFonts w:ascii="Courier New" w:hAnsi="Courier New" w:cs="Courier New" w:hint="default"/>
      </w:rPr>
    </w:lvl>
    <w:lvl w:ilvl="2" w:tplc="FFFFFFFF" w:tentative="1">
      <w:start w:val="1"/>
      <w:numFmt w:val="bullet"/>
      <w:lvlText w:val=""/>
      <w:lvlJc w:val="left"/>
      <w:pPr>
        <w:ind w:left="2080" w:hanging="360"/>
      </w:pPr>
      <w:rPr>
        <w:rFonts w:ascii="Wingdings" w:hAnsi="Wingdings" w:hint="default"/>
      </w:rPr>
    </w:lvl>
    <w:lvl w:ilvl="3" w:tplc="FFFFFFFF" w:tentative="1">
      <w:start w:val="1"/>
      <w:numFmt w:val="bullet"/>
      <w:lvlText w:val=""/>
      <w:lvlJc w:val="left"/>
      <w:pPr>
        <w:ind w:left="2800" w:hanging="360"/>
      </w:pPr>
      <w:rPr>
        <w:rFonts w:ascii="Symbol" w:hAnsi="Symbol" w:hint="default"/>
      </w:rPr>
    </w:lvl>
    <w:lvl w:ilvl="4" w:tplc="FFFFFFFF" w:tentative="1">
      <w:start w:val="1"/>
      <w:numFmt w:val="bullet"/>
      <w:lvlText w:val="o"/>
      <w:lvlJc w:val="left"/>
      <w:pPr>
        <w:ind w:left="3520" w:hanging="360"/>
      </w:pPr>
      <w:rPr>
        <w:rFonts w:ascii="Courier New" w:hAnsi="Courier New" w:cs="Courier New" w:hint="default"/>
      </w:rPr>
    </w:lvl>
    <w:lvl w:ilvl="5" w:tplc="FFFFFFFF" w:tentative="1">
      <w:start w:val="1"/>
      <w:numFmt w:val="bullet"/>
      <w:lvlText w:val=""/>
      <w:lvlJc w:val="left"/>
      <w:pPr>
        <w:ind w:left="4240" w:hanging="360"/>
      </w:pPr>
      <w:rPr>
        <w:rFonts w:ascii="Wingdings" w:hAnsi="Wingdings" w:hint="default"/>
      </w:rPr>
    </w:lvl>
    <w:lvl w:ilvl="6" w:tplc="FFFFFFFF" w:tentative="1">
      <w:start w:val="1"/>
      <w:numFmt w:val="bullet"/>
      <w:lvlText w:val=""/>
      <w:lvlJc w:val="left"/>
      <w:pPr>
        <w:ind w:left="4960" w:hanging="360"/>
      </w:pPr>
      <w:rPr>
        <w:rFonts w:ascii="Symbol" w:hAnsi="Symbol" w:hint="default"/>
      </w:rPr>
    </w:lvl>
    <w:lvl w:ilvl="7" w:tplc="FFFFFFFF" w:tentative="1">
      <w:start w:val="1"/>
      <w:numFmt w:val="bullet"/>
      <w:lvlText w:val="o"/>
      <w:lvlJc w:val="left"/>
      <w:pPr>
        <w:ind w:left="5680" w:hanging="360"/>
      </w:pPr>
      <w:rPr>
        <w:rFonts w:ascii="Courier New" w:hAnsi="Courier New" w:cs="Courier New" w:hint="default"/>
      </w:rPr>
    </w:lvl>
    <w:lvl w:ilvl="8" w:tplc="FFFFFFFF" w:tentative="1">
      <w:start w:val="1"/>
      <w:numFmt w:val="bullet"/>
      <w:lvlText w:val=""/>
      <w:lvlJc w:val="left"/>
      <w:pPr>
        <w:ind w:left="6400" w:hanging="360"/>
      </w:pPr>
      <w:rPr>
        <w:rFonts w:ascii="Wingdings" w:hAnsi="Wingdings" w:hint="default"/>
      </w:rPr>
    </w:lvl>
  </w:abstractNum>
  <w:abstractNum w:abstractNumId="12" w15:restartNumberingAfterBreak="0">
    <w:nsid w:val="4F111821"/>
    <w:multiLevelType w:val="hybridMultilevel"/>
    <w:tmpl w:val="D67259D8"/>
    <w:lvl w:ilvl="0" w:tplc="F89AB5F8">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8061CF"/>
    <w:multiLevelType w:val="hybridMultilevel"/>
    <w:tmpl w:val="FB7C59B4"/>
    <w:lvl w:ilvl="0" w:tplc="ECBCB178">
      <w:numFmt w:val="bullet"/>
      <w:lvlText w:val="•"/>
      <w:lvlJc w:val="left"/>
      <w:pPr>
        <w:ind w:left="640" w:hanging="360"/>
      </w:pPr>
      <w:rPr>
        <w:rFonts w:ascii="Cambria" w:eastAsia="Cambria" w:hAnsi="Cambria" w:cstheme="minorBidi"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4" w15:restartNumberingAfterBreak="0">
    <w:nsid w:val="586B4AA4"/>
    <w:multiLevelType w:val="hybridMultilevel"/>
    <w:tmpl w:val="918661B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5D61F1D"/>
    <w:multiLevelType w:val="hybridMultilevel"/>
    <w:tmpl w:val="9498F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D424BC"/>
    <w:multiLevelType w:val="hybridMultilevel"/>
    <w:tmpl w:val="CC5EC872"/>
    <w:lvl w:ilvl="0" w:tplc="ECBCB178">
      <w:numFmt w:val="bullet"/>
      <w:lvlText w:val="•"/>
      <w:lvlJc w:val="left"/>
      <w:pPr>
        <w:ind w:left="640" w:hanging="360"/>
      </w:pPr>
      <w:rPr>
        <w:rFonts w:ascii="Cambria" w:eastAsia="Cambria" w:hAnsi="Cambria" w:cstheme="minorBidi"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num w:numId="1" w16cid:durableId="1526213907">
    <w:abstractNumId w:val="8"/>
  </w:num>
  <w:num w:numId="2" w16cid:durableId="993147968">
    <w:abstractNumId w:val="6"/>
  </w:num>
  <w:num w:numId="3" w16cid:durableId="1114910875">
    <w:abstractNumId w:val="5"/>
  </w:num>
  <w:num w:numId="4" w16cid:durableId="328142483">
    <w:abstractNumId w:val="4"/>
  </w:num>
  <w:num w:numId="5" w16cid:durableId="1216820621">
    <w:abstractNumId w:val="7"/>
  </w:num>
  <w:num w:numId="6" w16cid:durableId="1661542841">
    <w:abstractNumId w:val="3"/>
  </w:num>
  <w:num w:numId="7" w16cid:durableId="1399353769">
    <w:abstractNumId w:val="2"/>
  </w:num>
  <w:num w:numId="8" w16cid:durableId="1106997150">
    <w:abstractNumId w:val="1"/>
  </w:num>
  <w:num w:numId="9" w16cid:durableId="1273173879">
    <w:abstractNumId w:val="0"/>
  </w:num>
  <w:num w:numId="10" w16cid:durableId="1210805997">
    <w:abstractNumId w:val="12"/>
  </w:num>
  <w:num w:numId="11" w16cid:durableId="717243750">
    <w:abstractNumId w:val="9"/>
  </w:num>
  <w:num w:numId="12" w16cid:durableId="1028220769">
    <w:abstractNumId w:val="14"/>
  </w:num>
  <w:num w:numId="13" w16cid:durableId="1045908937">
    <w:abstractNumId w:val="15"/>
  </w:num>
  <w:num w:numId="14" w16cid:durableId="1257666874">
    <w:abstractNumId w:val="16"/>
  </w:num>
  <w:num w:numId="15" w16cid:durableId="647586366">
    <w:abstractNumId w:val="10"/>
  </w:num>
  <w:num w:numId="16" w16cid:durableId="1472868161">
    <w:abstractNumId w:val="13"/>
  </w:num>
  <w:num w:numId="17" w16cid:durableId="11663603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0B0"/>
    <w:rsid w:val="0015074B"/>
    <w:rsid w:val="0029639D"/>
    <w:rsid w:val="00326F90"/>
    <w:rsid w:val="009574B4"/>
    <w:rsid w:val="00AA1D8D"/>
    <w:rsid w:val="00B47730"/>
    <w:rsid w:val="00CB0664"/>
    <w:rsid w:val="00D0287D"/>
    <w:rsid w:val="00EE1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670C8"/>
  <w14:defaultImageDpi w14:val="300"/>
  <w15:docId w15:val="{0818A28E-7ADE-074D-8DD0-480066FCB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1024</Words>
  <Characters>5750</Characters>
  <Application>Microsoft Office Word</Application>
  <DocSecurity>0</DocSecurity>
  <Lines>250</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Srinivasa Rao</cp:lastModifiedBy>
  <cp:revision>2</cp:revision>
  <dcterms:created xsi:type="dcterms:W3CDTF">2013-12-23T23:15:00Z</dcterms:created>
  <dcterms:modified xsi:type="dcterms:W3CDTF">2026-04-20T00:49:00Z</dcterms:modified>
  <cp:category/>
</cp:coreProperties>
</file>