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ind w:firstLine="0"/>
        <w:jc w:val="center"/>
        <w:rPr>
          <w:sz w:val="24"/>
          <w:szCs w:val="24"/>
        </w:rPr>
      </w:pPr>
      <w:bookmarkStart w:colFirst="0" w:colLast="0" w:name="_vv6cbidihr93" w:id="0"/>
      <w:bookmarkEnd w:id="0"/>
      <w:r w:rsidDel="00000000" w:rsidR="00000000" w:rsidRPr="00000000">
        <w:rPr>
          <w:sz w:val="24"/>
          <w:szCs w:val="24"/>
          <w:rtl w:val="0"/>
        </w:rPr>
        <w:t xml:space="preserve">Universidade Presbiteriana Mackenzie - Pós Graduação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firstLine="0"/>
        <w:jc w:val="center"/>
        <w:rPr>
          <w:sz w:val="24"/>
          <w:szCs w:val="24"/>
        </w:rPr>
      </w:pPr>
      <w:bookmarkStart w:colFirst="0" w:colLast="0" w:name="_rzdrn9n55kl2" w:id="1"/>
      <w:bookmarkEnd w:id="1"/>
      <w:r w:rsidDel="00000000" w:rsidR="00000000" w:rsidRPr="00000000">
        <w:rPr>
          <w:sz w:val="24"/>
          <w:szCs w:val="24"/>
          <w:rtl w:val="0"/>
        </w:rPr>
        <w:t xml:space="preserve">Rafael Barbosa Zuquim Antas</w:t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firstLine="0"/>
        <w:jc w:val="center"/>
        <w:rPr/>
      </w:pPr>
      <w:bookmarkStart w:colFirst="0" w:colLast="0" w:name="_1s6m32qgn5kf" w:id="2"/>
      <w:bookmarkEnd w:id="2"/>
      <w:r w:rsidDel="00000000" w:rsidR="00000000" w:rsidRPr="00000000">
        <w:rPr>
          <w:sz w:val="24"/>
          <w:szCs w:val="24"/>
          <w:rtl w:val="0"/>
        </w:rPr>
        <w:t xml:space="preserve">Exploração das paixões do trabalhador no desenvolvimento de Jogos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Em novembro de 2004 uma carta aberta postada em um blog pessoal colocou luz nas práticas de trabalho abusivas da indústria de jogos digitais. Em "EA: Uma história de humanos" (EA-Spouse, 2004, tradução nossa), a companheira de um desenvolvedor que trabalhava em uma das maiores corporações dessa indústria, a Electronic Arts - EA, desabafa sobre a árdua rotina de trabalho de seu parceiro.</w:t>
      </w:r>
    </w:p>
    <w:p w:rsidR="00000000" w:rsidDel="00000000" w:rsidP="00000000" w:rsidRDefault="00000000" w:rsidRPr="00000000" w14:paraId="0000000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"O amor da minha vida está chegando em casa tarde da noite, reclamando de uma dor de cabeça que não passa e de um estômago cronicamente irritado, e meu sorriso terno e de apoio está se esgotando" (EA-Spouse, 2004, tradução nossa). Ela descreve, com detalhes, o aumento paulatino da exigência da empresa que, no pior momento, chega a uma rotina de sete dias de trabalho e 85 horas semanais, não recompensadas por horas extras ou por banco de horas. Apesar desta anedota se passar no cenário glamouroso e tecnológico do vale do silício, as respostas e comentários no </w:t>
      </w:r>
      <w:r w:rsidDel="00000000" w:rsidR="00000000" w:rsidRPr="00000000">
        <w:rPr>
          <w:i w:val="1"/>
          <w:i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indicaram que esse estava longe de ser um caso isolado, mas sim uma regra.</w:t>
      </w:r>
    </w:p>
    <w:p w:rsidR="00000000" w:rsidDel="00000000" w:rsidP="00000000" w:rsidRDefault="00000000" w:rsidRPr="00000000" w14:paraId="00000007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globalização e o trabalho mediado por plataformas (Abílio, 2020) trouxe essas empresas e suas práticas ao sul global (de Peuter e Dyer-Witheford, 2005). É imperioso, apontar que a rotina demandante dessa indústria, com uma força de trabalho majoritariamente masculina (GDC, 2025), é alicerçada na esfera invisível e sem compensação financeira do trabalho reprodutivo de mulheres (Hirata e Kergoat, 2007). No relato de Erin Hoffman, nome real da autora do blog citado, o papel de provedora de cuidado é desvelado no seu "sorriso terno e de apoio" que sustenta emocionalmente seu companheiro.</w:t>
      </w:r>
    </w:p>
    <w:p w:rsidR="00000000" w:rsidDel="00000000" w:rsidP="00000000" w:rsidRDefault="00000000" w:rsidRPr="00000000" w14:paraId="00000008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Uma face cruel do excesso de trabalho é a "devastação caótica que a indústria causa na vida pessoal" (IGDA, 2019). Uma "fábrica de divórcios" (Dyer-Witheford, 2006), denunciada pelo pseudônimo escolhido por Erin: "esposa da EA". Em um questionamento retórico, ela se pergunta porque continuaram a se submeter por meses a essas condições? Essa é a pergunta que motiva este trabalho, e para começar a tentar respondê-la precisamos de algumas definições.</w:t>
      </w:r>
    </w:p>
    <w:p w:rsidR="00000000" w:rsidDel="00000000" w:rsidP="00000000" w:rsidRDefault="00000000" w:rsidRPr="00000000" w14:paraId="00000009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Uma definição bem aceita para o que é um jogo diz: "Sistema baseado em regras, com resultados variáveis e quantificáveis, nos quais diferentes resultados possuem valores distintos. O jogador exerce esforço para influenciar esses resultados e através desse esforço desenvolve envolvimento emocional com eles. Por fim, as consequências da atividade são opcionais e negociáveis" (Juul, 2011, tradução nossa). O que se pode ressaltar dessa, e de outras tentativas de definição do conceito, é que esforço e conflito quase sempre estão presentes como fricção a ser superada em nome de uma experiência recompensadora.</w:t>
      </w:r>
    </w:p>
    <w:p w:rsidR="00000000" w:rsidDel="00000000" w:rsidP="00000000" w:rsidRDefault="00000000" w:rsidRPr="00000000" w14:paraId="0000000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É difícil não enxergar essa definição sob a lente da psicodinâmica do trabalho, onde o encontro com o real, quando superado pelo trabalhador e reconhecido por seus pares, gera realização e prazer (Dejours, 2009). Nesse sentido, um bom jogo se assemelha a um bom ambiente de trabalho. Regras e objetivos claros podem ser associados ao trabalho prescrito; a aleatoriedade de um dado associado à imprevisibilidade do "real"; e a mobilização da inteligência e da habilidade para vencer um obstáculo ao engajamento subjetivo e criativo do trabalhador para percorrer a distância entre o prescrito e o efetivo.</w:t>
      </w:r>
    </w:p>
    <w:p w:rsidR="00000000" w:rsidDel="00000000" w:rsidP="00000000" w:rsidRDefault="00000000" w:rsidRPr="00000000" w14:paraId="0000000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Grandes desenvolvedoras e distribuidoras de jogos, por necessidade de sua função, dominam esses mecanismos psíquicos de engajamento e não os aplicam apenas aos jogadores, mas também à gestão do trabalho. É uma prática comum, por exemplo, condicionar os pagamentos ao cumprimento dos diversos marcos (</w:t>
      </w:r>
      <w:r w:rsidDel="00000000" w:rsidR="00000000" w:rsidRPr="00000000">
        <w:rPr>
          <w:i w:val="1"/>
          <w:i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) estabelecidos pelas distribuidoras. Caso o time consiga entregar no prazo, o pagamento acontece (Dyer-Witheford, 2006), num ciclo intermitente de pressão e alívio pós-superação que gera engajamento (Schell, 2019). Outra prática comum, que encontra ressonância no </w:t>
      </w:r>
      <w:r w:rsidDel="00000000" w:rsidR="00000000" w:rsidRPr="00000000">
        <w:rPr>
          <w:i w:val="1"/>
          <w:iCs w:val="1"/>
          <w:rtl w:val="0"/>
        </w:rPr>
        <w:t xml:space="preserve">game-design</w:t>
      </w:r>
      <w:r w:rsidDel="00000000" w:rsidR="00000000" w:rsidRPr="00000000">
        <w:rPr>
          <w:rtl w:val="0"/>
        </w:rPr>
        <w:t xml:space="preserve">, é a escalada de desafio e recompensa. O próximo "chefão" é sempre o mais forte e ele vai te entregar uma recompensa ainda maior. Nessa toada, a divisão do pagamento das distribuidoras costuma acontecer de forma não proporcional e os últimos pagamentos correspondem à maior parte do montante contratado (Dyer-Witheford, 2006). Mesmo se vendo cada vez mais afundados em uma rotina de trabalho impossível, o trabalhador ou o pequeno estúdio, já investiu muito recurso e tempo para desistir "na reta final". “É comum que seja impossível adiar uma data de entrega sem uma consequência catastrófica como o cancelamento ou até a falência" (Dyer-Witheford, 2006, tradução nossa).</w:t>
      </w:r>
    </w:p>
    <w:p w:rsidR="00000000" w:rsidDel="00000000" w:rsidP="00000000" w:rsidRDefault="00000000" w:rsidRPr="00000000" w14:paraId="0000000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Aqui entra uma divergência fundamental no paralelo entre o design de jogos e a  realidade da gestão do trabalho. Enquanto o primeiro prima por manter um senso de justiça e equilíbrio entre desafio e recompensa, no capitalismo, o segundo frequentemente utiliza a assimetria de poder como instrumento de controle para extração de mais valia e maximização de lucro. (Sato, 2018)</w:t>
      </w:r>
    </w:p>
    <w:p w:rsidR="00000000" w:rsidDel="00000000" w:rsidP="00000000" w:rsidRDefault="00000000" w:rsidRPr="00000000" w14:paraId="0000000D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última pesquisa de satisfação no trabalho realizada pela IGDA (International Game Developers Association) indicou que uma parte significativa dos trabalhadores acreditam que trabalhar horas extras é esperado pelas empresas e que o </w:t>
      </w:r>
      <w:r w:rsidDel="00000000" w:rsidR="00000000" w:rsidRPr="00000000">
        <w:rPr>
          <w:i w:val="1"/>
          <w:iCs w:val="1"/>
          <w:rtl w:val="0"/>
        </w:rPr>
        <w:t xml:space="preserve">crunch</w:t>
      </w:r>
      <w:r w:rsidDel="00000000" w:rsidR="00000000" w:rsidRPr="00000000">
        <w:rPr>
          <w:rtl w:val="0"/>
        </w:rPr>
        <w:t xml:space="preserve"> também (IGDA, 2024), em especial quando contratados como freelancers. No contexto dessa indústria, </w:t>
      </w:r>
      <w:r w:rsidDel="00000000" w:rsidR="00000000" w:rsidRPr="00000000">
        <w:rPr>
          <w:i w:val="1"/>
          <w:iCs w:val="1"/>
          <w:rtl w:val="0"/>
        </w:rPr>
        <w:t xml:space="preserve">crunch</w:t>
      </w:r>
      <w:r w:rsidDel="00000000" w:rsidR="00000000" w:rsidRPr="00000000">
        <w:rPr>
          <w:rtl w:val="0"/>
        </w:rPr>
        <w:t xml:space="preserve"> designa fases de intensificação do trabalho associadas ao cumprimento de prazos de entrega (IGDA, 2019). Nas pesquisas da IGDA, não há um limiar fixo de horas semanais que caracteriza formalmente o </w:t>
      </w:r>
      <w:r w:rsidDel="00000000" w:rsidR="00000000" w:rsidRPr="00000000">
        <w:rPr>
          <w:i w:val="1"/>
          <w:iCs w:val="1"/>
          <w:rtl w:val="0"/>
        </w:rPr>
        <w:t xml:space="preserve">crunch</w:t>
      </w:r>
      <w:r w:rsidDel="00000000" w:rsidR="00000000" w:rsidRPr="00000000">
        <w:rPr>
          <w:rtl w:val="0"/>
        </w:rPr>
        <w:t xml:space="preserve">, essa classificação é autodeclarada pelos respondentes. Ainda assim, os dados indicam que não se trata apenas de horas extras pontuais (também naturalizadas), mas de jornadas substancialmente ampliadas. Na edição mais recente, 65% dos respondentes relataram trabalhar ao menos 50 horas semanais durante o </w:t>
      </w:r>
      <w:r w:rsidDel="00000000" w:rsidR="00000000" w:rsidRPr="00000000">
        <w:rPr>
          <w:i w:val="1"/>
          <w:iCs w:val="1"/>
          <w:rtl w:val="0"/>
        </w:rPr>
        <w:t xml:space="preserve">crunch</w:t>
      </w:r>
      <w:r w:rsidDel="00000000" w:rsidR="00000000" w:rsidRPr="00000000">
        <w:rPr>
          <w:rtl w:val="0"/>
        </w:rPr>
        <w:t xml:space="preserve">, sendo 37% declarando mais de 60 horas.</w:t>
      </w:r>
    </w:p>
    <w:p w:rsidR="00000000" w:rsidDel="00000000" w:rsidP="00000000" w:rsidRDefault="00000000" w:rsidRPr="00000000" w14:paraId="0000000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Contudo mecanismos econômicos não são suficientes para explicar a imensa dedicação que essas pessoas empreendem na realização de seus jogos. As práticas abusivas de grandes empresas são também reproduzidas em estúdios independentes e autoimpostas em produções solo (onde apenas um indivíduo se desafia a imaginar, criar e publicar seu jogo). Ou seja, mesmo quando não há uma grande corporação envolvida, a devoção ao ofício devora todos os demais aspectos da vida do trabalhador.</w:t>
      </w:r>
    </w:p>
    <w:p w:rsidR="00000000" w:rsidDel="00000000" w:rsidP="00000000" w:rsidRDefault="00000000" w:rsidRPr="00000000" w14:paraId="0000000F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No livro "Sangue, suor e pixels" (Schreier, 2017), o autor narra o processo de feitura de grandes sucessos contemporâneos. </w:t>
      </w:r>
      <w:r w:rsidDel="00000000" w:rsidR="00000000" w:rsidRPr="00000000">
        <w:rPr>
          <w:i w:val="1"/>
          <w:iCs w:val="1"/>
          <w:rtl w:val="0"/>
        </w:rPr>
        <w:t xml:space="preserve">Stardew Valley</w:t>
      </w:r>
      <w:r w:rsidDel="00000000" w:rsidR="00000000" w:rsidRPr="00000000">
        <w:rPr>
          <w:rtl w:val="0"/>
        </w:rPr>
        <w:t xml:space="preserve"> se destaca por ter sido realizado inteiramente por uma pessoa: Eric Barone. Em entrevistas, Eric descreve como foram os quatro anos do projeto: "Em média, eu provavelmente trabalhei nele 10 horas todos os dias da semana durante a fase de desenvolvimento. Agora que o jogo saiu eu acho que estou gastando, tipo, 15 horas por dia nele." Sobre a condição de trabalho nas grandes empresas como a EA, ele comenta: "Enquanto eles na EA eram, de certa forma, forçados a trabalhar contra sua vontade. Eu não acho que isso seja certo. Você deve ser livre pra trabalhar até a exaustão, mas não livre pra forçar alguém pra fazer isso para você (...) Ajuda se você se convencer de que está destinado à grandeza, não é uma coisa de ego, é uma ferramenta que previne a insegurança." (Baker, 2016)</w:t>
      </w:r>
    </w:p>
    <w:p w:rsidR="00000000" w:rsidDel="00000000" w:rsidP="00000000" w:rsidRDefault="00000000" w:rsidRPr="00000000" w14:paraId="00000010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Portanto, apesar da coerção econômica ser determinante na exploração desses trabalhadores, existe um caldo cultural que valoriza o jogo como fonte de identidade e distinção. O que é especialmente eficaz no perfil introspectivo, autocentrado e apaixonado dos homens jovens que dominam essa demografia (Dyer-Witheford, 2006). Nesse sentido, a obra opera como extensão do próprio sujeito, e o fazer artístico torna-se critério de valor, propósito e identidade. Para os apaixonados, trabalhar até a exaustão não é um desvio, é o único caminho lógico, uma vez que sua obra é sua </w:t>
      </w:r>
      <w:r w:rsidDel="00000000" w:rsidR="00000000" w:rsidRPr="00000000">
        <w:rPr>
          <w:i w:val="1"/>
          <w:iCs w:val="1"/>
          <w:rtl w:val="0"/>
        </w:rPr>
        <w:t xml:space="preserve">raison d’être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Pessoas apaixonadas, de fato, experimentam maior bem-estar, são mais produtivas, proativas, perseverantes e se envolvem em menos conflitos. Com tantos pontos positivos, não nos surpreende que trabalhadores apaixonados sejam comumente cobiçados pelo mercado. Consequentemente, eles também são mais suscetíveis à exploração (Kim, 2019).</w:t>
      </w:r>
    </w:p>
    <w:p w:rsidR="00000000" w:rsidDel="00000000" w:rsidP="00000000" w:rsidRDefault="00000000" w:rsidRPr="00000000" w14:paraId="00000012">
      <w:pPr>
        <w:spacing w:line="360" w:lineRule="auto"/>
        <w:ind w:firstLine="708.6614173228347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line="360" w:lineRule="auto"/>
        <w:jc w:val="center"/>
        <w:rPr>
          <w:b w:val="1"/>
          <w:bCs w:val="1"/>
        </w:rPr>
      </w:pPr>
      <w:bookmarkStart w:colFirst="0" w:colLast="0" w:name="_uho0ge984nay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ABÍLIO, Ludmila Costhek. Uberização: a era do trabalhador just-in-time? Estudos Avançados, v. 34, p. 111–126, 2020.</w:t>
        <w:br w:type="textWrapping"/>
        <w:br w:type="textWrapping"/>
        <w:t xml:space="preserve">BAKER, Chris. The 4 years of self-imposed crunch that went into Stardew Valley. 2016. Disponível em: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https://www.gamedeveloper.com/business/the-4-years-of-self-imposed-crunch-that-went-into-i-stardew-valley-i- . Acesso em 29 mar. 2026.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DE PEUTER, Greig; DYER-WITHEFORD, Nick. A playful multitude? Mobilising and counter-mobilising immaterial game labour. Fibreculture Journal, n. 5, 2005.</w:t>
        <w:br w:type="textWrapping"/>
        <w:br w:type="textWrapping"/>
        <w:t xml:space="preserve">DEJOURS, Christophe. Entre o desespero e a esperança: como reencantar o trabalho. Revista Cult, n. 139, p. 49–53, 2009.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DYER-WITHEFORD, Nick. The work in digital play: video gaming’s transnational and gendered division of labour. Journal of International Communication, v. 6, n. 1, p. 69–93, 1999.</w:t>
        <w:br w:type="textWrapping"/>
        <w:br w:type="textWrapping"/>
        <w:t xml:space="preserve">DYER-WITHEFORD, Nick. “EA Spouse” and the crisis of video game labour: enjoyment, exclusion, exploitation, exodus. Canadian Journal of Communication, v. 31, p. 599–617, 2006.</w:t>
      </w:r>
    </w:p>
    <w:p w:rsidR="00000000" w:rsidDel="00000000" w:rsidP="00000000" w:rsidRDefault="00000000" w:rsidRPr="00000000" w14:paraId="00000019">
      <w:pPr>
        <w:spacing w:line="24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 SPOUSE. EA: the human story. 10 nov. 2004. 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Disponível em: http://ea-spouse.livejournal.com/274.html . Acesso em: 29 mar. 2026.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GDC. GDC 2024 Report: more of the same. 31 jan. 2025.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Disponível em: https://www.womeningames.org/gdc-2024-report-more-of-the-same/ . </w:t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em: 29 mar. 2026.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HIRATA, Helena; KERGOAT, Danièle. Novas configurações da divisão sexual do trabalho. Cadernos de Pesquisa, São Paulo, v. 37, n. 132, p. 595–609, 2007.</w:t>
        <w:br w:type="textWrapping"/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INTERNATIONAL GAME DEVELOPERS’ ASSOCIATION (IGDA). Developer satisfaction survey 2023: Summary report. 14 mar. 2024.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Disponível em:</w:t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https://igda-website.s3.us-east-2.amazonaws.com/wp-content/uploads/2024/05/01161842/2023-04-14_IGSA-DSS-2023_SummaryReport.pdf . 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em: 29 mar. 2026.</w:t>
        <w:br w:type="textWrapping"/>
        <w:br w:type="textWrapping"/>
        <w:t xml:space="preserve">INTERNATIONAL GAME DEVELOPERS’ ASSOCIATION (IGDA). Crunch,  unsustainable work, and management abuse: definitions and standards. 2019. Disponível em:  https://igda.org/resourcelibrary/crunch-unsustainable-work-and-management-abuse-definitions-and-standards/ . </w:t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em: 29 mar. 2026.</w:t>
        <w:br w:type="textWrapping"/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JUUL, Jesper. Half-real: video games between real rules and fictional worlds. Cambridge: MIT Press, 2011.</w:t>
        <w:br w:type="textWrapping"/>
        <w:br w:type="textWrapping"/>
        <w:t xml:space="preserve">KIM, Jae Yun; CAMPBELL, Troy H.; SHEPHERD, Steven; KAY, Aaron C. Understanding contemporary forms of exploitation: attributions of passion serve to legitimize the poor treatment of workers. Journal of Personality and Social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Psychology, 2019.</w:t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SCHELL, Jesse. The art of game design: a book of lenses. 3. ed. New York: A K Peters/CRC Press, 2019.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SCHREIER, Jason. Blood, sweat, and pixels: the triumphant, turbulent stories behind how video games are made. New York: Harper Paperbacks, 2017.</w:t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spacing w:after="24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y7a0ygjxjyyh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APÊNDICE A – REGISTRO DE INTERAÇÕES COM INTELIGÊNCIA ARTIFICIAL</w:t>
      </w:r>
    </w:p>
    <w:p w:rsidR="00000000" w:rsidDel="00000000" w:rsidP="00000000" w:rsidRDefault="00000000" w:rsidRPr="00000000" w14:paraId="00000030">
      <w:pPr>
        <w:pStyle w:val="Title"/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bookmarkStart w:colFirst="0" w:colLast="0" w:name="_y7a0ygjxjyyh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Identificação da ferramenta: ChatGPT (OpenAI)</w:t>
      </w:r>
    </w:p>
    <w:p w:rsidR="00000000" w:rsidDel="00000000" w:rsidP="00000000" w:rsidRDefault="00000000" w:rsidRPr="00000000" w14:paraId="00000031">
      <w:pPr>
        <w:pStyle w:val="Title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bookmarkStart w:colFirst="0" w:colLast="0" w:name="_ni9deoqmoxyk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Versão/modelo: GPT-5.3</w:t>
      </w:r>
    </w:p>
    <w:p w:rsidR="00000000" w:rsidDel="00000000" w:rsidP="00000000" w:rsidRDefault="00000000" w:rsidRPr="00000000" w14:paraId="00000032">
      <w:pPr>
        <w:pStyle w:val="Heading3"/>
        <w:spacing w:before="480" w:line="360" w:lineRule="auto"/>
        <w:jc w:val="left"/>
        <w:rPr>
          <w:b w:val="1"/>
          <w:bCs w:val="1"/>
        </w:rPr>
      </w:pPr>
      <w:bookmarkStart w:colFirst="0" w:colLast="0" w:name="_d5cxtkvi9f60" w:id="6"/>
      <w:bookmarkEnd w:id="6"/>
      <w:r w:rsidDel="00000000" w:rsidR="00000000" w:rsidRPr="00000000">
        <w:rPr>
          <w:b w:val="1"/>
          <w:bCs w:val="1"/>
          <w:rtl w:val="0"/>
        </w:rPr>
        <w:t xml:space="preserve">PROMPT - 15/03/2026 22:25</w:t>
      </w:r>
    </w:p>
    <w:p w:rsidR="00000000" w:rsidDel="00000000" w:rsidP="00000000" w:rsidRDefault="00000000" w:rsidRPr="00000000" w14:paraId="00000033">
      <w:pPr>
        <w:pStyle w:val="Title"/>
        <w:spacing w:after="240" w:before="240" w:line="240" w:lineRule="auto"/>
        <w:ind w:left="0" w:right="600" w:firstLine="0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em artigos científicos usando ABNT2 eu devo colocar termos em ingles em itálico (inclusive nos títulos)?</w:t>
      </w:r>
    </w:p>
    <w:p w:rsidR="00000000" w:rsidDel="00000000" w:rsidP="00000000" w:rsidRDefault="00000000" w:rsidRPr="00000000" w14:paraId="00000034">
      <w:pPr>
        <w:pStyle w:val="Heading3"/>
        <w:spacing w:after="80" w:line="360" w:lineRule="auto"/>
        <w:rPr>
          <w:b w:val="1"/>
          <w:bCs w:val="1"/>
        </w:rPr>
      </w:pPr>
      <w:bookmarkStart w:colFirst="0" w:colLast="0" w:name="_vmplr4x49mmd" w:id="7"/>
      <w:bookmarkEnd w:id="7"/>
      <w:r w:rsidDel="00000000" w:rsidR="00000000" w:rsidRPr="00000000">
        <w:rPr>
          <w:b w:val="1"/>
          <w:bCs w:val="1"/>
          <w:rtl w:val="0"/>
        </w:rPr>
        <w:t xml:space="preserve">RESPOSTA</w:t>
      </w:r>
    </w:p>
    <w:p w:rsidR="00000000" w:rsidDel="00000000" w:rsidP="00000000" w:rsidRDefault="00000000" w:rsidRPr="00000000" w14:paraId="00000035">
      <w:pPr>
        <w:pStyle w:val="Title"/>
        <w:spacing w:after="240" w:before="240" w:line="240" w:lineRule="auto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Sim. Em textos acadêmicos formatados segundo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ABNT</w:t>
      </w:r>
      <w:r w:rsidDel="00000000" w:rsidR="00000000" w:rsidRPr="00000000">
        <w:rPr>
          <w:sz w:val="22"/>
          <w:szCs w:val="22"/>
          <w:rtl w:val="0"/>
        </w:rPr>
        <w:t xml:space="preserve">, palavras ou expressões 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língua estrangeira</w:t>
      </w:r>
      <w:r w:rsidDel="00000000" w:rsidR="00000000" w:rsidRPr="00000000">
        <w:rPr>
          <w:sz w:val="22"/>
          <w:szCs w:val="22"/>
          <w:rtl w:val="0"/>
        </w:rPr>
        <w:t xml:space="preserve"> costumam ser grafadas 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itálico</w:t>
      </w:r>
      <w:r w:rsidDel="00000000" w:rsidR="00000000" w:rsidRPr="00000000">
        <w:rPr>
          <w:sz w:val="22"/>
          <w:szCs w:val="22"/>
          <w:rtl w:val="0"/>
        </w:rPr>
        <w:t xml:space="preserve"> quando aparecem no corpo do texto. Essa orientação aparece em manuais de normalização e em guias de aplicação da ABNT (derivados principalmente da NBR 10520 e práticas editoriais associadas).</w:t>
      </w:r>
    </w:p>
    <w:p w:rsidR="00000000" w:rsidDel="00000000" w:rsidP="00000000" w:rsidRDefault="00000000" w:rsidRPr="00000000" w14:paraId="00000036">
      <w:pPr>
        <w:pStyle w:val="Title"/>
        <w:spacing w:after="240" w:before="240" w:line="240" w:lineRule="auto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No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corpo do texto</w:t>
      </w:r>
      <w:r w:rsidDel="00000000" w:rsidR="00000000" w:rsidRPr="00000000">
        <w:rPr>
          <w:sz w:val="22"/>
          <w:szCs w:val="22"/>
          <w:rtl w:val="0"/>
        </w:rPr>
        <w:t xml:space="preserve">, o procedimento usual é:</w:t>
      </w:r>
    </w:p>
    <w:p w:rsidR="00000000" w:rsidDel="00000000" w:rsidP="00000000" w:rsidRDefault="00000000" w:rsidRPr="00000000" w14:paraId="00000037">
      <w:pPr>
        <w:pStyle w:val="Title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Termos estrangeiros não incorporados ao português →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itálico</w:t>
      </w:r>
      <w:r w:rsidDel="00000000" w:rsidR="00000000" w:rsidRPr="00000000">
        <w:rPr>
          <w:sz w:val="22"/>
          <w:szCs w:val="22"/>
          <w:rtl w:val="0"/>
        </w:rPr>
        <w:t xml:space="preserve">. Ex.: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gig economy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feedback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outsourcing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Title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Palavras já incorporadas ao português (ex.: “software”, “marketing”) normalmente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não precisam</w:t>
      </w:r>
      <w:r w:rsidDel="00000000" w:rsidR="00000000" w:rsidRPr="00000000">
        <w:rPr>
          <w:sz w:val="22"/>
          <w:szCs w:val="22"/>
          <w:rtl w:val="0"/>
        </w:rPr>
        <w:t xml:space="preserve"> de itálico.</w:t>
      </w:r>
    </w:p>
    <w:p w:rsidR="00000000" w:rsidDel="00000000" w:rsidP="00000000" w:rsidRDefault="00000000" w:rsidRPr="00000000" w14:paraId="00000039">
      <w:pPr>
        <w:pStyle w:val="Title"/>
        <w:spacing w:after="240" w:before="240" w:line="240" w:lineRule="auto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Quanto aos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títulos e subtítulos</w:t>
      </w:r>
      <w:r w:rsidDel="00000000" w:rsidR="00000000" w:rsidRPr="00000000">
        <w:rPr>
          <w:sz w:val="22"/>
          <w:szCs w:val="22"/>
          <w:rtl w:val="0"/>
        </w:rPr>
        <w:t xml:space="preserve">, a prática mais aceita é:</w:t>
      </w:r>
    </w:p>
    <w:p w:rsidR="00000000" w:rsidDel="00000000" w:rsidP="00000000" w:rsidRDefault="00000000" w:rsidRPr="00000000" w14:paraId="0000003A">
      <w:pPr>
        <w:pStyle w:val="Title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Se um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 estrangeiro aparece dentro do título</w:t>
      </w:r>
      <w:r w:rsidDel="00000000" w:rsidR="00000000" w:rsidRPr="00000000">
        <w:rPr>
          <w:sz w:val="22"/>
          <w:szCs w:val="22"/>
          <w:rtl w:val="0"/>
        </w:rPr>
        <w:t xml:space="preserve">, ele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também pode permanecer em itálico</w:t>
      </w:r>
      <w:r w:rsidDel="00000000" w:rsidR="00000000" w:rsidRPr="00000000">
        <w:rPr>
          <w:sz w:val="22"/>
          <w:szCs w:val="22"/>
          <w:rtl w:val="0"/>
        </w:rPr>
        <w:t xml:space="preserve">, seguindo a mesma lógica do corpo do texto.</w:t>
      </w:r>
    </w:p>
    <w:p w:rsidR="00000000" w:rsidDel="00000000" w:rsidP="00000000" w:rsidRDefault="00000000" w:rsidRPr="00000000" w14:paraId="0000003B">
      <w:pPr>
        <w:pStyle w:val="Title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O restante do título permanece na formatação normal definida pelo template (negrito, caixa alta, etc.).</w:t>
      </w:r>
    </w:p>
    <w:p w:rsidR="00000000" w:rsidDel="00000000" w:rsidP="00000000" w:rsidRDefault="00000000" w:rsidRPr="00000000" w14:paraId="0000003C">
      <w:pPr>
        <w:pStyle w:val="Title"/>
        <w:spacing w:after="240" w:before="240" w:line="240" w:lineRule="auto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Exemplo:</w:t>
      </w:r>
    </w:p>
    <w:p w:rsidR="00000000" w:rsidDel="00000000" w:rsidP="00000000" w:rsidRDefault="00000000" w:rsidRPr="00000000" w14:paraId="0000003D">
      <w:pPr>
        <w:pStyle w:val="Title"/>
        <w:spacing w:after="240" w:before="240" w:line="240" w:lineRule="auto"/>
        <w:rPr>
          <w:b w:val="1"/>
          <w:bCs w:val="1"/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trabalho na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gig economy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e a precarização contemporânea</w:t>
      </w:r>
    </w:p>
    <w:p w:rsidR="00000000" w:rsidDel="00000000" w:rsidP="00000000" w:rsidRDefault="00000000" w:rsidRPr="00000000" w14:paraId="0000003E">
      <w:pPr>
        <w:pStyle w:val="Title"/>
        <w:spacing w:after="240" w:before="240" w:line="240" w:lineRule="auto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No caso específico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abntex2 (LaTeX)</w:t>
      </w:r>
      <w:r w:rsidDel="00000000" w:rsidR="00000000" w:rsidRPr="00000000">
        <w:rPr>
          <w:sz w:val="22"/>
          <w:szCs w:val="22"/>
          <w:rtl w:val="0"/>
        </w:rPr>
        <w:t xml:space="preserve">, basta usar o comando:</w:t>
      </w:r>
    </w:p>
    <w:p w:rsidR="00000000" w:rsidDel="00000000" w:rsidP="00000000" w:rsidRDefault="00000000" w:rsidRPr="00000000" w14:paraId="0000003F">
      <w:pPr>
        <w:pStyle w:val="Title"/>
        <w:spacing w:line="240" w:lineRule="auto"/>
        <w:rPr>
          <w:sz w:val="22"/>
          <w:szCs w:val="22"/>
        </w:rPr>
      </w:pPr>
      <w:bookmarkStart w:colFirst="0" w:colLast="0" w:name="_1jvdc9kugspc" w:id="8"/>
      <w:bookmarkEnd w:id="8"/>
      <w:r w:rsidDel="00000000" w:rsidR="00000000" w:rsidRPr="00000000">
        <w:rPr>
          <w:sz w:val="22"/>
          <w:szCs w:val="22"/>
          <w:rtl w:val="0"/>
        </w:rPr>
        <w:t xml:space="preserve">\textit{gig economy}</w:t>
      </w:r>
    </w:p>
    <w:p w:rsidR="00000000" w:rsidDel="00000000" w:rsidP="00000000" w:rsidRDefault="00000000" w:rsidRPr="00000000" w14:paraId="00000040">
      <w:pPr>
        <w:pStyle w:val="Title"/>
        <w:spacing w:after="240" w:before="240" w:line="240" w:lineRule="auto"/>
        <w:rPr>
          <w:sz w:val="22"/>
          <w:szCs w:val="22"/>
        </w:rPr>
      </w:pPr>
      <w:bookmarkStart w:colFirst="0" w:colLast="0" w:name="_y7a0ygjxjyyh" w:id="4"/>
      <w:bookmarkEnd w:id="4"/>
      <w:r w:rsidDel="00000000" w:rsidR="00000000" w:rsidRPr="00000000">
        <w:rPr>
          <w:sz w:val="22"/>
          <w:szCs w:val="22"/>
          <w:rtl w:val="0"/>
        </w:rPr>
        <w:t xml:space="preserve">inclusive dentro de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\title{}</w:t>
      </w:r>
      <w:r w:rsidDel="00000000" w:rsidR="00000000" w:rsidRPr="00000000">
        <w:rPr>
          <w:sz w:val="22"/>
          <w:szCs w:val="22"/>
          <w:rtl w:val="0"/>
        </w:rPr>
        <w:t xml:space="preserve"> ou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\section{}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Title"/>
        <w:spacing w:after="240" w:before="240" w:line="240" w:lineRule="auto"/>
        <w:rPr>
          <w:sz w:val="22"/>
          <w:szCs w:val="22"/>
        </w:rPr>
      </w:pPr>
      <w:bookmarkStart w:colFirst="0" w:colLast="0" w:name="_7hzyehb79u7o" w:id="9"/>
      <w:bookmarkEnd w:id="9"/>
      <w:r w:rsidDel="00000000" w:rsidR="00000000" w:rsidRPr="00000000">
        <w:rPr>
          <w:sz w:val="22"/>
          <w:szCs w:val="22"/>
          <w:rtl w:val="0"/>
        </w:rPr>
        <w:t xml:space="preserve">Observação importante: algumas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revistas ou programas de pós-graduação</w:t>
      </w:r>
      <w:r w:rsidDel="00000000" w:rsidR="00000000" w:rsidRPr="00000000">
        <w:rPr>
          <w:sz w:val="22"/>
          <w:szCs w:val="22"/>
          <w:rtl w:val="0"/>
        </w:rPr>
        <w:t xml:space="preserve"> têm guias próprios de estilo que podem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dispensar itálico em títulos</w:t>
      </w:r>
      <w:r w:rsidDel="00000000" w:rsidR="00000000" w:rsidRPr="00000000">
        <w:rPr>
          <w:sz w:val="22"/>
          <w:szCs w:val="22"/>
          <w:rtl w:val="0"/>
        </w:rPr>
        <w:t xml:space="preserve">. Quando houver manual da revista ou da instituição, ele prevalece sobre a convenção geral.</w:t>
      </w:r>
    </w:p>
    <w:p w:rsidR="00000000" w:rsidDel="00000000" w:rsidP="00000000" w:rsidRDefault="00000000" w:rsidRPr="00000000" w14:paraId="00000042">
      <w:pPr>
        <w:pStyle w:val="Heading3"/>
        <w:spacing w:before="480" w:line="360" w:lineRule="auto"/>
        <w:rPr>
          <w:b w:val="1"/>
          <w:bCs w:val="1"/>
        </w:rPr>
      </w:pPr>
      <w:bookmarkStart w:colFirst="0" w:colLast="0" w:name="_pc8sgm9kpt0r" w:id="10"/>
      <w:bookmarkEnd w:id="10"/>
      <w:r w:rsidDel="00000000" w:rsidR="00000000" w:rsidRPr="00000000">
        <w:rPr>
          <w:b w:val="1"/>
          <w:bCs w:val="1"/>
          <w:rtl w:val="0"/>
        </w:rPr>
        <w:t xml:space="preserve">PROMPT - 15/03/2026 22:53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qual o uso da expressão: raison d'etre ? acho que significa razão de ser, mas ela é usada em que contexto?</w:t>
      </w:r>
    </w:p>
    <w:p w:rsidR="00000000" w:rsidDel="00000000" w:rsidP="00000000" w:rsidRDefault="00000000" w:rsidRPr="00000000" w14:paraId="00000044">
      <w:pPr>
        <w:pStyle w:val="Heading3"/>
        <w:spacing w:line="360" w:lineRule="auto"/>
        <w:rPr/>
      </w:pPr>
      <w:bookmarkStart w:colFirst="0" w:colLast="0" w:name="_qwoxd7pe3nae" w:id="11"/>
      <w:bookmarkEnd w:id="11"/>
      <w:r w:rsidDel="00000000" w:rsidR="00000000" w:rsidRPr="00000000">
        <w:rPr>
          <w:b w:val="1"/>
          <w:bCs w:val="1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expressão francesa “raison d’être” significa literalmente “razão de ser”, mas o uso vai além de uma tradução direta. Ela é empregada para indicar o propósito fundamental ou justificativa essencial de algo — aquilo que explica por que algo existe ou faz sentido existir.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Contextos de uso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Organizações, produtos ou projetos Muito comum em administração e design (inclusive em desenvolvimento de software e jogos), equivalente ao “core purpose”: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“A raison d’être deste sistema é reduzir a complexidade operacional.”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Em termos de engenharia: seria próximo de definir o problema que o sistema resolve ou sua função objetivo.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Discussões filosóficas ou sociológicas Refere-se ao sentido ou propósito de existência de uma pessoa, prática ou instituição: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“Qual é a raison d’être do trabalho no capitalismo contemporâneo?”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Aqui conecta com temas da psicologia do trabalho: sentido do trabalho, alienação, etc.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Uso retórico ou acadêmico Aparece em textos formais para dar precisão conceitual: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“A raison d’être da política pública é garantir equidade social.”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Intuição prática (analogia com computação)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Pode ser entendido como: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 função principal de um módulo (main responsibility)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O “porquê” antes do “como”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O equivalente a perguntar: “se eu remover isso, o sistema ainda faz sentido?”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 a resposta for “não”, você encontrou a raison d’être.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Observação de uso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É uma expressão mais formal; em textos técnicos ou acadêmicos aparece com frequência.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No inglês e no português acadêmico, costuma ser mantida em francês mesmo.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Em resumo: não é apenas “razão de ser” no sentido descritivo, mas sim o propósito essencial que justifica a existência de algo dentro de um sistema maior.</w:t>
      </w:r>
    </w:p>
    <w:p w:rsidR="00000000" w:rsidDel="00000000" w:rsidP="00000000" w:rsidRDefault="00000000" w:rsidRPr="00000000" w14:paraId="00000065">
      <w:pPr>
        <w:pStyle w:val="Heading3"/>
        <w:spacing w:before="480" w:line="360" w:lineRule="auto"/>
        <w:rPr>
          <w:b w:val="1"/>
          <w:bCs w:val="1"/>
        </w:rPr>
      </w:pPr>
      <w:bookmarkStart w:colFirst="0" w:colLast="0" w:name="_zensna5cflvc" w:id="12"/>
      <w:bookmarkEnd w:id="12"/>
      <w:r w:rsidDel="00000000" w:rsidR="00000000" w:rsidRPr="00000000">
        <w:rPr>
          <w:b w:val="1"/>
          <w:bCs w:val="1"/>
          <w:rtl w:val="0"/>
        </w:rPr>
        <w:t xml:space="preserve">PROMPT - 22/03/2026 18:08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Avalie os pontos que levantei para meu trabalho (deve ter apenas 3 páginas) ele é um brainstorm de assuntos que gostaria de abordar A princípio o tema é: A romantização da cultura de crunch na indústria dos jogos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paixão criada na infância por jogos digitais, junto a uma cultura de _crunch_ imposta pelo mercado faz com que 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precarização das condições de trabalho na produção de jogos seja aceita e até romantizada.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[ ] Falar o que é "jogo" e o que é "jogo digital" (referencia The Art of Game Design do Jesse Schell)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[ ] Discutir jogo como híbrido de arte, tecnologia e entretenimento, etc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[ ] Falar da relevância do mercado (financeiramente, número de jogos, número de trabalhadores)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[ ] Nasce pós segunda rev industrial mas "cria corpo" na terceira (Toyotismo)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[ ] Discutir Psicodinâmica do trabalho pra criação de "prazer" / "identidade" (textos da matéria)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[ ] Em estúdios AAA (porque conseguem impor crunch?)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[ ] massa de mão de obra disponível?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[ ] expectativa da sociedade do desempenho?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- [ ] 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 [ ] Unity Report =&gt; lançamentos cada vez mais frequentes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[ ] outros[ ] 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[ ] Em estúdios independentes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[ ] porque precisam do crunch economicamente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[ ] se impõem crunch psi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[ ] Em devs solo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[ ] porque alguém faz isso consigo mesmo (tentar fazer um jogo sozinho)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- [ ] Byung-Chul Han -&gt; individualização e solidão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[ ] Discutir casos de jogadores (clientes) abusivos com os desenvolvedores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[ ] expectativa da sociedade do desempenho?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[ ] casos de violência e ameaças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[ ] twitter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[ ] Romantizações de Heróis (John Carmack, Chris Sawyer, Eric Barone)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[ ] No caso do Eric Barone comentar a namorada fazendo tanto o trabalho financeiro quanto o reprodutivo (acho que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foi o caso)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- [ ] Link com o texto (Hirata de divisão sexual do trabalho)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[ ] Comentar sobre o invisível do trabalho (Swartz)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[ ] identificar elementos do trabalho de criação de jogos que não é mensurável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[ ] Levantar em casos post-mortens de projetos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[ ] estado mental dos trabalhadores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[ ] doenças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[ ] identificar "uberização" de atividades (Abílio)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[ ] contratos são normalmente terceirizados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[ ] crowdsourcing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[ ] Game Jams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[ ] falar de empresas BR que possuem contratos com gringos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[ ] Luta por trabalho digno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[ ] Falar da EA-Spouse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 [ ] Discutir organizações de classe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[ ] Falar sobre estúdio do Xalavier Nelson Jr.</w:t>
      </w:r>
    </w:p>
    <w:p w:rsidR="00000000" w:rsidDel="00000000" w:rsidP="00000000" w:rsidRDefault="00000000" w:rsidRPr="00000000" w14:paraId="00000093">
      <w:pPr>
        <w:pStyle w:val="Heading3"/>
        <w:spacing w:before="480" w:line="360" w:lineRule="auto"/>
        <w:rPr/>
      </w:pPr>
      <w:bookmarkStart w:colFirst="0" w:colLast="0" w:name="_8ntrcsz2tvrw" w:id="13"/>
      <w:bookmarkEnd w:id="13"/>
      <w:r w:rsidDel="00000000" w:rsidR="00000000" w:rsidRPr="00000000">
        <w:rPr>
          <w:b w:val="1"/>
          <w:bCs w:val="1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estrutura cobre muitos eixos relevantes, mas está superdimensionada para 3 páginas. Em termos de “engenharia de escopo”, há overfetch de tópicos e risco de underfitting argumentativo (muitos pontos, pouca profundidade). O problema central não é falta de conteúdo, mas ausência de um “pipeline” claro de argumento com prioridade e corte.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Primeiro, o núcleo está bem definido: relação entre paixão → aceitação → romantização → precarização. Isso é um bom “fluxo causal”. O restante precisa servir diretamente a esse pipeline; hoje há vários “branches” que não convergem claramente (ex.: definição de jogo, histórico industrial, IA, twitter, etc.).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Segundo, há redundância conceitual. “Expectativa de desempenho”, “psicodinâmica do trabalho” e “romantização de heróis” estão modelando o mesmo fenômeno sob ângulos diferentes (internalização de exigências e produção de sentido). Isso pode ser colapsado em um único bloco teórico mais coeso.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Terceiro, há mistura de níveis de abstração. Alguns pontos são macro (toyotismo, mercado global), outros micro (casos individuais, Barone, namorada), outros meso (estúdios AAA vs indie). Para 3 páginas, é necessário fixar um nível dominante e usar os outros apenas como suporte.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Quarto, há risco de dispersão empírica. Muitos exemplos (Carmack, Sawyer, Barone, EA Spouse, Xalavier, post-mortems, violência de jogadores). Em vez de vários casos rasos, é mais eficiente escolher 1–2 estudos de caso fortes e conectá-los diretamente ao arcabouço teórico.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Recomposição sugerida (mais “otimizada”)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Pensando como um sistema com limite de memória (3 páginas), o ideal é reduzir para um “core loop” com poucos módulos: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Introdução (problema + hipótese)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Manter sua frase inicial (boa).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Definir rapidamente “crunch” (não precisa definir “jogo”).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Hipótese: a paixão + mecanismos psicossociais levam à naturalização da exploração.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Mecanismo psicossocial (bloco central)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Psicodinâmica do trabalho (prazer, identidade, reconhecimento).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Byung-Chul Han (autoexploração).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Aqui você unifica: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paixão infantil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heróis (Carmack, Barone) como modelos simbólicos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internalização do desempenho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 Estrutura produtiva (condições que permitem o crunch)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AAA: assimetria de poder + abundância de mão de obra.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Indie/solo: autoexploração e risco econômico.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Inserir 1 exemplo forte (ex.: Eric Barone OU EA Spouse, não ambos longamente).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 Invisibilidade e legitimação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Trabalho imaterial (não mensurável).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Romantização (narrativas de “gênio”, “paixão”).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Pode conectar com divisão sexual do trabalho (caso Barone) se mantido.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5. Conclusão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Síntese: crunch como sistema sociotécnico (não só escolha individual).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Breve menção à organização coletiva (sem expandir muito).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Cortes recomendados (alto ganho de espaço)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Remover ou reduzir drasticamente: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Definição de “jogo” (baixo valor para o argumento)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História industrial (toyotismo) → no máximo 1 frase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IA / Unity report (ruído para esse escopo)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Violência de jogadores (abre outro eixo analítico)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Muitos exemplos simultâneos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Uberização (só se conectar diretamente ao crunch; caso contrário, cortar)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Pontos fortes do seu brainstorm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Boa integração com autores da psicologia do trabalho (Dejours, Han, Hirata, Abílio).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Consciência de diferentes regimes de produção (AAA, indie, solo).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Intuição correta sobre romantização como mecanismo ideológico.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Identificação do papel da subjetividade (não é só economia).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Principal ajuste necessário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Transformar a lista em uma linha argumentativa contínua. Atualmente está como um backlog de features; precisa virar uma pipeline sequencial onde cada bloco depende do anterior.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Em termos de analogia com engenharia: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Hoje: várias funções utilitárias desconectadas.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Ideal: uma função principal com chamadas bem definidas e sem código morto.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 mantiver ~4 blocos bem conectados e 1–2 exemplos fortes, o trabalho fica denso, coerente e adequado ao limite de páginas.</w:t>
      </w:r>
    </w:p>
    <w:p w:rsidR="00000000" w:rsidDel="00000000" w:rsidP="00000000" w:rsidRDefault="00000000" w:rsidRPr="00000000" w14:paraId="000000DD">
      <w:pPr>
        <w:pStyle w:val="Heading3"/>
        <w:spacing w:before="480" w:line="360" w:lineRule="auto"/>
        <w:rPr>
          <w:b w:val="1"/>
          <w:bCs w:val="1"/>
        </w:rPr>
      </w:pPr>
      <w:bookmarkStart w:colFirst="0" w:colLast="0" w:name="_5oxkr2l7kkgd" w:id="14"/>
      <w:bookmarkEnd w:id="14"/>
      <w:r w:rsidDel="00000000" w:rsidR="00000000" w:rsidRPr="00000000">
        <w:rPr>
          <w:b w:val="1"/>
          <w:bCs w:val="1"/>
          <w:rtl w:val="0"/>
        </w:rPr>
        <w:t xml:space="preserve">PROMPT - 22/03/2026 18:31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em artigos cientificos, ao citar trechos de textos em inglês, como eu devo indicar que essa foi uma tradução livre minha?</w:t>
      </w:r>
    </w:p>
    <w:p w:rsidR="00000000" w:rsidDel="00000000" w:rsidP="00000000" w:rsidRDefault="00000000" w:rsidRPr="00000000" w14:paraId="000000DF">
      <w:pPr>
        <w:pStyle w:val="Heading3"/>
        <w:spacing w:before="480" w:line="360" w:lineRule="auto"/>
        <w:rPr/>
      </w:pPr>
      <w:bookmarkStart w:colFirst="0" w:colLast="0" w:name="_j5yqf7ft8sqj" w:id="15"/>
      <w:bookmarkEnd w:id="15"/>
      <w:r w:rsidDel="00000000" w:rsidR="00000000" w:rsidRPr="00000000">
        <w:rPr>
          <w:b w:val="1"/>
          <w:bCs w:val="1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Em trabalhos acadêmicos (incluindo normas ABNT), quando você traduz um trecho originalmente em inglês por conta própria, o procedimento padrão é explicitar que se trata de uma tradução livre. Isso funciona como uma “anotação de autoria da tradução”, evitando que pareça uma tradução oficial.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Há três formas comuns e aceitáveis: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1) Indicação direta após a citação (mais usada) Coloque a tradução no corpo do texto e, ao final da citação, acrescente: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(tradução nossa) ou (tradução livre)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“O trabalho imaterial tornou-se central na economia contemporânea” (AUTOR, ano, p. X, tradução nossa).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2) Nota de rodapé (mais formal / limpa no texto) Você mantém a citação traduzida no corpo e indica em nota: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“...”¹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Rodapé: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¹ Tradução nossa do original em inglês.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3) Manter original + tradução (mais rigor acadêmico) Útil quando o trecho é conceitualmente importante ou pode gerar ambiguidade: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“Original quote in English” (AUTOR, ano, p. X). “Tradução para o português...” (tradução nossa).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Boas práticas (pensando como engenharia de software/LaTeX):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Trate “tradução nossa” como um metadado explícito da transformação (você é o “autor da conversão de linguagem”).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Seja consistente ao longo do documento (não misture “tradução nossa” com “tradução livre” aleatoriamente).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Em LaTeX (abntex2), isso normalmente vai dentro do ambiente \cite ou diretamente no texto da citação.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Exemplo em LaTeX: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“Texto traduzido...” (AUTOR, ano, p. X, tradução nossa).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Resumo operacional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Traduziu você mesmo → sempre indicar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Forma padrão → (tradução nossa)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Casos mais críticos → incluir também o original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Isso evita ambiguidade epistemológica (quem é responsável pela interpretação semântica do trecho).</w:t>
      </w:r>
    </w:p>
    <w:p w:rsidR="00000000" w:rsidDel="00000000" w:rsidP="00000000" w:rsidRDefault="00000000" w:rsidRPr="00000000" w14:paraId="0000010B">
      <w:pPr>
        <w:pStyle w:val="Heading3"/>
        <w:spacing w:before="480" w:line="360" w:lineRule="auto"/>
        <w:rPr>
          <w:b w:val="1"/>
          <w:bCs w:val="1"/>
        </w:rPr>
      </w:pPr>
      <w:bookmarkStart w:colFirst="0" w:colLast="0" w:name="_bgruedy4rnjc" w:id="16"/>
      <w:bookmarkEnd w:id="16"/>
      <w:r w:rsidDel="00000000" w:rsidR="00000000" w:rsidRPr="00000000">
        <w:rPr>
          <w:b w:val="1"/>
          <w:bCs w:val="1"/>
          <w:rtl w:val="0"/>
        </w:rPr>
        <w:t xml:space="preserve">PROMPT - 22/03/2026 20:10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Existe algo como a IGDA - International Game Developers Association no brasil? Para estúdios e profissionais brasileiros? Ou algum tipo de sindicato para a categoria?</w:t>
      </w:r>
    </w:p>
    <w:p w:rsidR="00000000" w:rsidDel="00000000" w:rsidP="00000000" w:rsidRDefault="00000000" w:rsidRPr="00000000" w14:paraId="0000010D">
      <w:pPr>
        <w:pStyle w:val="Heading3"/>
        <w:spacing w:before="480" w:line="360" w:lineRule="auto"/>
        <w:rPr/>
      </w:pPr>
      <w:bookmarkStart w:colFirst="0" w:colLast="0" w:name="_piv80x5sp8x8" w:id="17"/>
      <w:bookmarkEnd w:id="17"/>
      <w:r w:rsidDel="00000000" w:rsidR="00000000" w:rsidRPr="00000000">
        <w:rPr>
          <w:b w:val="1"/>
          <w:bCs w:val="1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Sim. No Brasil não há um equivalente único e centralizado exatamente como a IGDA, mas existe um ecossistema de associações e representações que cumprem papéis semelhantes — mais fragmentado, menos institucionalizado e com baixa tradição sindical específica.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Associações relevantes (mais próximas da IGDA):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Abragames Principal entidade nacional. Representa estúdios, atua em internacionalização, políticas públicas e eventos. Funciona mais como uma “trade association” (foco em negócios e indústria) do que como comunidade profissional individual.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ACGames Atua na articulação do setor, especialmente em São Paulo. Tem um viés mais institucional/político.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SPIN Foco em desenvolvedores independentes. Mais próximo de comunidade e networking do que representação formal.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IGDA Brazil Existe como capítulo regional da própria IGDA. Não é tão forte quanto em outros países, mas promove eventos, networking e discussões.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Sindicatos (aqui a situação muda bastante):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Não existe um sindicato forte e específico exclusivo de desenvolvedores de jogos no Brasil. O enquadramento costuma cair em categorias mais amplas: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Sindicato de TI / processamento de dados (ex: Sindpd-SP) → maioria dos devs de jogos formalmente se encaixa aqui.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Sindicato de audiovisual / animação → dependendo do estúdio (principalmente jogos com pipeline mais próximo de animação).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Implicação para seu tema (psicologia do trabalho / crunch):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Esse vácuo institucional ajuda a explicar por que práticas como crunch tendem a ser: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mais naturalizadas (sem contraponto coletivo forte)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mais individualizadas (“paixão pelo projeto” substitui regulação)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menos formalmente contestadas (ausência de sindicato específico)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Ou seja, diferente de indústrias mais sindicalizadas, o “controle” não é externo (institucional), mas internalizado — o que conecta diretamente com a romantização do trabalho que você está estudando.</w:t>
      </w:r>
    </w:p>
    <w:p w:rsidR="00000000" w:rsidDel="00000000" w:rsidP="00000000" w:rsidRDefault="00000000" w:rsidRPr="00000000" w14:paraId="0000012B">
      <w:pPr>
        <w:pStyle w:val="Heading3"/>
        <w:spacing w:before="480" w:line="360" w:lineRule="auto"/>
        <w:rPr>
          <w:b w:val="1"/>
          <w:bCs w:val="1"/>
        </w:rPr>
      </w:pPr>
      <w:bookmarkStart w:colFirst="0" w:colLast="0" w:name="_otlmq2txvjkk" w:id="18"/>
      <w:bookmarkEnd w:id="18"/>
      <w:r w:rsidDel="00000000" w:rsidR="00000000" w:rsidRPr="00000000">
        <w:rPr>
          <w:b w:val="1"/>
          <w:bCs w:val="1"/>
          <w:rtl w:val="0"/>
        </w:rPr>
        <w:t xml:space="preserve">PROMPT - 28/03/2026 17:53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existe um formato correto para citar o abstract de um paper? não vou ler ele completo por estar com um paywall</w:t>
      </w:r>
    </w:p>
    <w:p w:rsidR="00000000" w:rsidDel="00000000" w:rsidP="00000000" w:rsidRDefault="00000000" w:rsidRPr="00000000" w14:paraId="0000012D">
      <w:pPr>
        <w:pStyle w:val="Heading3"/>
        <w:spacing w:before="480" w:line="360" w:lineRule="auto"/>
        <w:rPr/>
      </w:pPr>
      <w:bookmarkStart w:colFirst="0" w:colLast="0" w:name="_whgpq12s5kdk" w:id="19"/>
      <w:bookmarkEnd w:id="19"/>
      <w:r w:rsidDel="00000000" w:rsidR="00000000" w:rsidRPr="00000000">
        <w:rPr>
          <w:b w:val="1"/>
          <w:bCs w:val="1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Sim. Do ponto de vista técnico de citação acadêmica, não existe um formato específico para “citar o abstract” — você sempre cita o artigo completo, independentemente de ter lido só o resumo.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 que muda não é a formatação, mas a responsabilidade epistemológica do uso.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1) Como citar (ABNT, APA, etc.)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Você referencia normalmente o paper: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Em ABNT: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SOBRENOME, Nome. Título do artigo. Nome do periódico, ano.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Em APA: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Author, A. A. (Year). Title of the article. Journal Name.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Não se menciona “abstract” na referência.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2) O que você deve fazer no texto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Se você só teve acesso ao abstract, o correto é sinalizar isso implicitamente no discurso, por exemplo: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“De acordo com o resumo do estudo de X…”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“Segundo o abstract de X…”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“Os autores sugerem, em seu resumo, que…”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Isso funciona como um flag de baixa confiança, semelhante a usar dados com baixa resolução.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3) Boas práticas mínimas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 for inevitável usar só o abstract: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Use para: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contextualização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definição de termos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apoio fraco de argumento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Evite usar para: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evidência central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discussão metodológica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conclusões fortes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4) Alternativa recomendada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Antes de aceitar o paywall como bloqueio: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procurar no Google Scholar (aba “All versions”)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buscar no ResearchGate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verificar no Sci-Hub (uso varia legalmente)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procurar versões pré-print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Resumo: Você cita o artigo normalmente. A diferença está em deixar claro que sua interpretação vem apenas do abstract e tratar isso como evidência de baixa confiabilidade.</w:t>
      </w:r>
    </w:p>
    <w:p w:rsidR="00000000" w:rsidDel="00000000" w:rsidP="00000000" w:rsidRDefault="00000000" w:rsidRPr="00000000" w14:paraId="0000015F">
      <w:pPr>
        <w:pStyle w:val="Heading3"/>
        <w:spacing w:before="480" w:line="360" w:lineRule="auto"/>
        <w:rPr>
          <w:b w:val="1"/>
          <w:bCs w:val="1"/>
        </w:rPr>
      </w:pPr>
      <w:bookmarkStart w:colFirst="0" w:colLast="0" w:name="_xeikgojs14c4" w:id="20"/>
      <w:bookmarkEnd w:id="20"/>
      <w:r w:rsidDel="00000000" w:rsidR="00000000" w:rsidRPr="00000000">
        <w:rPr>
          <w:b w:val="1"/>
          <w:bCs w:val="1"/>
          <w:rtl w:val="0"/>
        </w:rPr>
        <w:t xml:space="preserve">PROMPT - 28/03/2026 22:35</w:t>
      </w:r>
    </w:p>
    <w:p w:rsidR="00000000" w:rsidDel="00000000" w:rsidP="00000000" w:rsidRDefault="00000000" w:rsidRPr="00000000" w14:paraId="00000160">
      <w:pPr>
        <w:spacing w:after="240" w:lineRule="auto"/>
        <w:rPr/>
      </w:pPr>
      <w:r w:rsidDel="00000000" w:rsidR="00000000" w:rsidRPr="00000000">
        <w:rPr>
          <w:rtl w:val="0"/>
        </w:rPr>
        <w:t xml:space="preserve">Atue como um orientador acadêmico. Sua função é avaliar criticamente textos submetidos a você (ensaios, artigos, capítulos, projetos), com foco em rigor teórico, clareza argumentativa e consistência metodológica.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analisar o texto em anexo: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reescreva o conteúdo integralmente.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 estilo e a voz do autor.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 apenas correções ortográficas, gramaticais e de pontuação quando necessário.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Aponte problemas de coesão e coerência, sugerindo melhorias específicas.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Identifique lacunas teóricas, conceitos mal definidos ou uso impreciso de termos.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Avalie a qualidade da argumentação (força das evidências, encadeamento lógico, presença de generalizações indevidas).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Indique possíveis referências teóricas relevantes quando pertinente.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ambiguidades, redundâncias e trechos pouco claros. -Sugira melhorias estruturais (organização de parágrafos, progressão de ideias, articulação entre seções).</w:t>
      </w:r>
    </w:p>
    <w:p w:rsidR="00000000" w:rsidDel="00000000" w:rsidP="00000000" w:rsidRDefault="00000000" w:rsidRPr="00000000" w14:paraId="0000016A">
      <w:pPr>
        <w:pStyle w:val="Heading3"/>
        <w:spacing w:before="480" w:line="360" w:lineRule="auto"/>
        <w:rPr/>
      </w:pPr>
      <w:bookmarkStart w:colFirst="0" w:colLast="0" w:name="_j8l8rcygxozg" w:id="21"/>
      <w:bookmarkEnd w:id="21"/>
      <w:r w:rsidDel="00000000" w:rsidR="00000000" w:rsidRPr="00000000">
        <w:rPr>
          <w:b w:val="1"/>
          <w:bCs w:val="1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 texto apresenta um argumento consistente e relevante, articulando bem elementos empíricos, teóricos e exemplares. A seguir, a avaliação crítica estruturada conforme os critérios solicitados.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1. Correções ortográficas, gramaticais e de pontuação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“divergencia” → divergência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“IDGA, 2024” → IGDA, 2024 (inconsistência com sigla usada anteriormente)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“auto-impostas” → autoimpostas (Acordo Ortográfico)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“feitura” → aceitável, mas “desenvolvimento” é mais preciso no contexto técnico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“trabalhar horas extras é esperado pelas empresas e que o crunch também (IDGA, 2024), em especial quando contratados como freelancers,.” → há vírgula indevida antes do ponto final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“regras e objetivos de claros podem ser associados” → “regras e objetivos claros podem ser associados”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“Outro, lembra que manter um ciclo…” → paralelismo comprometido; sugerir: “Outro princípio indica que…”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2. Coesão e coerência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A transição entre o relato da EA-Spouse e a discussão sobre globalização é funcional, mas pouco explicitada. Sugestão: inserir frase de ponte explicitando que o caso não é isolado historicamente nem geograficamente.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O movimento entre definição de jogo (Juul) e psicodinâmica do trabalho (Dejours) é conceitualmente interessante, porém exige uma frase de justificação mais forte para evitar parecer analogia arbitrária.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O parágrafo sobre mecânicas de jogos (goal salience, ciclos de recompensa etc.) é denso e bem articulado, mas carece de marcadores internos de progressão lógica (ex.: “primeiramente”, “além disso”, “por fim”).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O trecho final (paixão e identidade) introduz uma nova camada explicativa relevante, porém poderia ser melhor integrado com o argumento anterior sobre mecanismos institucionais, evitando uma sensação de “mudança de eixo”.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3. Lacunas teóricas e conceitos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O conceito de “Ideologia Californiana” é citado, mas não explicado. Recomenda-se uma breve definição operacional.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“perfil introspectivo e autocentrado dos homens jovens” aparece como dado, mas está subteorizado e potencialmente essencializante. Carece de qualificação ou mediação empírica.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A noção de paixão (Kim, 2019) é utilizada de forma genérica. Seria importante distinguir, por exemplo: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paixão harmoniosa vs. obsessiva (Vallerand)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“exploração” aparece como conceito central, mas sem ancoragem explícita em uma tradição teórica (marxista, psicodinâmica, sociologia do trabalho). Há indícios, mas falta explicitação.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4. Qualidade da argumentação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Pontos fortes: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Boa articulação entre evidência anedótica (EA-Spouse) e dados institucionais (IGDA).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Uso produtivo de analogia entre design de jogos e organização do trabalho.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Encadeamento progressivo: caso → teoria → mecanismos → implicações subjetivas.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Fragilidades: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Há momentos de generalização excessiva, por exemplo: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“Grandes desenvolvedoras… dominam esses mecanismos psíquicos…” (carece de evidência direta)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A relação causal entre mecânicas de jogo e gestão do trabalho é sugerida, mas não demonstrada empiricamente.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O argumento final (paixão como vetor de exploração) é forte, porém poderia dialogar mais explicitamente com os exemplos anteriores (EA vs. indie vs. solo).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5. Ambiguidades, redundâncias e clareza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“anedota que instiga esse trabalho” → “instiga” é vago; sugerir “motiva” ou “fundamenta”.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“caldo cultural” → expressão metafórica pouco precisa em contexto acadêmico; pode ser substituída ou qualificada.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“devora todos os demais aspectos da vida” → forte retoricamente, mas pouco analítico.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Repetição da ideia de excesso de trabalho em múltiplos trechos sem avanço analítico proporcional.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6. Estrutura e organização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Estrutura geral é sólida (caso → expansão → teoria → aplicação → exceção → síntese).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Sugestões pontuais: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Separar mais claramente o bloco: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definição de jogo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analogia com trabalho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O parágrafo sobre Eric Barone poderia funcionar melhor como contraponto explícito (ex.: iniciar com “Mesmo fora de contextos corporativos…”).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O último parágrafo cumpre papel de conclusão, mas pode reforçar explicitamente a tese central (exploração mediada pela paixão).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7. Referências teóricas sugeridas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Para aprofundamento e maior rigor: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Vallerand, R. J. – teoria da paixão (harmoniosa vs. obsessiva)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Boltanski &amp; Chiapello – “novo espírito do capitalismo” (apropriação da autonomia e criatividade)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Foucault – governamentalidade e autogestão do sujeito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Han, Byung-Chul – sociedade do desempenho (exploração de si)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Srnicek – capitalismo de plataforma (complementar a Abílio)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Kunda – cultura organizacional e controle normativo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Síntese avaliativa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 texto demonstra boa maturidade analítica, especialmente na articulação entre psicodinâmica do trabalho e design de jogos. A principal limitação está na necessidade de maior explicitação conceitual e cautela com generalizações. Com ajustes de coesão, definição de conceitos-chave e reforço de fundamentação teórica, o argumento ganha consistência e rigor.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