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AD74E" w14:textId="77777777" w:rsidR="00D807C7" w:rsidRDefault="00D807C7" w:rsidP="00D807C7">
      <w:r w:rsidRPr="00AD6915">
        <w:t xml:space="preserve">PONTOS CHAVES RELEVANTES </w:t>
      </w:r>
      <w:r>
        <w:t>–</w:t>
      </w:r>
      <w:r w:rsidRPr="00AD6915">
        <w:t xml:space="preserve"> </w:t>
      </w:r>
      <w:r>
        <w:t xml:space="preserve">Paty </w:t>
      </w:r>
      <w:r w:rsidRPr="00AD6915">
        <w:t>descrever a "Uberização" da arte: analisar a instabilidade psíquica de pessoas que vivem de "job em job" (não necessariamente só na arte, acho que deve ser parecido) pressão psíquica de falta de apoio financeiro, especialmente no cenário pandêmico e pós-pandemia verificar possível auto-exploração (Byung-Chul Han em "A Sociedade do Cansaço"), onde o próprio trabalhador aceita o abuso porque sente que está realizando um "sonho"</w:t>
      </w:r>
    </w:p>
    <w:p w14:paraId="72AE8C23" w14:textId="77777777" w:rsidR="00D807C7" w:rsidRDefault="00D807C7" w:rsidP="00D807C7">
      <w:pPr>
        <w:rPr>
          <w:rFonts w:ascii="Times New Roman" w:hAnsi="Times New Roman"/>
          <w:b/>
          <w:sz w:val="24"/>
        </w:rPr>
      </w:pPr>
    </w:p>
    <w:p w14:paraId="02CE36BA" w14:textId="77777777" w:rsidR="00D807C7" w:rsidRDefault="00D807C7" w:rsidP="00D807C7">
      <w:pPr>
        <w:rPr>
          <w:rFonts w:ascii="Times New Roman" w:hAnsi="Times New Roman"/>
          <w:b/>
          <w:sz w:val="24"/>
        </w:rPr>
      </w:pPr>
    </w:p>
    <w:p w14:paraId="379E6AFA" w14:textId="77777777" w:rsidR="00D807C7" w:rsidRDefault="00D807C7" w:rsidP="00D807C7">
      <w:pPr>
        <w:rPr>
          <w:rFonts w:ascii="Times New Roman" w:hAnsi="Times New Roman"/>
          <w:b/>
          <w:sz w:val="24"/>
        </w:rPr>
      </w:pPr>
    </w:p>
    <w:p w14:paraId="095FD679" w14:textId="3C161E8A" w:rsidR="00A026E9" w:rsidRDefault="00000000" w:rsidP="00D807C7">
      <w:r>
        <w:rPr>
          <w:rFonts w:ascii="Times New Roman" w:hAnsi="Times New Roman"/>
          <w:b/>
          <w:sz w:val="24"/>
        </w:rPr>
        <w:t>Uberização da arte e instabilidade do trabalho</w:t>
      </w:r>
    </w:p>
    <w:p w14:paraId="3CB3A5DE" w14:textId="77777777" w:rsidR="00A026E9" w:rsidRDefault="00A026E9">
      <w:pPr>
        <w:spacing w:after="0" w:line="360" w:lineRule="auto"/>
        <w:ind w:firstLine="709"/>
        <w:jc w:val="both"/>
      </w:pPr>
    </w:p>
    <w:p w14:paraId="52EEFB2E" w14:textId="5D5D503B" w:rsidR="00A026E9" w:rsidRDefault="00D807C7">
      <w:pPr>
        <w:spacing w:after="0" w:line="360" w:lineRule="auto"/>
        <w:ind w:firstLine="709"/>
        <w:jc w:val="both"/>
      </w:pPr>
      <w:r>
        <w:rPr>
          <w:rFonts w:ascii="Times New Roman" w:hAnsi="Times New Roman"/>
          <w:sz w:val="24"/>
        </w:rPr>
        <w:t xml:space="preserve">Entendemos que </w:t>
      </w:r>
      <w:r w:rsidR="00000000">
        <w:rPr>
          <w:rFonts w:ascii="Times New Roman" w:hAnsi="Times New Roman"/>
          <w:sz w:val="24"/>
        </w:rPr>
        <w:t xml:space="preserve"> “uberização” da arte refere-se a uma lógica de trabalho marcada por contratos temporários, informais e fragmentados, na qual os profissionais vivem de um trabalho pontual a outro, sem estabilidade ou garantia de renda contínua. No caso dos figurinistas e demais trabalhadores do setor audiovisual, essa dinâmica gera constante insegurança, com direitos trabalhistas praticamente invisíveis, dificultando o planejamento de vida.</w:t>
      </w:r>
    </w:p>
    <w:p w14:paraId="35270321" w14:textId="77777777" w:rsidR="00A026E9" w:rsidRDefault="00A026E9">
      <w:pPr>
        <w:spacing w:after="0" w:line="360" w:lineRule="auto"/>
        <w:ind w:firstLine="709"/>
        <w:jc w:val="both"/>
      </w:pPr>
    </w:p>
    <w:p w14:paraId="34AFE6A6" w14:textId="77777777" w:rsidR="00A026E9" w:rsidRDefault="00000000">
      <w:pPr>
        <w:spacing w:after="0" w:line="360" w:lineRule="auto"/>
        <w:ind w:firstLine="709"/>
        <w:jc w:val="both"/>
      </w:pPr>
      <w:r>
        <w:rPr>
          <w:rFonts w:ascii="Times New Roman" w:hAnsi="Times New Roman"/>
          <w:sz w:val="24"/>
        </w:rPr>
        <w:t>Por se tratar de um trabalho artístico, o valor atribuído a cada figurinista varia, muitas vezes sendo desvalorizado por se tratar de uma atividade de bastidores e associada ao “fazer por amor”. Assim como em outros setores precarizados, o trabalhador passa a assumir riscos que antes eram responsabilidade do empregador.</w:t>
      </w:r>
    </w:p>
    <w:p w14:paraId="5B304A17" w14:textId="77777777" w:rsidR="00A026E9" w:rsidRDefault="00A026E9">
      <w:pPr>
        <w:spacing w:after="0" w:line="360" w:lineRule="auto"/>
        <w:ind w:firstLine="709"/>
        <w:jc w:val="both"/>
      </w:pPr>
    </w:p>
    <w:p w14:paraId="669741C0" w14:textId="77777777" w:rsidR="00A026E9" w:rsidRPr="00D807C7" w:rsidRDefault="00000000">
      <w:pPr>
        <w:spacing w:after="0" w:line="360" w:lineRule="auto"/>
        <w:ind w:firstLine="709"/>
        <w:jc w:val="both"/>
        <w:rPr>
          <w:b/>
          <w:bCs/>
        </w:rPr>
      </w:pPr>
      <w:r w:rsidRPr="00D807C7">
        <w:rPr>
          <w:rFonts w:ascii="Times New Roman" w:hAnsi="Times New Roman"/>
          <w:b/>
          <w:bCs/>
          <w:sz w:val="24"/>
        </w:rPr>
        <w:t>Impactos na saúde mental</w:t>
      </w:r>
    </w:p>
    <w:p w14:paraId="53C24415" w14:textId="77777777" w:rsidR="00A026E9" w:rsidRDefault="00A026E9">
      <w:pPr>
        <w:spacing w:after="0" w:line="360" w:lineRule="auto"/>
        <w:ind w:firstLine="709"/>
        <w:jc w:val="both"/>
      </w:pPr>
    </w:p>
    <w:p w14:paraId="5EBAB198" w14:textId="77777777" w:rsidR="00A026E9" w:rsidRDefault="00000000">
      <w:pPr>
        <w:spacing w:after="0" w:line="360" w:lineRule="auto"/>
        <w:ind w:firstLine="709"/>
        <w:jc w:val="both"/>
      </w:pPr>
      <w:r>
        <w:rPr>
          <w:rFonts w:ascii="Times New Roman" w:hAnsi="Times New Roman"/>
          <w:sz w:val="24"/>
        </w:rPr>
        <w:t>A instabilidade financeira e a ausência de vínculos formais impactam diretamente a saúde mental, aumentando níveis de ansiedade, estresse e insegurança emocional. A busca constante por novos trabalhos e a competitividade do meio artístico geram desgaste psicológico significativo. Esse cenário se agravou durante e após a pandemia de COVID-19, quando muitos profissionais ficaram sem renda e sem apoio institucional, evidenciando a fragilidade estrutural do setor cultural.</w:t>
      </w:r>
    </w:p>
    <w:p w14:paraId="3B3BF780" w14:textId="77777777" w:rsidR="00A026E9" w:rsidRDefault="00A026E9">
      <w:pPr>
        <w:spacing w:after="0" w:line="360" w:lineRule="auto"/>
        <w:ind w:firstLine="709"/>
        <w:jc w:val="both"/>
      </w:pPr>
    </w:p>
    <w:p w14:paraId="0692B6D4" w14:textId="77777777" w:rsidR="00A026E9" w:rsidRPr="00D807C7" w:rsidRDefault="00000000">
      <w:pPr>
        <w:spacing w:after="0" w:line="360" w:lineRule="auto"/>
        <w:ind w:firstLine="709"/>
        <w:jc w:val="both"/>
        <w:rPr>
          <w:b/>
          <w:bCs/>
        </w:rPr>
      </w:pPr>
      <w:r w:rsidRPr="00D807C7">
        <w:rPr>
          <w:rFonts w:ascii="Times New Roman" w:hAnsi="Times New Roman"/>
          <w:b/>
          <w:bCs/>
          <w:sz w:val="24"/>
        </w:rPr>
        <w:t>Falta de apoio financeiro e políticas públicas</w:t>
      </w:r>
    </w:p>
    <w:p w14:paraId="457CA7E0" w14:textId="77777777" w:rsidR="00A026E9" w:rsidRDefault="00A026E9">
      <w:pPr>
        <w:spacing w:after="0" w:line="360" w:lineRule="auto"/>
        <w:ind w:firstLine="709"/>
        <w:jc w:val="both"/>
      </w:pPr>
    </w:p>
    <w:p w14:paraId="4AFFF6ED" w14:textId="77777777" w:rsidR="00D807C7" w:rsidRDefault="00D807C7" w:rsidP="00D807C7">
      <w:pPr>
        <w:spacing w:after="0" w:line="360" w:lineRule="auto"/>
        <w:ind w:firstLine="709"/>
        <w:jc w:val="both"/>
      </w:pPr>
      <w:r>
        <w:lastRenderedPageBreak/>
        <w:t>A ausência de políticas públicas consistentes e de proteção social para trabalhadores da arte intensifica a precarização. Muitos profissionais dependem de editais, projetos pontuais ou financiamentos incertos, o que reforça a instabilidade econômica. Nesse cenário, entidades como o SINDcine desempenham um papel importante na defesa dos direitos da categoria, buscando melhores condições de trabalho, regulamentação profissional e negociação coletiva.</w:t>
      </w:r>
    </w:p>
    <w:p w14:paraId="58B0B6FD" w14:textId="77777777" w:rsidR="00D807C7" w:rsidRDefault="00D807C7" w:rsidP="00D807C7">
      <w:pPr>
        <w:spacing w:after="0" w:line="360" w:lineRule="auto"/>
        <w:ind w:firstLine="709"/>
        <w:jc w:val="both"/>
      </w:pPr>
    </w:p>
    <w:p w14:paraId="0D93B271" w14:textId="0E690066" w:rsidR="00A026E9" w:rsidRDefault="00D807C7" w:rsidP="00D807C7">
      <w:pPr>
        <w:spacing w:after="0" w:line="360" w:lineRule="auto"/>
        <w:ind w:firstLine="709"/>
        <w:jc w:val="both"/>
      </w:pPr>
      <w:r>
        <w:t>Durante e após a pandemia de COVID-19, a atuação dessas organizações tornou-se ainda mais relevante, ao evidenciar a fragilidade estrutural do setor cultural e a necessidade de maior apoio institucional. Apesar disso, muitos profissionais ainda permanecem à margem da proteção sindical, especialmente aqueles inseridos em regimes informais ou como MEI/PJ, o que limita o alcance dessas iniciativas e mantém a vulnerabilidade econômica da categoria.</w:t>
      </w:r>
    </w:p>
    <w:p w14:paraId="7197B9E7" w14:textId="77777777" w:rsidR="00D807C7" w:rsidRDefault="00D807C7" w:rsidP="00D807C7">
      <w:pPr>
        <w:spacing w:after="0" w:line="360" w:lineRule="auto"/>
        <w:ind w:firstLine="709"/>
        <w:jc w:val="both"/>
      </w:pPr>
    </w:p>
    <w:p w14:paraId="76314B1A" w14:textId="77777777" w:rsidR="00A026E9" w:rsidRPr="00D807C7" w:rsidRDefault="00000000">
      <w:pPr>
        <w:spacing w:after="0" w:line="360" w:lineRule="auto"/>
        <w:ind w:firstLine="709"/>
        <w:jc w:val="both"/>
        <w:rPr>
          <w:b/>
          <w:bCs/>
        </w:rPr>
      </w:pPr>
      <w:r w:rsidRPr="00D807C7">
        <w:rPr>
          <w:rFonts w:ascii="Times New Roman" w:hAnsi="Times New Roman"/>
          <w:b/>
          <w:bCs/>
          <w:sz w:val="24"/>
        </w:rPr>
        <w:t>Autoexploração e “amor à arte”</w:t>
      </w:r>
    </w:p>
    <w:p w14:paraId="5C1B0B2C" w14:textId="77777777" w:rsidR="00A026E9" w:rsidRDefault="00A026E9">
      <w:pPr>
        <w:spacing w:after="0" w:line="360" w:lineRule="auto"/>
        <w:ind w:firstLine="709"/>
        <w:jc w:val="both"/>
      </w:pPr>
    </w:p>
    <w:p w14:paraId="14887206" w14:textId="77777777" w:rsidR="00A026E9" w:rsidRDefault="00000000">
      <w:pPr>
        <w:spacing w:after="0" w:line="360" w:lineRule="auto"/>
        <w:ind w:firstLine="709"/>
        <w:jc w:val="both"/>
      </w:pPr>
      <w:r>
        <w:rPr>
          <w:rFonts w:ascii="Times New Roman" w:hAnsi="Times New Roman"/>
          <w:sz w:val="24"/>
        </w:rPr>
        <w:t>Com base nas reflexões de Byung-Chul Han, em A Sociedade do Cansaço, observa-se que muitos trabalhadores da arte internalizam a lógica da autoexploração. Aceitam condições precárias, jornadas extensas e baixa remuneração por acreditarem estar realizando um sonho. O “amor à arte” acaba funcionando como um mecanismo que mascara a exploração.</w:t>
      </w:r>
    </w:p>
    <w:p w14:paraId="518B1E41" w14:textId="77777777" w:rsidR="00A026E9" w:rsidRDefault="00A026E9">
      <w:pPr>
        <w:spacing w:after="0" w:line="360" w:lineRule="auto"/>
        <w:ind w:firstLine="709"/>
        <w:jc w:val="both"/>
      </w:pPr>
    </w:p>
    <w:p w14:paraId="611487CA" w14:textId="77777777" w:rsidR="00A026E9" w:rsidRPr="00D807C7" w:rsidRDefault="00000000">
      <w:pPr>
        <w:spacing w:after="0" w:line="360" w:lineRule="auto"/>
        <w:ind w:firstLine="709"/>
        <w:jc w:val="both"/>
        <w:rPr>
          <w:b/>
          <w:bCs/>
        </w:rPr>
      </w:pPr>
      <w:r w:rsidRPr="00D807C7">
        <w:rPr>
          <w:rFonts w:ascii="Times New Roman" w:hAnsi="Times New Roman"/>
          <w:b/>
          <w:bCs/>
          <w:sz w:val="24"/>
        </w:rPr>
        <w:t>Paixão e precarização</w:t>
      </w:r>
    </w:p>
    <w:p w14:paraId="6BAA4AF7" w14:textId="77777777" w:rsidR="00A026E9" w:rsidRDefault="00A026E9">
      <w:pPr>
        <w:spacing w:after="0" w:line="360" w:lineRule="auto"/>
        <w:ind w:firstLine="709"/>
        <w:jc w:val="both"/>
      </w:pPr>
    </w:p>
    <w:p w14:paraId="7F0AC5DC" w14:textId="77777777" w:rsidR="00A026E9" w:rsidRDefault="00000000">
      <w:pPr>
        <w:spacing w:after="0" w:line="360" w:lineRule="auto"/>
        <w:ind w:firstLine="709"/>
        <w:jc w:val="both"/>
      </w:pPr>
      <w:r>
        <w:rPr>
          <w:rFonts w:ascii="Times New Roman" w:hAnsi="Times New Roman"/>
          <w:sz w:val="24"/>
        </w:rPr>
        <w:t>A ideia de que o trabalho artístico é movido exclusivamente pela paixão contribui para sua desvalorização profissional. Existe uma expectativa social de que artistas trabalhem por satisfação pessoal, e não por reconhecimento financeiro ou direitos trabalhistas. Isso legitima contratos frágeis e condições desiguais, reforçando a precarização.</w:t>
      </w:r>
    </w:p>
    <w:p w14:paraId="5B558AEC" w14:textId="77777777" w:rsidR="00A026E9" w:rsidRDefault="00A026E9">
      <w:pPr>
        <w:spacing w:after="0" w:line="360" w:lineRule="auto"/>
        <w:ind w:firstLine="709"/>
        <w:jc w:val="both"/>
      </w:pPr>
    </w:p>
    <w:sectPr w:rsidR="00A026E9"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29629805">
    <w:abstractNumId w:val="8"/>
  </w:num>
  <w:num w:numId="2" w16cid:durableId="61298981">
    <w:abstractNumId w:val="6"/>
  </w:num>
  <w:num w:numId="3" w16cid:durableId="958225723">
    <w:abstractNumId w:val="5"/>
  </w:num>
  <w:num w:numId="4" w16cid:durableId="1167789137">
    <w:abstractNumId w:val="4"/>
  </w:num>
  <w:num w:numId="5" w16cid:durableId="926842714">
    <w:abstractNumId w:val="7"/>
  </w:num>
  <w:num w:numId="6" w16cid:durableId="1365136411">
    <w:abstractNumId w:val="3"/>
  </w:num>
  <w:num w:numId="7" w16cid:durableId="1460145592">
    <w:abstractNumId w:val="2"/>
  </w:num>
  <w:num w:numId="8" w16cid:durableId="59595943">
    <w:abstractNumId w:val="1"/>
  </w:num>
  <w:num w:numId="9" w16cid:durableId="753162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29BF"/>
    <w:rsid w:val="00A026E9"/>
    <w:rsid w:val="00AA1D8D"/>
    <w:rsid w:val="00B47730"/>
    <w:rsid w:val="00CB0664"/>
    <w:rsid w:val="00D807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EBD6F"/>
  <w14:defaultImageDpi w14:val="300"/>
  <w15:docId w15:val="{FE3C9B2D-BF01-4B4B-A935-DFE6F4628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7258070">
      <w:bodyDiv w:val="1"/>
      <w:marLeft w:val="0"/>
      <w:marRight w:val="0"/>
      <w:marTop w:val="0"/>
      <w:marBottom w:val="0"/>
      <w:divBdr>
        <w:top w:val="none" w:sz="0" w:space="0" w:color="auto"/>
        <w:left w:val="none" w:sz="0" w:space="0" w:color="auto"/>
        <w:bottom w:val="none" w:sz="0" w:space="0" w:color="auto"/>
        <w:right w:val="none" w:sz="0" w:space="0" w:color="auto"/>
      </w:divBdr>
    </w:div>
    <w:div w:id="17006231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543</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PATRICIA APARECIDA DO NASCIMENTO</cp:lastModifiedBy>
  <cp:revision>2</cp:revision>
  <dcterms:created xsi:type="dcterms:W3CDTF">2013-12-23T23:15:00Z</dcterms:created>
  <dcterms:modified xsi:type="dcterms:W3CDTF">2026-03-29T17:29:00Z</dcterms:modified>
  <cp:category/>
</cp:coreProperties>
</file>