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1542" w:right="0" w:firstLine="0"/>
        <w:jc w:val="center"/>
        <w:rPr>
          <w:i/>
          <w:sz w:val="22"/>
        </w:rPr>
      </w:pPr>
      <w:r>
        <w:rPr>
          <w:i/>
          <w:sz w:val="22"/>
        </w:rPr>
        <w:drawing>
          <wp:anchor distT="0" distB="0" distL="0" distR="0" allowOverlap="1" layoutInCell="1" locked="0" behindDoc="0" simplePos="0" relativeHeight="15730176">
            <wp:simplePos x="0" y="0"/>
            <wp:positionH relativeFrom="page">
              <wp:posOffset>935355</wp:posOffset>
            </wp:positionH>
            <wp:positionV relativeFrom="paragraph">
              <wp:posOffset>75564</wp:posOffset>
            </wp:positionV>
            <wp:extent cx="646430" cy="53212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46430" cy="532129"/>
                    </a:xfrm>
                    <a:prstGeom prst="rect">
                      <a:avLst/>
                    </a:prstGeom>
                  </pic:spPr>
                </pic:pic>
              </a:graphicData>
            </a:graphic>
          </wp:anchor>
        </w:drawing>
      </w:r>
      <w:r>
        <w:rPr>
          <w:i/>
          <w:sz w:val="22"/>
        </w:rPr>
        <w:t>Available</w:t>
      </w:r>
      <w:r>
        <w:rPr>
          <w:i/>
          <w:spacing w:val="-4"/>
          <w:sz w:val="22"/>
        </w:rPr>
        <w:t> </w:t>
      </w:r>
      <w:r>
        <w:rPr>
          <w:i/>
          <w:sz w:val="22"/>
        </w:rPr>
        <w:t>online</w:t>
      </w:r>
      <w:r>
        <w:rPr>
          <w:i/>
          <w:spacing w:val="-4"/>
          <w:sz w:val="22"/>
        </w:rPr>
        <w:t> </w:t>
      </w:r>
      <w:r>
        <w:rPr>
          <w:i/>
          <w:sz w:val="22"/>
        </w:rPr>
        <w:t>on:</w:t>
      </w:r>
      <w:r>
        <w:rPr>
          <w:i/>
          <w:spacing w:val="-3"/>
          <w:sz w:val="22"/>
        </w:rPr>
        <w:t> </w:t>
      </w:r>
      <w:hyperlink r:id="rId7">
        <w:r>
          <w:rPr>
            <w:i/>
            <w:spacing w:val="-2"/>
            <w:sz w:val="22"/>
          </w:rPr>
          <w:t>http://ejournal.undip.ac.id/index.php/teknik</w:t>
        </w:r>
      </w:hyperlink>
    </w:p>
    <w:p>
      <w:pPr>
        <w:spacing w:before="119"/>
        <w:ind w:left="1543" w:right="0" w:firstLine="0"/>
        <w:jc w:val="center"/>
        <w:rPr>
          <w:b/>
          <w:sz w:val="22"/>
        </w:rPr>
      </w:pPr>
      <w:r>
        <w:rPr>
          <w:b/>
          <w:sz w:val="22"/>
        </w:rPr>
        <w:t>TEKNIK,</w:t>
      </w:r>
      <w:r>
        <w:rPr>
          <w:b/>
          <w:spacing w:val="-8"/>
          <w:sz w:val="22"/>
        </w:rPr>
        <w:t> </w:t>
      </w:r>
      <w:r>
        <w:rPr>
          <w:b/>
          <w:sz w:val="22"/>
        </w:rPr>
        <w:t>46</w:t>
      </w:r>
      <w:r>
        <w:rPr>
          <w:b/>
          <w:spacing w:val="-3"/>
          <w:sz w:val="22"/>
        </w:rPr>
        <w:t> </w:t>
      </w:r>
      <w:r>
        <w:rPr>
          <w:b/>
          <w:sz w:val="22"/>
        </w:rPr>
        <w:t>(3),</w:t>
      </w:r>
      <w:r>
        <w:rPr>
          <w:b/>
          <w:spacing w:val="-3"/>
          <w:sz w:val="22"/>
        </w:rPr>
        <w:t> </w:t>
      </w:r>
      <w:r>
        <w:rPr>
          <w:b/>
          <w:sz w:val="22"/>
        </w:rPr>
        <w:t>2025,</w:t>
      </w:r>
      <w:r>
        <w:rPr>
          <w:b/>
          <w:spacing w:val="-2"/>
          <w:sz w:val="22"/>
        </w:rPr>
        <w:t> </w:t>
      </w:r>
      <w:r>
        <w:rPr>
          <w:b/>
          <w:sz w:val="22"/>
        </w:rPr>
        <w:t>218-</w:t>
      </w:r>
      <w:r>
        <w:rPr>
          <w:b/>
          <w:spacing w:val="-5"/>
          <w:sz w:val="22"/>
        </w:rPr>
        <w:t>231</w:t>
      </w:r>
    </w:p>
    <w:p>
      <w:pPr>
        <w:pStyle w:val="Title"/>
      </w:pPr>
      <w:r>
        <w:rPr/>
        <w:t>Economic</w:t>
      </w:r>
      <w:r>
        <w:rPr>
          <w:spacing w:val="-19"/>
        </w:rPr>
        <w:t> </w:t>
      </w:r>
      <w:r>
        <w:rPr/>
        <w:t>Analysis</w:t>
      </w:r>
      <w:r>
        <w:rPr>
          <w:spacing w:val="-1"/>
        </w:rPr>
        <w:t> </w:t>
      </w:r>
      <w:r>
        <w:rPr/>
        <w:t>of</w:t>
      </w:r>
      <w:r>
        <w:rPr>
          <w:spacing w:val="-2"/>
        </w:rPr>
        <w:t> </w:t>
      </w:r>
      <w:r>
        <w:rPr/>
        <w:t>the Preliminary</w:t>
      </w:r>
      <w:r>
        <w:rPr>
          <w:spacing w:val="-1"/>
        </w:rPr>
        <w:t> </w:t>
      </w:r>
      <w:r>
        <w:rPr/>
        <w:t>Design</w:t>
      </w:r>
      <w:r>
        <w:rPr>
          <w:spacing w:val="-2"/>
        </w:rPr>
        <w:t> </w:t>
      </w:r>
      <w:r>
        <w:rPr/>
        <w:t>of</w:t>
      </w:r>
      <w:r>
        <w:rPr>
          <w:spacing w:val="-2"/>
        </w:rPr>
        <w:t> </w:t>
      </w:r>
      <w:r>
        <w:rPr/>
        <w:t>a</w:t>
      </w:r>
      <w:r>
        <w:rPr>
          <w:spacing w:val="-2"/>
        </w:rPr>
        <w:t> </w:t>
      </w:r>
      <w:r>
        <w:rPr/>
        <w:t>Chemical</w:t>
      </w:r>
      <w:r>
        <w:rPr>
          <w:spacing w:val="-2"/>
        </w:rPr>
        <w:t> </w:t>
      </w:r>
      <w:r>
        <w:rPr/>
        <w:t>Mini</w:t>
      </w:r>
      <w:r>
        <w:rPr>
          <w:spacing w:val="-2"/>
        </w:rPr>
        <w:t> </w:t>
      </w:r>
      <w:r>
        <w:rPr/>
        <w:t>plant to</w:t>
      </w:r>
      <w:r>
        <w:rPr>
          <w:spacing w:val="-6"/>
        </w:rPr>
        <w:t> </w:t>
      </w:r>
      <w:r>
        <w:rPr/>
        <w:t>produce</w:t>
      </w:r>
      <w:r>
        <w:rPr>
          <w:spacing w:val="-6"/>
        </w:rPr>
        <w:t> </w:t>
      </w:r>
      <w:r>
        <w:rPr/>
        <w:t>Palm</w:t>
      </w:r>
      <w:r>
        <w:rPr>
          <w:spacing w:val="-2"/>
        </w:rPr>
        <w:t> </w:t>
      </w:r>
      <w:r>
        <w:rPr/>
        <w:t>Oil</w:t>
      </w:r>
      <w:r>
        <w:rPr>
          <w:spacing w:val="-6"/>
        </w:rPr>
        <w:t> </w:t>
      </w:r>
      <w:r>
        <w:rPr/>
        <w:t>Based</w:t>
      </w:r>
      <w:r>
        <w:rPr>
          <w:spacing w:val="-6"/>
        </w:rPr>
        <w:t> </w:t>
      </w:r>
      <w:r>
        <w:rPr/>
        <w:t>Estolide</w:t>
      </w:r>
      <w:r>
        <w:rPr>
          <w:spacing w:val="-6"/>
        </w:rPr>
        <w:t> </w:t>
      </w:r>
      <w:r>
        <w:rPr/>
        <w:t>Calcium</w:t>
      </w:r>
      <w:r>
        <w:rPr>
          <w:spacing w:val="-6"/>
        </w:rPr>
        <w:t> </w:t>
      </w:r>
      <w:r>
        <w:rPr/>
        <w:t>Sulfo-Ole</w:t>
      </w:r>
      <w:r>
        <w:rPr>
          <w:spacing w:val="-4"/>
        </w:rPr>
        <w:t> </w:t>
      </w:r>
      <w:r>
        <w:rPr/>
        <w:t>Heavy-duty</w:t>
      </w:r>
      <w:r>
        <w:rPr>
          <w:spacing w:val="-6"/>
        </w:rPr>
        <w:t> </w:t>
      </w:r>
      <w:r>
        <w:rPr/>
        <w:t>Bio grease with a Capacity of 36 Tons/Year</w:t>
      </w:r>
    </w:p>
    <w:p>
      <w:pPr>
        <w:spacing w:before="225"/>
        <w:ind w:left="1717" w:right="1430" w:firstLine="0"/>
        <w:jc w:val="center"/>
        <w:rPr>
          <w:b/>
          <w:sz w:val="21"/>
        </w:rPr>
      </w:pPr>
      <w:r>
        <w:rPr>
          <w:b/>
          <w:sz w:val="21"/>
        </w:rPr>
        <w:t>Muhammad</w:t>
      </w:r>
      <w:r>
        <w:rPr>
          <w:b/>
          <w:spacing w:val="-6"/>
          <w:sz w:val="21"/>
        </w:rPr>
        <w:t> </w:t>
      </w:r>
      <w:r>
        <w:rPr>
          <w:b/>
          <w:sz w:val="21"/>
        </w:rPr>
        <w:t>Luthfi</w:t>
      </w:r>
      <w:r>
        <w:rPr>
          <w:b/>
          <w:spacing w:val="-4"/>
          <w:sz w:val="21"/>
        </w:rPr>
        <w:t> </w:t>
      </w:r>
      <w:r>
        <w:rPr>
          <w:b/>
          <w:position w:val="7"/>
          <w:sz w:val="14"/>
        </w:rPr>
        <w:t>*</w:t>
      </w:r>
      <w:r>
        <w:rPr>
          <w:b/>
          <w:sz w:val="21"/>
        </w:rPr>
        <w:t>,</w:t>
      </w:r>
      <w:r>
        <w:rPr>
          <w:b/>
          <w:spacing w:val="-3"/>
          <w:sz w:val="21"/>
        </w:rPr>
        <w:t> </w:t>
      </w:r>
      <w:r>
        <w:rPr>
          <w:b/>
          <w:spacing w:val="-2"/>
          <w:sz w:val="21"/>
        </w:rPr>
        <w:t>Sukirno</w:t>
      </w:r>
    </w:p>
    <w:p>
      <w:pPr>
        <w:pStyle w:val="BodyText"/>
        <w:spacing w:before="35"/>
        <w:ind w:left="0"/>
        <w:jc w:val="left"/>
        <w:rPr>
          <w:b/>
          <w:sz w:val="21"/>
        </w:rPr>
      </w:pPr>
    </w:p>
    <w:p>
      <w:pPr>
        <w:spacing w:before="0"/>
        <w:ind w:left="1708" w:right="1430" w:firstLine="0"/>
        <w:jc w:val="center"/>
        <w:rPr>
          <w:i/>
          <w:sz w:val="20"/>
        </w:rPr>
      </w:pPr>
      <w:r>
        <w:rPr>
          <w:i/>
          <w:sz w:val="20"/>
        </w:rPr>
        <w:t>Department</w:t>
      </w:r>
      <w:r>
        <w:rPr>
          <w:i/>
          <w:spacing w:val="-6"/>
          <w:sz w:val="20"/>
        </w:rPr>
        <w:t> </w:t>
      </w:r>
      <w:r>
        <w:rPr>
          <w:i/>
          <w:sz w:val="20"/>
        </w:rPr>
        <w:t>of</w:t>
      </w:r>
      <w:r>
        <w:rPr>
          <w:i/>
          <w:spacing w:val="-6"/>
          <w:sz w:val="20"/>
        </w:rPr>
        <w:t> </w:t>
      </w:r>
      <w:r>
        <w:rPr>
          <w:i/>
          <w:sz w:val="20"/>
        </w:rPr>
        <w:t>Chemical</w:t>
      </w:r>
      <w:r>
        <w:rPr>
          <w:i/>
          <w:spacing w:val="-6"/>
          <w:sz w:val="20"/>
        </w:rPr>
        <w:t> </w:t>
      </w:r>
      <w:r>
        <w:rPr>
          <w:i/>
          <w:sz w:val="20"/>
        </w:rPr>
        <w:t>Engineering,</w:t>
      </w:r>
      <w:r>
        <w:rPr>
          <w:i/>
          <w:spacing w:val="-5"/>
          <w:sz w:val="20"/>
        </w:rPr>
        <w:t> </w:t>
      </w:r>
      <w:r>
        <w:rPr>
          <w:i/>
          <w:sz w:val="20"/>
        </w:rPr>
        <w:t>Faculty</w:t>
      </w:r>
      <w:r>
        <w:rPr>
          <w:i/>
          <w:spacing w:val="-5"/>
          <w:sz w:val="20"/>
        </w:rPr>
        <w:t> </w:t>
      </w:r>
      <w:r>
        <w:rPr>
          <w:i/>
          <w:sz w:val="20"/>
        </w:rPr>
        <w:t>of</w:t>
      </w:r>
      <w:r>
        <w:rPr>
          <w:i/>
          <w:spacing w:val="-6"/>
          <w:sz w:val="20"/>
        </w:rPr>
        <w:t> </w:t>
      </w:r>
      <w:r>
        <w:rPr>
          <w:i/>
          <w:sz w:val="20"/>
        </w:rPr>
        <w:t>Engineering,</w:t>
      </w:r>
      <w:r>
        <w:rPr>
          <w:i/>
          <w:spacing w:val="-5"/>
          <w:sz w:val="20"/>
        </w:rPr>
        <w:t> </w:t>
      </w:r>
      <w:r>
        <w:rPr>
          <w:i/>
          <w:sz w:val="20"/>
        </w:rPr>
        <w:t>Universitas</w:t>
      </w:r>
      <w:r>
        <w:rPr>
          <w:i/>
          <w:spacing w:val="-6"/>
          <w:sz w:val="20"/>
        </w:rPr>
        <w:t> </w:t>
      </w:r>
      <w:r>
        <w:rPr>
          <w:i/>
          <w:sz w:val="20"/>
        </w:rPr>
        <w:t>Indonesia Jl. Dr. Indro S, Kukusan, Beji, Depok City, West Java, Indonesia,16424</w:t>
      </w:r>
    </w:p>
    <w:p>
      <w:pPr>
        <w:pStyle w:val="BodyText"/>
        <w:spacing w:before="1"/>
        <w:ind w:left="0"/>
        <w:jc w:val="left"/>
        <w:rPr>
          <w:i/>
        </w:rPr>
      </w:pPr>
    </w:p>
    <w:p>
      <w:pPr>
        <w:spacing w:line="264" w:lineRule="auto" w:before="0"/>
        <w:ind w:left="4258" w:right="745" w:hanging="2564"/>
        <w:jc w:val="left"/>
        <w:rPr>
          <w:i/>
          <w:sz w:val="16"/>
        </w:rPr>
      </w:pPr>
      <w:r>
        <w:rPr>
          <w:i/>
          <w:sz w:val="16"/>
        </w:rPr>
        <w:t>Submitted:</w:t>
      </w:r>
      <w:r>
        <w:rPr>
          <w:i/>
          <w:spacing w:val="-3"/>
          <w:sz w:val="16"/>
        </w:rPr>
        <w:t> </w:t>
      </w:r>
      <w:r>
        <w:rPr>
          <w:i/>
          <w:sz w:val="16"/>
        </w:rPr>
        <w:t>May</w:t>
      </w:r>
      <w:r>
        <w:rPr>
          <w:i/>
          <w:spacing w:val="-2"/>
          <w:sz w:val="16"/>
        </w:rPr>
        <w:t> </w:t>
      </w:r>
      <w:r>
        <w:rPr>
          <w:i/>
          <w:sz w:val="16"/>
        </w:rPr>
        <w:t>5th,</w:t>
      </w:r>
      <w:r>
        <w:rPr>
          <w:i/>
          <w:spacing w:val="-3"/>
          <w:sz w:val="16"/>
        </w:rPr>
        <w:t> </w:t>
      </w:r>
      <w:r>
        <w:rPr>
          <w:i/>
          <w:sz w:val="16"/>
        </w:rPr>
        <w:t>2025;</w:t>
      </w:r>
      <w:r>
        <w:rPr>
          <w:i/>
          <w:spacing w:val="-4"/>
          <w:sz w:val="16"/>
        </w:rPr>
        <w:t> </w:t>
      </w:r>
      <w:r>
        <w:rPr>
          <w:i/>
          <w:sz w:val="16"/>
        </w:rPr>
        <w:t>Revised:</w:t>
      </w:r>
      <w:r>
        <w:rPr>
          <w:i/>
          <w:spacing w:val="-4"/>
          <w:sz w:val="16"/>
        </w:rPr>
        <w:t> </w:t>
      </w:r>
      <w:r>
        <w:rPr>
          <w:i/>
          <w:sz w:val="16"/>
        </w:rPr>
        <w:t>June 30th,</w:t>
      </w:r>
      <w:r>
        <w:rPr>
          <w:i/>
          <w:spacing w:val="-3"/>
          <w:sz w:val="16"/>
        </w:rPr>
        <w:t> </w:t>
      </w:r>
      <w:r>
        <w:rPr>
          <w:i/>
          <w:sz w:val="16"/>
        </w:rPr>
        <w:t>2025;</w:t>
      </w:r>
      <w:r>
        <w:rPr>
          <w:i/>
          <w:spacing w:val="-2"/>
          <w:sz w:val="16"/>
        </w:rPr>
        <w:t> </w:t>
      </w:r>
      <w:r>
        <w:rPr>
          <w:i/>
          <w:sz w:val="16"/>
        </w:rPr>
        <w:t>Accepted:</w:t>
      </w:r>
      <w:r>
        <w:rPr>
          <w:i/>
          <w:spacing w:val="-2"/>
          <w:sz w:val="16"/>
        </w:rPr>
        <w:t> </w:t>
      </w:r>
      <w:r>
        <w:rPr>
          <w:i/>
          <w:sz w:val="16"/>
        </w:rPr>
        <w:t>July</w:t>
      </w:r>
      <w:r>
        <w:rPr>
          <w:i/>
          <w:spacing w:val="-3"/>
          <w:sz w:val="16"/>
        </w:rPr>
        <w:t> </w:t>
      </w:r>
      <w:r>
        <w:rPr>
          <w:i/>
          <w:sz w:val="16"/>
        </w:rPr>
        <w:t>14th,</w:t>
      </w:r>
      <w:r>
        <w:rPr>
          <w:i/>
          <w:spacing w:val="-3"/>
          <w:sz w:val="16"/>
        </w:rPr>
        <w:t> </w:t>
      </w:r>
      <w:r>
        <w:rPr>
          <w:i/>
          <w:sz w:val="16"/>
        </w:rPr>
        <w:t>2025;</w:t>
      </w:r>
      <w:r>
        <w:rPr>
          <w:i/>
          <w:spacing w:val="-2"/>
          <w:sz w:val="16"/>
        </w:rPr>
        <w:t> </w:t>
      </w:r>
      <w:r>
        <w:rPr>
          <w:i/>
          <w:sz w:val="16"/>
        </w:rPr>
        <w:t>Available</w:t>
      </w:r>
      <w:r>
        <w:rPr>
          <w:i/>
          <w:spacing w:val="-3"/>
          <w:sz w:val="16"/>
        </w:rPr>
        <w:t> </w:t>
      </w:r>
      <w:r>
        <w:rPr>
          <w:i/>
          <w:sz w:val="16"/>
        </w:rPr>
        <w:t>online:</w:t>
      </w:r>
      <w:r>
        <w:rPr>
          <w:i/>
          <w:spacing w:val="-4"/>
          <w:sz w:val="16"/>
        </w:rPr>
        <w:t> </w:t>
      </w:r>
      <w:r>
        <w:rPr>
          <w:i/>
          <w:sz w:val="16"/>
        </w:rPr>
        <w:t>July</w:t>
      </w:r>
      <w:r>
        <w:rPr>
          <w:i/>
          <w:spacing w:val="-3"/>
          <w:sz w:val="16"/>
        </w:rPr>
        <w:t> </w:t>
      </w:r>
      <w:r>
        <w:rPr>
          <w:i/>
          <w:sz w:val="16"/>
        </w:rPr>
        <w:t>17th,</w:t>
      </w:r>
      <w:r>
        <w:rPr>
          <w:i/>
          <w:spacing w:val="-3"/>
          <w:sz w:val="16"/>
        </w:rPr>
        <w:t> </w:t>
      </w:r>
      <w:r>
        <w:rPr>
          <w:i/>
          <w:sz w:val="16"/>
        </w:rPr>
        <w:t>2025</w:t>
      </w:r>
      <w:r>
        <w:rPr>
          <w:i/>
          <w:spacing w:val="40"/>
          <w:sz w:val="16"/>
        </w:rPr>
        <w:t> </w:t>
      </w:r>
      <w:r>
        <w:rPr>
          <w:i/>
          <w:sz w:val="16"/>
        </w:rPr>
        <w:t>DOI:</w:t>
      </w:r>
      <w:r>
        <w:rPr>
          <w:i/>
          <w:spacing w:val="-3"/>
          <w:sz w:val="16"/>
        </w:rPr>
        <w:t> </w:t>
      </w:r>
      <w:r>
        <w:rPr>
          <w:i/>
          <w:sz w:val="16"/>
        </w:rPr>
        <w:t>10.14710/teknik.v46i3.71079</w:t>
      </w:r>
    </w:p>
    <w:p>
      <w:pPr>
        <w:pStyle w:val="BodyText"/>
        <w:spacing w:before="7"/>
        <w:ind w:left="0"/>
        <w:jc w:val="left"/>
        <w:rPr>
          <w:i/>
          <w:sz w:val="10"/>
        </w:rPr>
      </w:pPr>
      <w:r>
        <w:rPr>
          <w:i/>
          <w:sz w:val="10"/>
        </w:rPr>
        <mc:AlternateContent>
          <mc:Choice Requires="wps">
            <w:drawing>
              <wp:anchor distT="0" distB="0" distL="0" distR="0" allowOverlap="1" layoutInCell="1" locked="0" behindDoc="1" simplePos="0" relativeHeight="487587840">
                <wp:simplePos x="0" y="0"/>
                <wp:positionH relativeFrom="page">
                  <wp:posOffset>900430</wp:posOffset>
                </wp:positionH>
                <wp:positionV relativeFrom="paragraph">
                  <wp:posOffset>93232</wp:posOffset>
                </wp:positionV>
                <wp:extent cx="5793105" cy="2095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793105" cy="20955"/>
                          <a:chExt cx="5793105" cy="20955"/>
                        </a:xfrm>
                      </wpg:grpSpPr>
                      <wps:wsp>
                        <wps:cNvPr id="5" name="Graphic 5"/>
                        <wps:cNvSpPr/>
                        <wps:spPr>
                          <a:xfrm>
                            <a:off x="0" y="0"/>
                            <a:ext cx="5791200" cy="19685"/>
                          </a:xfrm>
                          <a:custGeom>
                            <a:avLst/>
                            <a:gdLst/>
                            <a:ahLst/>
                            <a:cxnLst/>
                            <a:rect l="l" t="t" r="r" b="b"/>
                            <a:pathLst>
                              <a:path w="5791200" h="19685">
                                <a:moveTo>
                                  <a:pt x="5791200" y="0"/>
                                </a:moveTo>
                                <a:lnTo>
                                  <a:pt x="0" y="0"/>
                                </a:lnTo>
                                <a:lnTo>
                                  <a:pt x="0" y="19685"/>
                                </a:lnTo>
                                <a:lnTo>
                                  <a:pt x="5791200" y="19685"/>
                                </a:lnTo>
                                <a:lnTo>
                                  <a:pt x="579120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89676"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558" y="761"/>
                            <a:ext cx="5792470" cy="17145"/>
                          </a:xfrm>
                          <a:custGeom>
                            <a:avLst/>
                            <a:gdLst/>
                            <a:ahLst/>
                            <a:cxnLst/>
                            <a:rect l="l" t="t" r="r" b="b"/>
                            <a:pathLst>
                              <a:path w="5792470" h="17145">
                                <a:moveTo>
                                  <a:pt x="3048" y="3048"/>
                                </a:moveTo>
                                <a:lnTo>
                                  <a:pt x="0" y="3048"/>
                                </a:lnTo>
                                <a:lnTo>
                                  <a:pt x="0" y="16764"/>
                                </a:lnTo>
                                <a:lnTo>
                                  <a:pt x="3048" y="16764"/>
                                </a:lnTo>
                                <a:lnTo>
                                  <a:pt x="3048" y="3048"/>
                                </a:lnTo>
                                <a:close/>
                              </a:path>
                              <a:path w="5792470" h="17145">
                                <a:moveTo>
                                  <a:pt x="5792152" y="0"/>
                                </a:moveTo>
                                <a:lnTo>
                                  <a:pt x="5789117" y="0"/>
                                </a:lnTo>
                                <a:lnTo>
                                  <a:pt x="5789117" y="3048"/>
                                </a:lnTo>
                                <a:lnTo>
                                  <a:pt x="5792152" y="3048"/>
                                </a:lnTo>
                                <a:lnTo>
                                  <a:pt x="5792152"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789676"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558"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58" y="17538"/>
                            <a:ext cx="5792470" cy="3175"/>
                          </a:xfrm>
                          <a:custGeom>
                            <a:avLst/>
                            <a:gdLst/>
                            <a:ahLst/>
                            <a:cxnLst/>
                            <a:rect l="l" t="t" r="r" b="b"/>
                            <a:pathLst>
                              <a:path w="5792470" h="3175">
                                <a:moveTo>
                                  <a:pt x="5789041" y="0"/>
                                </a:moveTo>
                                <a:lnTo>
                                  <a:pt x="3048" y="0"/>
                                </a:lnTo>
                                <a:lnTo>
                                  <a:pt x="0" y="0"/>
                                </a:lnTo>
                                <a:lnTo>
                                  <a:pt x="0" y="3035"/>
                                </a:lnTo>
                                <a:lnTo>
                                  <a:pt x="3048" y="3035"/>
                                </a:lnTo>
                                <a:lnTo>
                                  <a:pt x="5789041" y="3035"/>
                                </a:lnTo>
                                <a:lnTo>
                                  <a:pt x="5789041" y="0"/>
                                </a:lnTo>
                                <a:close/>
                              </a:path>
                              <a:path w="5792470" h="3175">
                                <a:moveTo>
                                  <a:pt x="5792152" y="0"/>
                                </a:moveTo>
                                <a:lnTo>
                                  <a:pt x="5789117" y="0"/>
                                </a:lnTo>
                                <a:lnTo>
                                  <a:pt x="5789117" y="3035"/>
                                </a:lnTo>
                                <a:lnTo>
                                  <a:pt x="5792152" y="3035"/>
                                </a:lnTo>
                                <a:lnTo>
                                  <a:pt x="57921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900002pt;margin-top:7.341113pt;width:456.15pt;height:1.65pt;mso-position-horizontal-relative:page;mso-position-vertical-relative:paragraph;z-index:-15728640;mso-wrap-distance-left:0;mso-wrap-distance-right:0" id="docshapegroup3" coordorigin="1418,147" coordsize="9123,33">
                <v:rect style="position:absolute;left:1418;top:146;width:9120;height:31" id="docshape4" filled="true" fillcolor="#9f9f9f" stroked="false">
                  <v:fill type="solid"/>
                </v:rect>
                <v:rect style="position:absolute;left:10535;top:148;width:5;height:5" id="docshape5" filled="true" fillcolor="#e2e2e2" stroked="false">
                  <v:fill type="solid"/>
                </v:rect>
                <v:shape style="position:absolute;left:1418;top:148;width:9122;height:27" id="docshape6" coordorigin="1419,148" coordsize="9122,27" path="m1424,153l1419,153,1419,174,1424,174,1424,153xm10540,148l10536,148,10536,153,10540,153,10540,148xe" filled="true" fillcolor="#9f9f9f" stroked="false">
                  <v:path arrowok="t"/>
                  <v:fill type="solid"/>
                </v:shape>
                <v:rect style="position:absolute;left:10535;top:152;width:5;height:22" id="docshape7" filled="true" fillcolor="#e2e2e2" stroked="false">
                  <v:fill type="solid"/>
                </v:rect>
                <v:rect style="position:absolute;left:1418;top:174;width:5;height:5" id="docshape8" filled="true" fillcolor="#9f9f9f" stroked="false">
                  <v:fill type="solid"/>
                </v:rect>
                <v:shape style="position:absolute;left:1418;top:174;width:9122;height:5" id="docshape9" coordorigin="1419,174" coordsize="9122,5" path="m10535,174l1424,174,1419,174,1419,179,1424,179,10535,179,10535,174xm10540,174l10536,174,10536,179,10540,179,10540,174xe" filled="true" fillcolor="#e2e2e2" stroked="false">
                  <v:path arrowok="t"/>
                  <v:fill type="solid"/>
                </v:shape>
                <w10:wrap type="topAndBottom"/>
              </v:group>
            </w:pict>
          </mc:Fallback>
        </mc:AlternateContent>
      </w:r>
    </w:p>
    <w:p>
      <w:pPr>
        <w:spacing w:before="49"/>
        <w:ind w:left="1712" w:right="1430" w:firstLine="0"/>
        <w:jc w:val="center"/>
        <w:rPr>
          <w:b/>
          <w:sz w:val="24"/>
        </w:rPr>
      </w:pPr>
      <w:r>
        <w:rPr>
          <w:b/>
          <w:spacing w:val="-2"/>
          <w:sz w:val="24"/>
        </w:rPr>
        <w:t>Abstract</w:t>
      </w:r>
    </w:p>
    <w:p>
      <w:pPr>
        <w:spacing w:before="232"/>
        <w:ind w:left="905" w:right="613" w:firstLine="0"/>
        <w:jc w:val="both"/>
        <w:rPr>
          <w:i/>
          <w:sz w:val="20"/>
        </w:rPr>
      </w:pPr>
      <w:r>
        <w:rPr>
          <w:b/>
          <w:i/>
          <w:sz w:val="20"/>
        </w:rPr>
        <w:t>[Economic Analysis of the Preliminary Design of a Chemical Mini Plant to produce Palm Oil Based Estolide</w:t>
      </w:r>
      <w:r>
        <w:rPr>
          <w:b/>
          <w:i/>
          <w:spacing w:val="-5"/>
          <w:sz w:val="20"/>
        </w:rPr>
        <w:t> </w:t>
      </w:r>
      <w:r>
        <w:rPr>
          <w:b/>
          <w:i/>
          <w:sz w:val="20"/>
        </w:rPr>
        <w:t>Calcium</w:t>
      </w:r>
      <w:r>
        <w:rPr>
          <w:b/>
          <w:i/>
          <w:spacing w:val="-6"/>
          <w:sz w:val="20"/>
        </w:rPr>
        <w:t> </w:t>
      </w:r>
      <w:r>
        <w:rPr>
          <w:b/>
          <w:i/>
          <w:sz w:val="20"/>
        </w:rPr>
        <w:t>Sulfo-Ole</w:t>
      </w:r>
      <w:r>
        <w:rPr>
          <w:b/>
          <w:i/>
          <w:spacing w:val="-5"/>
          <w:sz w:val="20"/>
        </w:rPr>
        <w:t> </w:t>
      </w:r>
      <w:r>
        <w:rPr>
          <w:b/>
          <w:i/>
          <w:sz w:val="20"/>
        </w:rPr>
        <w:t>Heavy-duty</w:t>
      </w:r>
      <w:r>
        <w:rPr>
          <w:b/>
          <w:i/>
          <w:spacing w:val="-6"/>
          <w:sz w:val="20"/>
        </w:rPr>
        <w:t> </w:t>
      </w:r>
      <w:r>
        <w:rPr>
          <w:b/>
          <w:i/>
          <w:sz w:val="20"/>
        </w:rPr>
        <w:t>Bio</w:t>
      </w:r>
      <w:r>
        <w:rPr>
          <w:b/>
          <w:i/>
          <w:spacing w:val="-7"/>
          <w:sz w:val="20"/>
        </w:rPr>
        <w:t> </w:t>
      </w:r>
      <w:r>
        <w:rPr>
          <w:b/>
          <w:i/>
          <w:sz w:val="20"/>
        </w:rPr>
        <w:t>grease</w:t>
      </w:r>
      <w:r>
        <w:rPr>
          <w:b/>
          <w:i/>
          <w:spacing w:val="-5"/>
          <w:sz w:val="20"/>
        </w:rPr>
        <w:t> </w:t>
      </w:r>
      <w:r>
        <w:rPr>
          <w:b/>
          <w:i/>
          <w:sz w:val="20"/>
        </w:rPr>
        <w:t>with</w:t>
      </w:r>
      <w:r>
        <w:rPr>
          <w:b/>
          <w:i/>
          <w:spacing w:val="-6"/>
          <w:sz w:val="20"/>
        </w:rPr>
        <w:t> </w:t>
      </w:r>
      <w:r>
        <w:rPr>
          <w:b/>
          <w:i/>
          <w:sz w:val="20"/>
        </w:rPr>
        <w:t>a</w:t>
      </w:r>
      <w:r>
        <w:rPr>
          <w:b/>
          <w:i/>
          <w:spacing w:val="-7"/>
          <w:sz w:val="20"/>
        </w:rPr>
        <w:t> </w:t>
      </w:r>
      <w:r>
        <w:rPr>
          <w:b/>
          <w:i/>
          <w:sz w:val="20"/>
        </w:rPr>
        <w:t>Capacity</w:t>
      </w:r>
      <w:r>
        <w:rPr>
          <w:b/>
          <w:i/>
          <w:spacing w:val="-5"/>
          <w:sz w:val="20"/>
        </w:rPr>
        <w:t> </w:t>
      </w:r>
      <w:r>
        <w:rPr>
          <w:b/>
          <w:i/>
          <w:sz w:val="20"/>
        </w:rPr>
        <w:t>of</w:t>
      </w:r>
      <w:r>
        <w:rPr>
          <w:b/>
          <w:i/>
          <w:spacing w:val="-7"/>
          <w:sz w:val="20"/>
        </w:rPr>
        <w:t> </w:t>
      </w:r>
      <w:r>
        <w:rPr>
          <w:b/>
          <w:i/>
          <w:sz w:val="20"/>
        </w:rPr>
        <w:t>36</w:t>
      </w:r>
      <w:r>
        <w:rPr>
          <w:b/>
          <w:i/>
          <w:spacing w:val="-5"/>
          <w:sz w:val="20"/>
        </w:rPr>
        <w:t> </w:t>
      </w:r>
      <w:r>
        <w:rPr>
          <w:b/>
          <w:i/>
          <w:sz w:val="20"/>
        </w:rPr>
        <w:t>Tons/Year]</w:t>
      </w:r>
      <w:r>
        <w:rPr>
          <w:b/>
          <w:i/>
          <w:spacing w:val="-5"/>
          <w:sz w:val="20"/>
        </w:rPr>
        <w:t> </w:t>
      </w:r>
      <w:r>
        <w:rPr>
          <w:i/>
          <w:sz w:val="20"/>
        </w:rPr>
        <w:t>The</w:t>
      </w:r>
      <w:r>
        <w:rPr>
          <w:i/>
          <w:spacing w:val="-6"/>
          <w:sz w:val="20"/>
        </w:rPr>
        <w:t> </w:t>
      </w:r>
      <w:r>
        <w:rPr>
          <w:i/>
          <w:sz w:val="20"/>
        </w:rPr>
        <w:t>rapid</w:t>
      </w:r>
      <w:r>
        <w:rPr>
          <w:i/>
          <w:spacing w:val="-7"/>
          <w:sz w:val="20"/>
        </w:rPr>
        <w:t> </w:t>
      </w:r>
      <w:r>
        <w:rPr>
          <w:i/>
          <w:sz w:val="20"/>
        </w:rPr>
        <w:t>growth</w:t>
      </w:r>
      <w:r>
        <w:rPr>
          <w:i/>
          <w:spacing w:val="-5"/>
          <w:sz w:val="20"/>
        </w:rPr>
        <w:t> </w:t>
      </w:r>
      <w:r>
        <w:rPr>
          <w:i/>
          <w:sz w:val="20"/>
        </w:rPr>
        <w:t>of the automotive, manufacturing, and heavy-duty industries has increased lubricant demand, particularly lithium-based grease. However, due to supply constraints and rising costs, calcium is a more sustainable substitute for lithium in lubricants. This study develops heavy-duty bio grease based on palm oil estolide with</w:t>
      </w:r>
      <w:r>
        <w:rPr>
          <w:i/>
          <w:spacing w:val="-7"/>
          <w:sz w:val="20"/>
        </w:rPr>
        <w:t> </w:t>
      </w:r>
      <w:r>
        <w:rPr>
          <w:i/>
          <w:sz w:val="20"/>
        </w:rPr>
        <w:t>calcium</w:t>
      </w:r>
      <w:r>
        <w:rPr>
          <w:i/>
          <w:spacing w:val="-7"/>
          <w:sz w:val="20"/>
        </w:rPr>
        <w:t> </w:t>
      </w:r>
      <w:r>
        <w:rPr>
          <w:i/>
          <w:sz w:val="20"/>
        </w:rPr>
        <w:t>sulfo-oleate</w:t>
      </w:r>
      <w:r>
        <w:rPr>
          <w:i/>
          <w:spacing w:val="-8"/>
          <w:sz w:val="20"/>
        </w:rPr>
        <w:t> </w:t>
      </w:r>
      <w:r>
        <w:rPr>
          <w:i/>
          <w:sz w:val="20"/>
        </w:rPr>
        <w:t>as</w:t>
      </w:r>
      <w:r>
        <w:rPr>
          <w:i/>
          <w:spacing w:val="-8"/>
          <w:sz w:val="20"/>
        </w:rPr>
        <w:t> </w:t>
      </w:r>
      <w:r>
        <w:rPr>
          <w:i/>
          <w:sz w:val="20"/>
        </w:rPr>
        <w:t>a</w:t>
      </w:r>
      <w:r>
        <w:rPr>
          <w:i/>
          <w:spacing w:val="-7"/>
          <w:sz w:val="20"/>
        </w:rPr>
        <w:t> </w:t>
      </w:r>
      <w:r>
        <w:rPr>
          <w:i/>
          <w:sz w:val="20"/>
        </w:rPr>
        <w:t>more</w:t>
      </w:r>
      <w:r>
        <w:rPr>
          <w:i/>
          <w:spacing w:val="-7"/>
          <w:sz w:val="20"/>
        </w:rPr>
        <w:t> </w:t>
      </w:r>
      <w:r>
        <w:rPr>
          <w:i/>
          <w:sz w:val="20"/>
        </w:rPr>
        <w:t>economical</w:t>
      </w:r>
      <w:r>
        <w:rPr>
          <w:i/>
          <w:spacing w:val="-7"/>
          <w:sz w:val="20"/>
        </w:rPr>
        <w:t> </w:t>
      </w:r>
      <w:r>
        <w:rPr>
          <w:i/>
          <w:sz w:val="20"/>
        </w:rPr>
        <w:t>and</w:t>
      </w:r>
      <w:r>
        <w:rPr>
          <w:i/>
          <w:spacing w:val="-7"/>
          <w:sz w:val="20"/>
        </w:rPr>
        <w:t> </w:t>
      </w:r>
      <w:r>
        <w:rPr>
          <w:i/>
          <w:sz w:val="20"/>
        </w:rPr>
        <w:t>eco-friendlier</w:t>
      </w:r>
      <w:r>
        <w:rPr>
          <w:i/>
          <w:spacing w:val="-8"/>
          <w:sz w:val="20"/>
        </w:rPr>
        <w:t> </w:t>
      </w:r>
      <w:r>
        <w:rPr>
          <w:i/>
          <w:sz w:val="20"/>
        </w:rPr>
        <w:t>alternative.</w:t>
      </w:r>
      <w:r>
        <w:rPr>
          <w:i/>
          <w:spacing w:val="-7"/>
          <w:sz w:val="20"/>
        </w:rPr>
        <w:t> </w:t>
      </w:r>
      <w:r>
        <w:rPr>
          <w:i/>
          <w:sz w:val="20"/>
        </w:rPr>
        <w:t>The</w:t>
      </w:r>
      <w:r>
        <w:rPr>
          <w:i/>
          <w:spacing w:val="-7"/>
          <w:sz w:val="20"/>
        </w:rPr>
        <w:t> </w:t>
      </w:r>
      <w:r>
        <w:rPr>
          <w:i/>
          <w:sz w:val="20"/>
        </w:rPr>
        <w:t>research</w:t>
      </w:r>
      <w:r>
        <w:rPr>
          <w:i/>
          <w:spacing w:val="-7"/>
          <w:sz w:val="20"/>
        </w:rPr>
        <w:t> </w:t>
      </w:r>
      <w:r>
        <w:rPr>
          <w:i/>
          <w:sz w:val="20"/>
        </w:rPr>
        <w:t>adopts</w:t>
      </w:r>
      <w:r>
        <w:rPr>
          <w:i/>
          <w:spacing w:val="-8"/>
          <w:sz w:val="20"/>
        </w:rPr>
        <w:t> </w:t>
      </w:r>
      <w:r>
        <w:rPr>
          <w:i/>
          <w:sz w:val="20"/>
        </w:rPr>
        <w:t>a</w:t>
      </w:r>
      <w:r>
        <w:rPr>
          <w:i/>
          <w:spacing w:val="-7"/>
          <w:sz w:val="20"/>
        </w:rPr>
        <w:t> </w:t>
      </w:r>
      <w:r>
        <w:rPr>
          <w:i/>
          <w:sz w:val="20"/>
        </w:rPr>
        <w:t>pilot- scale approach with a 36 tons/year production capacity, aligned with Micro, Small, and Medium Enterprises</w:t>
      </w:r>
      <w:r>
        <w:rPr>
          <w:i/>
          <w:spacing w:val="-1"/>
          <w:sz w:val="20"/>
        </w:rPr>
        <w:t> </w:t>
      </w:r>
      <w:r>
        <w:rPr>
          <w:i/>
          <w:sz w:val="20"/>
        </w:rPr>
        <w:t>(MSMEs).</w:t>
      </w:r>
      <w:r>
        <w:rPr>
          <w:i/>
          <w:spacing w:val="-2"/>
          <w:sz w:val="20"/>
        </w:rPr>
        <w:t> </w:t>
      </w:r>
      <w:r>
        <w:rPr>
          <w:i/>
          <w:sz w:val="20"/>
        </w:rPr>
        <w:t>The</w:t>
      </w:r>
      <w:r>
        <w:rPr>
          <w:i/>
          <w:spacing w:val="-1"/>
          <w:sz w:val="20"/>
        </w:rPr>
        <w:t> </w:t>
      </w:r>
      <w:r>
        <w:rPr>
          <w:i/>
          <w:sz w:val="20"/>
        </w:rPr>
        <w:t>product,</w:t>
      </w:r>
      <w:r>
        <w:rPr>
          <w:i/>
          <w:spacing w:val="-2"/>
          <w:sz w:val="20"/>
        </w:rPr>
        <w:t> </w:t>
      </w:r>
      <w:r>
        <w:rPr>
          <w:i/>
          <w:sz w:val="20"/>
        </w:rPr>
        <w:t>heavy-duty</w:t>
      </w:r>
      <w:r>
        <w:rPr>
          <w:i/>
          <w:spacing w:val="-2"/>
          <w:sz w:val="20"/>
        </w:rPr>
        <w:t> </w:t>
      </w:r>
      <w:r>
        <w:rPr>
          <w:i/>
          <w:sz w:val="20"/>
        </w:rPr>
        <w:t>bio</w:t>
      </w:r>
      <w:r>
        <w:rPr>
          <w:i/>
          <w:spacing w:val="-3"/>
          <w:sz w:val="20"/>
        </w:rPr>
        <w:t> </w:t>
      </w:r>
      <w:r>
        <w:rPr>
          <w:i/>
          <w:sz w:val="20"/>
        </w:rPr>
        <w:t>grease</w:t>
      </w:r>
      <w:r>
        <w:rPr>
          <w:i/>
          <w:spacing w:val="-2"/>
          <w:sz w:val="20"/>
        </w:rPr>
        <w:t> </w:t>
      </w:r>
      <w:r>
        <w:rPr>
          <w:i/>
          <w:sz w:val="20"/>
        </w:rPr>
        <w:t>Calcium</w:t>
      </w:r>
      <w:r>
        <w:rPr>
          <w:i/>
          <w:spacing w:val="-2"/>
          <w:sz w:val="20"/>
        </w:rPr>
        <w:t> </w:t>
      </w:r>
      <w:r>
        <w:rPr>
          <w:i/>
          <w:sz w:val="20"/>
        </w:rPr>
        <w:t>Sulfo-Ole,</w:t>
      </w:r>
      <w:r>
        <w:rPr>
          <w:i/>
          <w:spacing w:val="-2"/>
          <w:sz w:val="20"/>
        </w:rPr>
        <w:t> </w:t>
      </w:r>
      <w:r>
        <w:rPr>
          <w:i/>
          <w:sz w:val="20"/>
        </w:rPr>
        <w:t>uses</w:t>
      </w:r>
      <w:r>
        <w:rPr>
          <w:i/>
          <w:spacing w:val="-2"/>
          <w:sz w:val="20"/>
        </w:rPr>
        <w:t> </w:t>
      </w:r>
      <w:r>
        <w:rPr>
          <w:i/>
          <w:sz w:val="20"/>
        </w:rPr>
        <w:t>Estolide</w:t>
      </w:r>
      <w:r>
        <w:rPr>
          <w:i/>
          <w:spacing w:val="-2"/>
          <w:sz w:val="20"/>
        </w:rPr>
        <w:t> </w:t>
      </w:r>
      <w:r>
        <w:rPr>
          <w:i/>
          <w:sz w:val="20"/>
        </w:rPr>
        <w:t>Base</w:t>
      </w:r>
      <w:r>
        <w:rPr>
          <w:i/>
          <w:spacing w:val="-1"/>
          <w:sz w:val="20"/>
        </w:rPr>
        <w:t> </w:t>
      </w:r>
      <w:r>
        <w:rPr>
          <w:i/>
          <w:sz w:val="20"/>
        </w:rPr>
        <w:t>Oil</w:t>
      </w:r>
      <w:r>
        <w:rPr>
          <w:i/>
          <w:spacing w:val="-3"/>
          <w:sz w:val="20"/>
        </w:rPr>
        <w:t> </w:t>
      </w:r>
      <w:r>
        <w:rPr>
          <w:i/>
          <w:spacing w:val="-5"/>
          <w:sz w:val="20"/>
        </w:rPr>
        <w:t>SAE</w:t>
      </w:r>
    </w:p>
    <w:p>
      <w:pPr>
        <w:spacing w:before="0"/>
        <w:ind w:left="905" w:right="619" w:firstLine="0"/>
        <w:jc w:val="both"/>
        <w:rPr>
          <w:i/>
          <w:sz w:val="20"/>
        </w:rPr>
      </w:pPr>
      <w:r>
        <w:rPr>
          <w:i/>
          <w:sz w:val="20"/>
        </w:rPr>
        <w:t>40 as the primary component. The process includes epoxidation, esterification, saponification, and formulation. Testing confirms that the ester-based oil has high viscosity and oxidative stability, making it suitable</w:t>
      </w:r>
      <w:r>
        <w:rPr>
          <w:i/>
          <w:spacing w:val="-13"/>
          <w:sz w:val="20"/>
        </w:rPr>
        <w:t> </w:t>
      </w:r>
      <w:r>
        <w:rPr>
          <w:i/>
          <w:sz w:val="20"/>
        </w:rPr>
        <w:t>for</w:t>
      </w:r>
      <w:r>
        <w:rPr>
          <w:i/>
          <w:spacing w:val="-12"/>
          <w:sz w:val="20"/>
        </w:rPr>
        <w:t> </w:t>
      </w:r>
      <w:r>
        <w:rPr>
          <w:i/>
          <w:sz w:val="20"/>
        </w:rPr>
        <w:t>NLGI</w:t>
      </w:r>
      <w:r>
        <w:rPr>
          <w:i/>
          <w:spacing w:val="-13"/>
          <w:sz w:val="20"/>
        </w:rPr>
        <w:t> </w:t>
      </w:r>
      <w:r>
        <w:rPr>
          <w:i/>
          <w:sz w:val="20"/>
        </w:rPr>
        <w:t>2</w:t>
      </w:r>
      <w:r>
        <w:rPr>
          <w:i/>
          <w:spacing w:val="-12"/>
          <w:sz w:val="20"/>
        </w:rPr>
        <w:t> </w:t>
      </w:r>
      <w:r>
        <w:rPr>
          <w:i/>
          <w:sz w:val="20"/>
        </w:rPr>
        <w:t>standard</w:t>
      </w:r>
      <w:r>
        <w:rPr>
          <w:i/>
          <w:spacing w:val="-13"/>
          <w:sz w:val="20"/>
        </w:rPr>
        <w:t> </w:t>
      </w:r>
      <w:r>
        <w:rPr>
          <w:i/>
          <w:sz w:val="20"/>
        </w:rPr>
        <w:t>applications</w:t>
      </w:r>
      <w:r>
        <w:rPr>
          <w:i/>
          <w:spacing w:val="-12"/>
          <w:sz w:val="20"/>
        </w:rPr>
        <w:t> </w:t>
      </w:r>
      <w:r>
        <w:rPr>
          <w:i/>
          <w:sz w:val="20"/>
        </w:rPr>
        <w:t>in</w:t>
      </w:r>
      <w:r>
        <w:rPr>
          <w:i/>
          <w:spacing w:val="-13"/>
          <w:sz w:val="20"/>
        </w:rPr>
        <w:t> </w:t>
      </w:r>
      <w:r>
        <w:rPr>
          <w:i/>
          <w:sz w:val="20"/>
        </w:rPr>
        <w:t>heavy</w:t>
      </w:r>
      <w:r>
        <w:rPr>
          <w:i/>
          <w:spacing w:val="-12"/>
          <w:sz w:val="20"/>
        </w:rPr>
        <w:t> </w:t>
      </w:r>
      <w:r>
        <w:rPr>
          <w:i/>
          <w:sz w:val="20"/>
        </w:rPr>
        <w:t>machinery.</w:t>
      </w:r>
      <w:r>
        <w:rPr>
          <w:i/>
          <w:spacing w:val="-13"/>
          <w:sz w:val="20"/>
        </w:rPr>
        <w:t> </w:t>
      </w:r>
      <w:r>
        <w:rPr>
          <w:i/>
          <w:sz w:val="20"/>
        </w:rPr>
        <w:t>Economic</w:t>
      </w:r>
      <w:r>
        <w:rPr>
          <w:i/>
          <w:spacing w:val="-12"/>
          <w:sz w:val="20"/>
        </w:rPr>
        <w:t> </w:t>
      </w:r>
      <w:r>
        <w:rPr>
          <w:i/>
          <w:sz w:val="20"/>
        </w:rPr>
        <w:t>analysis</w:t>
      </w:r>
      <w:r>
        <w:rPr>
          <w:i/>
          <w:spacing w:val="-13"/>
          <w:sz w:val="20"/>
        </w:rPr>
        <w:t> </w:t>
      </w:r>
      <w:r>
        <w:rPr>
          <w:i/>
          <w:sz w:val="20"/>
        </w:rPr>
        <w:t>indicates</w:t>
      </w:r>
      <w:r>
        <w:rPr>
          <w:i/>
          <w:spacing w:val="-12"/>
          <w:sz w:val="20"/>
        </w:rPr>
        <w:t> </w:t>
      </w:r>
      <w:r>
        <w:rPr>
          <w:i/>
          <w:sz w:val="20"/>
        </w:rPr>
        <w:t>strong</w:t>
      </w:r>
      <w:r>
        <w:rPr>
          <w:i/>
          <w:spacing w:val="-13"/>
          <w:sz w:val="20"/>
        </w:rPr>
        <w:t> </w:t>
      </w:r>
      <w:r>
        <w:rPr>
          <w:i/>
          <w:sz w:val="20"/>
        </w:rPr>
        <w:t>viability, with a positive Net Present Value (NPV) of Rp1.3 billion over 10 years, Internal Rate of Return (IRR) of 13%, and Return on Investment (ROI) of 206%. The Break-Even Point (BEP) reached 83% capacity, proving feasibility. This bio grease reduces reliance on lithium-based lubricants while promoting sustainable, plant-based lubricants.</w:t>
      </w:r>
    </w:p>
    <w:p>
      <w:pPr>
        <w:pStyle w:val="BodyText"/>
        <w:ind w:left="0"/>
        <w:jc w:val="left"/>
        <w:rPr>
          <w:i/>
        </w:rPr>
      </w:pPr>
    </w:p>
    <w:p>
      <w:pPr>
        <w:spacing w:before="0"/>
        <w:ind w:left="905" w:right="0" w:firstLine="0"/>
        <w:jc w:val="both"/>
        <w:rPr>
          <w:i/>
          <w:sz w:val="20"/>
        </w:rPr>
      </w:pPr>
      <w:r>
        <w:rPr>
          <w:b/>
          <w:sz w:val="20"/>
        </w:rPr>
        <w:t>Keywords</w:t>
      </w:r>
      <w:r>
        <w:rPr>
          <w:b/>
          <w:i/>
          <w:sz w:val="20"/>
        </w:rPr>
        <w:t>:</w:t>
      </w:r>
      <w:r>
        <w:rPr>
          <w:b/>
          <w:i/>
          <w:spacing w:val="-6"/>
          <w:sz w:val="20"/>
        </w:rPr>
        <w:t> </w:t>
      </w:r>
      <w:r>
        <w:rPr>
          <w:i/>
          <w:sz w:val="20"/>
        </w:rPr>
        <w:t>calcium</w:t>
      </w:r>
      <w:r>
        <w:rPr>
          <w:i/>
          <w:spacing w:val="-6"/>
          <w:sz w:val="20"/>
        </w:rPr>
        <w:t> </w:t>
      </w:r>
      <w:r>
        <w:rPr>
          <w:i/>
          <w:sz w:val="20"/>
        </w:rPr>
        <w:t>sulfo-oleate;</w:t>
      </w:r>
      <w:r>
        <w:rPr>
          <w:i/>
          <w:spacing w:val="-5"/>
          <w:sz w:val="20"/>
        </w:rPr>
        <w:t> </w:t>
      </w:r>
      <w:r>
        <w:rPr>
          <w:i/>
          <w:sz w:val="20"/>
        </w:rPr>
        <w:t>economic</w:t>
      </w:r>
      <w:r>
        <w:rPr>
          <w:i/>
          <w:spacing w:val="-5"/>
          <w:sz w:val="20"/>
        </w:rPr>
        <w:t> </w:t>
      </w:r>
      <w:r>
        <w:rPr>
          <w:i/>
          <w:sz w:val="20"/>
        </w:rPr>
        <w:t>analysis;</w:t>
      </w:r>
      <w:r>
        <w:rPr>
          <w:i/>
          <w:spacing w:val="-5"/>
          <w:sz w:val="20"/>
        </w:rPr>
        <w:t> </w:t>
      </w:r>
      <w:r>
        <w:rPr>
          <w:i/>
          <w:sz w:val="20"/>
        </w:rPr>
        <w:t>estolide,</w:t>
      </w:r>
      <w:r>
        <w:rPr>
          <w:i/>
          <w:spacing w:val="-6"/>
          <w:sz w:val="20"/>
        </w:rPr>
        <w:t> </w:t>
      </w:r>
      <w:r>
        <w:rPr>
          <w:i/>
          <w:sz w:val="20"/>
        </w:rPr>
        <w:t>heavy-duty</w:t>
      </w:r>
      <w:r>
        <w:rPr>
          <w:i/>
          <w:spacing w:val="-8"/>
          <w:sz w:val="20"/>
        </w:rPr>
        <w:t> </w:t>
      </w:r>
      <w:r>
        <w:rPr>
          <w:i/>
          <w:sz w:val="20"/>
        </w:rPr>
        <w:t>bio</w:t>
      </w:r>
      <w:r>
        <w:rPr>
          <w:i/>
          <w:spacing w:val="-5"/>
          <w:sz w:val="20"/>
        </w:rPr>
        <w:t> </w:t>
      </w:r>
      <w:r>
        <w:rPr>
          <w:i/>
          <w:sz w:val="20"/>
        </w:rPr>
        <w:t>grease;</w:t>
      </w:r>
      <w:r>
        <w:rPr>
          <w:i/>
          <w:spacing w:val="-5"/>
          <w:sz w:val="20"/>
        </w:rPr>
        <w:t> </w:t>
      </w:r>
      <w:r>
        <w:rPr>
          <w:i/>
          <w:spacing w:val="-2"/>
          <w:sz w:val="20"/>
        </w:rPr>
        <w:t>MSMEs</w:t>
      </w:r>
    </w:p>
    <w:p>
      <w:pPr>
        <w:pStyle w:val="BodyText"/>
        <w:spacing w:before="147" w:after="1"/>
        <w:ind w:left="0"/>
        <w:jc w:val="left"/>
        <w:rPr>
          <w:i/>
        </w:rPr>
      </w:pPr>
    </w:p>
    <w:p>
      <w:pPr>
        <w:pStyle w:val="BodyText"/>
        <w:spacing w:line="32" w:lineRule="exact"/>
        <w:ind w:right="-15"/>
        <w:jc w:val="left"/>
        <w:rPr>
          <w:position w:val="0"/>
          <w:sz w:val="3"/>
        </w:rPr>
      </w:pPr>
      <w:r>
        <w:rPr>
          <w:position w:val="0"/>
          <w:sz w:val="3"/>
        </w:rPr>
        <mc:AlternateContent>
          <mc:Choice Requires="wps">
            <w:drawing>
              <wp:inline distT="0" distB="0" distL="0" distR="0">
                <wp:extent cx="6154420" cy="20955"/>
                <wp:effectExtent l="0" t="0" r="0" b="7620"/>
                <wp:docPr id="11" name="Group 11"/>
                <wp:cNvGraphicFramePr>
                  <a:graphicFrameLocks/>
                </wp:cNvGraphicFramePr>
                <a:graphic>
                  <a:graphicData uri="http://schemas.microsoft.com/office/word/2010/wordprocessingGroup">
                    <wpg:wgp>
                      <wpg:cNvPr id="11" name="Group 11"/>
                      <wpg:cNvGrpSpPr/>
                      <wpg:grpSpPr>
                        <a:xfrm>
                          <a:off x="0" y="0"/>
                          <a:ext cx="6154420" cy="20955"/>
                          <a:chExt cx="6154420" cy="20955"/>
                        </a:xfrm>
                      </wpg:grpSpPr>
                      <wps:wsp>
                        <wps:cNvPr id="12" name="Graphic 12"/>
                        <wps:cNvSpPr/>
                        <wps:spPr>
                          <a:xfrm>
                            <a:off x="0" y="0"/>
                            <a:ext cx="6152515" cy="19685"/>
                          </a:xfrm>
                          <a:custGeom>
                            <a:avLst/>
                            <a:gdLst/>
                            <a:ahLst/>
                            <a:cxnLst/>
                            <a:rect l="l" t="t" r="r" b="b"/>
                            <a:pathLst>
                              <a:path w="6152515" h="19685">
                                <a:moveTo>
                                  <a:pt x="6152515" y="0"/>
                                </a:moveTo>
                                <a:lnTo>
                                  <a:pt x="0" y="0"/>
                                </a:lnTo>
                                <a:lnTo>
                                  <a:pt x="0" y="19685"/>
                                </a:lnTo>
                                <a:lnTo>
                                  <a:pt x="6152515" y="19685"/>
                                </a:lnTo>
                                <a:lnTo>
                                  <a:pt x="6152515"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6150864"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558" y="888"/>
                            <a:ext cx="6153785" cy="17145"/>
                          </a:xfrm>
                          <a:custGeom>
                            <a:avLst/>
                            <a:gdLst/>
                            <a:ahLst/>
                            <a:cxnLst/>
                            <a:rect l="l" t="t" r="r" b="b"/>
                            <a:pathLst>
                              <a:path w="6153785" h="17145">
                                <a:moveTo>
                                  <a:pt x="3048" y="3048"/>
                                </a:moveTo>
                                <a:lnTo>
                                  <a:pt x="0" y="3048"/>
                                </a:lnTo>
                                <a:lnTo>
                                  <a:pt x="0" y="16764"/>
                                </a:lnTo>
                                <a:lnTo>
                                  <a:pt x="3048" y="16764"/>
                                </a:lnTo>
                                <a:lnTo>
                                  <a:pt x="3048" y="3048"/>
                                </a:lnTo>
                                <a:close/>
                              </a:path>
                              <a:path w="6153785" h="17145">
                                <a:moveTo>
                                  <a:pt x="6153340" y="0"/>
                                </a:moveTo>
                                <a:lnTo>
                                  <a:pt x="6150305" y="0"/>
                                </a:lnTo>
                                <a:lnTo>
                                  <a:pt x="6150305" y="3048"/>
                                </a:lnTo>
                                <a:lnTo>
                                  <a:pt x="6153340" y="3048"/>
                                </a:lnTo>
                                <a:lnTo>
                                  <a:pt x="6153340"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150864"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558"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58" y="17665"/>
                            <a:ext cx="6153785" cy="3175"/>
                          </a:xfrm>
                          <a:custGeom>
                            <a:avLst/>
                            <a:gdLst/>
                            <a:ahLst/>
                            <a:cxnLst/>
                            <a:rect l="l" t="t" r="r" b="b"/>
                            <a:pathLst>
                              <a:path w="6153785" h="3175">
                                <a:moveTo>
                                  <a:pt x="6150229" y="0"/>
                                </a:moveTo>
                                <a:lnTo>
                                  <a:pt x="3048" y="0"/>
                                </a:lnTo>
                                <a:lnTo>
                                  <a:pt x="0" y="0"/>
                                </a:lnTo>
                                <a:lnTo>
                                  <a:pt x="0" y="3035"/>
                                </a:lnTo>
                                <a:lnTo>
                                  <a:pt x="3048" y="3035"/>
                                </a:lnTo>
                                <a:lnTo>
                                  <a:pt x="6150229" y="3035"/>
                                </a:lnTo>
                                <a:lnTo>
                                  <a:pt x="6150229" y="0"/>
                                </a:lnTo>
                                <a:close/>
                              </a:path>
                              <a:path w="6153785" h="3175">
                                <a:moveTo>
                                  <a:pt x="6153340" y="0"/>
                                </a:moveTo>
                                <a:lnTo>
                                  <a:pt x="6150305" y="0"/>
                                </a:lnTo>
                                <a:lnTo>
                                  <a:pt x="6150305" y="3035"/>
                                </a:lnTo>
                                <a:lnTo>
                                  <a:pt x="6153340" y="3035"/>
                                </a:lnTo>
                                <a:lnTo>
                                  <a:pt x="615334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84.6pt;height:1.65pt;mso-position-horizontal-relative:char;mso-position-vertical-relative:line" id="docshapegroup10" coordorigin="0,0" coordsize="9692,33">
                <v:rect style="position:absolute;left:0;top:0;width:9689;height:31" id="docshape11" filled="true" fillcolor="#9f9f9f" stroked="false">
                  <v:fill type="solid"/>
                </v:rect>
                <v:rect style="position:absolute;left:9686;top:1;width:5;height:5" id="docshape12" filled="true" fillcolor="#e2e2e2" stroked="false">
                  <v:fill type="solid"/>
                </v:rect>
                <v:shape style="position:absolute;left:0;top:1;width:9691;height:27" id="docshape13" coordorigin="1,1" coordsize="9691,27" path="m6,6l1,6,1,28,6,28,6,6xm9691,1l9686,1,9686,6,9691,6,9691,1xe" filled="true" fillcolor="#9f9f9f" stroked="false">
                  <v:path arrowok="t"/>
                  <v:fill type="solid"/>
                </v:shape>
                <v:rect style="position:absolute;left:9686;top:6;width:5;height:22" id="docshape14" filled="true" fillcolor="#e2e2e2" stroked="false">
                  <v:fill type="solid"/>
                </v:rect>
                <v:rect style="position:absolute;left:0;top:27;width:5;height:5" id="docshape15" filled="true" fillcolor="#9f9f9f" stroked="false">
                  <v:fill type="solid"/>
                </v:rect>
                <v:shape style="position:absolute;left:0;top:27;width:9691;height:5" id="docshape16" coordorigin="1,28" coordsize="9691,5" path="m9686,28l6,28,1,28,1,33,6,33,9686,33,9686,28xm9691,28l9686,28,9686,33,9691,33,9691,28xe" filled="true" fillcolor="#e2e2e2" stroked="false">
                  <v:path arrowok="t"/>
                  <v:fill type="solid"/>
                </v:shape>
              </v:group>
            </w:pict>
          </mc:Fallback>
        </mc:AlternateContent>
      </w:r>
      <w:r>
        <w:rPr>
          <w:position w:val="0"/>
          <w:sz w:val="3"/>
        </w:rPr>
      </w:r>
    </w:p>
    <w:p>
      <w:pPr>
        <w:pStyle w:val="BodyText"/>
        <w:spacing w:after="0" w:line="32" w:lineRule="exact"/>
        <w:jc w:val="left"/>
        <w:rPr>
          <w:position w:val="0"/>
          <w:sz w:val="3"/>
        </w:rPr>
        <w:sectPr>
          <w:footerReference w:type="default" r:id="rId5"/>
          <w:type w:val="continuous"/>
          <w:pgSz w:w="12240" w:h="15840"/>
          <w:pgMar w:header="0" w:footer="994" w:top="640" w:bottom="1180" w:left="1080" w:right="1080"/>
          <w:pgNumType w:start="1"/>
        </w:sectPr>
      </w:pPr>
    </w:p>
    <w:p>
      <w:pPr>
        <w:pStyle w:val="Heading1"/>
        <w:numPr>
          <w:ilvl w:val="0"/>
          <w:numId w:val="1"/>
        </w:numPr>
        <w:tabs>
          <w:tab w:pos="539" w:val="left" w:leader="none"/>
        </w:tabs>
        <w:spacing w:line="229" w:lineRule="exact" w:before="51" w:after="0"/>
        <w:ind w:left="539" w:right="0" w:hanging="201"/>
        <w:jc w:val="both"/>
      </w:pPr>
      <w:r>
        <w:rPr>
          <w:spacing w:val="-2"/>
        </w:rPr>
        <w:t>Introduction</w:t>
      </w:r>
    </w:p>
    <w:p>
      <w:pPr>
        <w:pStyle w:val="BodyText"/>
        <w:ind w:right="38" w:firstLine="616"/>
      </w:pPr>
      <w:r>
        <w:rPr/>
        <w:t>The</w:t>
      </w:r>
      <w:r>
        <w:rPr>
          <w:spacing w:val="-2"/>
        </w:rPr>
        <w:t> </w:t>
      </w:r>
      <w:r>
        <w:rPr/>
        <w:t>rapid</w:t>
      </w:r>
      <w:r>
        <w:rPr>
          <w:spacing w:val="-2"/>
        </w:rPr>
        <w:t> </w:t>
      </w:r>
      <w:r>
        <w:rPr/>
        <w:t>growth</w:t>
      </w:r>
      <w:r>
        <w:rPr>
          <w:spacing w:val="-2"/>
        </w:rPr>
        <w:t> </w:t>
      </w:r>
      <w:r>
        <w:rPr/>
        <w:t>of</w:t>
      </w:r>
      <w:r>
        <w:rPr>
          <w:spacing w:val="-5"/>
        </w:rPr>
        <w:t> </w:t>
      </w:r>
      <w:r>
        <w:rPr/>
        <w:t>various</w:t>
      </w:r>
      <w:r>
        <w:rPr>
          <w:spacing w:val="-4"/>
        </w:rPr>
        <w:t> </w:t>
      </w:r>
      <w:r>
        <w:rPr/>
        <w:t>industries,</w:t>
      </w:r>
      <w:r>
        <w:rPr>
          <w:spacing w:val="-3"/>
        </w:rPr>
        <w:t> </w:t>
      </w:r>
      <w:r>
        <w:rPr/>
        <w:t>including </w:t>
      </w:r>
      <w:r>
        <w:rPr>
          <w:spacing w:val="-2"/>
        </w:rPr>
        <w:t>automotive,</w:t>
      </w:r>
      <w:r>
        <w:rPr>
          <w:spacing w:val="-4"/>
        </w:rPr>
        <w:t> </w:t>
      </w:r>
      <w:r>
        <w:rPr>
          <w:spacing w:val="-2"/>
        </w:rPr>
        <w:t>manufacturing,</w:t>
      </w:r>
      <w:r>
        <w:rPr>
          <w:spacing w:val="-3"/>
        </w:rPr>
        <w:t> </w:t>
      </w:r>
      <w:r>
        <w:rPr>
          <w:spacing w:val="-2"/>
        </w:rPr>
        <w:t>and heavy equipment,</w:t>
      </w:r>
      <w:r>
        <w:rPr>
          <w:spacing w:val="-5"/>
        </w:rPr>
        <w:t> </w:t>
      </w:r>
      <w:r>
        <w:rPr>
          <w:spacing w:val="-2"/>
        </w:rPr>
        <w:t>has</w:t>
      </w:r>
      <w:r>
        <w:rPr>
          <w:spacing w:val="-3"/>
        </w:rPr>
        <w:t> </w:t>
      </w:r>
      <w:r>
        <w:rPr>
          <w:spacing w:val="-2"/>
        </w:rPr>
        <w:t>led </w:t>
      </w:r>
      <w:r>
        <w:rPr/>
        <w:t>to an increasing demand for lubricants, particularly in Asia,</w:t>
      </w:r>
      <w:r>
        <w:rPr>
          <w:spacing w:val="-12"/>
        </w:rPr>
        <w:t> </w:t>
      </w:r>
      <w:r>
        <w:rPr/>
        <w:t>which</w:t>
      </w:r>
      <w:r>
        <w:rPr>
          <w:spacing w:val="-10"/>
        </w:rPr>
        <w:t> </w:t>
      </w:r>
      <w:r>
        <w:rPr/>
        <w:t>accounts</w:t>
      </w:r>
      <w:r>
        <w:rPr>
          <w:spacing w:val="-12"/>
        </w:rPr>
        <w:t> </w:t>
      </w:r>
      <w:r>
        <w:rPr/>
        <w:t>for</w:t>
      </w:r>
      <w:r>
        <w:rPr>
          <w:spacing w:val="-11"/>
        </w:rPr>
        <w:t> </w:t>
      </w:r>
      <w:r>
        <w:rPr/>
        <w:t>49%</w:t>
      </w:r>
      <w:r>
        <w:rPr>
          <w:spacing w:val="-13"/>
        </w:rPr>
        <w:t> </w:t>
      </w:r>
      <w:r>
        <w:rPr/>
        <w:t>of</w:t>
      </w:r>
      <w:r>
        <w:rPr>
          <w:spacing w:val="-11"/>
        </w:rPr>
        <w:t> </w:t>
      </w:r>
      <w:r>
        <w:rPr/>
        <w:t>global</w:t>
      </w:r>
      <w:r>
        <w:rPr>
          <w:spacing w:val="-11"/>
        </w:rPr>
        <w:t> </w:t>
      </w:r>
      <w:r>
        <w:rPr/>
        <w:t>lubricant</w:t>
      </w:r>
      <w:r>
        <w:rPr>
          <w:spacing w:val="-11"/>
        </w:rPr>
        <w:t> </w:t>
      </w:r>
      <w:r>
        <w:rPr/>
        <w:t>demand by region (Sazzad et al., 2024). One widely used type of lubricant is grease, a semi-solid lubricant composed of base oil, a thickening agent, and additives (Pirro &amp; Daschner, 2001). Grease plays a crucial role in reducing friction, preventing wear, and improving machine component efficiency.</w:t>
      </w:r>
    </w:p>
    <w:p>
      <w:pPr>
        <w:pStyle w:val="BodyText"/>
        <w:spacing w:before="1"/>
        <w:ind w:right="40" w:firstLine="566"/>
      </w:pPr>
      <w:r>
        <w:rPr/>
        <w:t>Various types of grease are used depending on specific application needs, each offering unique </w:t>
      </w:r>
      <w:r>
        <w:rPr>
          <w:spacing w:val="-2"/>
        </w:rPr>
        <w:t>performance characteristics. Lithium grease, for example, </w:t>
      </w:r>
      <w:r>
        <w:rPr/>
        <w:t>is</w:t>
      </w:r>
      <w:r>
        <w:rPr>
          <w:spacing w:val="72"/>
          <w:w w:val="150"/>
        </w:rPr>
        <w:t> </w:t>
      </w:r>
      <w:r>
        <w:rPr/>
        <w:t>widely</w:t>
      </w:r>
      <w:r>
        <w:rPr>
          <w:spacing w:val="75"/>
          <w:w w:val="150"/>
        </w:rPr>
        <w:t> </w:t>
      </w:r>
      <w:r>
        <w:rPr/>
        <w:t>used</w:t>
      </w:r>
      <w:r>
        <w:rPr>
          <w:spacing w:val="74"/>
          <w:w w:val="150"/>
        </w:rPr>
        <w:t> </w:t>
      </w:r>
      <w:r>
        <w:rPr/>
        <w:t>for</w:t>
      </w:r>
      <w:r>
        <w:rPr>
          <w:spacing w:val="74"/>
          <w:w w:val="150"/>
        </w:rPr>
        <w:t> </w:t>
      </w:r>
      <w:r>
        <w:rPr/>
        <w:t>its</w:t>
      </w:r>
      <w:r>
        <w:rPr>
          <w:spacing w:val="72"/>
          <w:w w:val="150"/>
        </w:rPr>
        <w:t> </w:t>
      </w:r>
      <w:r>
        <w:rPr/>
        <w:t>excellent</w:t>
      </w:r>
      <w:r>
        <w:rPr>
          <w:spacing w:val="74"/>
          <w:w w:val="150"/>
        </w:rPr>
        <w:t> </w:t>
      </w:r>
      <w:r>
        <w:rPr/>
        <w:t>thermal</w:t>
      </w:r>
      <w:r>
        <w:rPr>
          <w:spacing w:val="74"/>
          <w:w w:val="150"/>
        </w:rPr>
        <w:t> </w:t>
      </w:r>
      <w:r>
        <w:rPr>
          <w:spacing w:val="-2"/>
        </w:rPr>
        <w:t>stability,</w:t>
      </w:r>
    </w:p>
    <w:p>
      <w:pPr>
        <w:pStyle w:val="BodyText"/>
        <w:spacing w:before="2"/>
        <w:ind w:left="0"/>
        <w:jc w:val="left"/>
        <w:rPr>
          <w:sz w:val="5"/>
        </w:rPr>
      </w:pPr>
      <w:r>
        <w:rPr>
          <w:sz w:val="5"/>
        </w:rPr>
        <mc:AlternateContent>
          <mc:Choice Requires="wps">
            <w:drawing>
              <wp:anchor distT="0" distB="0" distL="0" distR="0" allowOverlap="1" layoutInCell="1" locked="0" behindDoc="1" simplePos="0" relativeHeight="487588864">
                <wp:simplePos x="0" y="0"/>
                <wp:positionH relativeFrom="page">
                  <wp:posOffset>891844</wp:posOffset>
                </wp:positionH>
                <wp:positionV relativeFrom="paragraph">
                  <wp:posOffset>53202</wp:posOffset>
                </wp:positionV>
                <wp:extent cx="2825750"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2825750" cy="6350"/>
                        </a:xfrm>
                        <a:custGeom>
                          <a:avLst/>
                          <a:gdLst/>
                          <a:ahLst/>
                          <a:cxnLst/>
                          <a:rect l="l" t="t" r="r" b="b"/>
                          <a:pathLst>
                            <a:path w="2825750" h="6350">
                              <a:moveTo>
                                <a:pt x="2825750" y="0"/>
                              </a:moveTo>
                              <a:lnTo>
                                <a:pt x="0" y="0"/>
                              </a:lnTo>
                              <a:lnTo>
                                <a:pt x="0" y="6095"/>
                              </a:lnTo>
                              <a:lnTo>
                                <a:pt x="2825750" y="6095"/>
                              </a:lnTo>
                              <a:lnTo>
                                <a:pt x="2825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223999pt;margin-top:4.189168pt;width:222.5pt;height:.47998pt;mso-position-horizontal-relative:page;mso-position-vertical-relative:paragraph;z-index:-15727616;mso-wrap-distance-left:0;mso-wrap-distance-right:0" id="docshape17" filled="true" fillcolor="#000000" stroked="false">
                <v:fill type="solid"/>
                <w10:wrap type="topAndBottom"/>
              </v:rect>
            </w:pict>
          </mc:Fallback>
        </mc:AlternateContent>
      </w:r>
    </w:p>
    <w:p>
      <w:pPr>
        <w:spacing w:before="0"/>
        <w:ind w:left="353" w:right="0" w:firstLine="0"/>
        <w:jc w:val="left"/>
        <w:rPr>
          <w:sz w:val="13"/>
        </w:rPr>
      </w:pPr>
      <w:r>
        <w:rPr>
          <w:spacing w:val="-2"/>
          <w:sz w:val="13"/>
        </w:rPr>
        <w:t>-----------------------------------------------------------------</w:t>
      </w:r>
      <w:r>
        <w:rPr>
          <w:spacing w:val="-10"/>
          <w:sz w:val="13"/>
        </w:rPr>
        <w:t>-</w:t>
      </w:r>
    </w:p>
    <w:p>
      <w:pPr>
        <w:pStyle w:val="BodyText"/>
        <w:spacing w:before="81"/>
        <w:ind w:left="353"/>
        <w:jc w:val="left"/>
      </w:pPr>
      <w:r>
        <w:rPr>
          <w:vertAlign w:val="superscript"/>
        </w:rPr>
        <w:t>*)</w:t>
      </w:r>
      <w:r>
        <w:rPr>
          <w:spacing w:val="-6"/>
          <w:vertAlign w:val="baseline"/>
        </w:rPr>
        <w:t> </w:t>
      </w:r>
      <w:r>
        <w:rPr>
          <w:vertAlign w:val="baseline"/>
        </w:rPr>
        <w:t>Corresponding</w:t>
      </w:r>
      <w:r>
        <w:rPr>
          <w:spacing w:val="-5"/>
          <w:vertAlign w:val="baseline"/>
        </w:rPr>
        <w:t> </w:t>
      </w:r>
      <w:r>
        <w:rPr>
          <w:spacing w:val="-2"/>
          <w:vertAlign w:val="baseline"/>
        </w:rPr>
        <w:t>Author.</w:t>
      </w:r>
    </w:p>
    <w:p>
      <w:pPr>
        <w:pStyle w:val="BodyText"/>
        <w:spacing w:before="1"/>
        <w:ind w:left="353"/>
        <w:jc w:val="left"/>
      </w:pPr>
      <w:r>
        <w:rPr/>
        <w:t>E-mail:</w:t>
      </w:r>
      <w:r>
        <w:rPr>
          <w:spacing w:val="-6"/>
        </w:rPr>
        <w:t> </w:t>
      </w:r>
      <w:hyperlink r:id="rId8">
        <w:r>
          <w:rPr>
            <w:spacing w:val="-2"/>
          </w:rPr>
          <w:t>muhammad.luthfi310@ui.ac.id</w:t>
        </w:r>
      </w:hyperlink>
    </w:p>
    <w:p>
      <w:pPr>
        <w:pStyle w:val="BodyText"/>
        <w:spacing w:before="51"/>
        <w:ind w:right="48"/>
      </w:pPr>
      <w:r>
        <w:rPr/>
        <w:br w:type="column"/>
      </w:r>
      <w:r>
        <w:rPr/>
        <w:t>mechanical load capacity, and water resistance. Calcium grease is known for its biodegradability and good water resistance, making it suitable for environmentally sensitive applications. Aluminum complex grease provides superior rust protection and is commonly used in the food industry due to its non-toxic properties. Polyurea grease is preferred in electric motor bearings because of its oxidative stability and high-temperature </w:t>
      </w:r>
      <w:r>
        <w:rPr>
          <w:spacing w:val="-2"/>
        </w:rPr>
        <w:t>performance. Clay-based (bentonite) grease is</w:t>
      </w:r>
      <w:r>
        <w:rPr>
          <w:spacing w:val="-3"/>
        </w:rPr>
        <w:t> </w:t>
      </w:r>
      <w:r>
        <w:rPr>
          <w:spacing w:val="-2"/>
        </w:rPr>
        <w:t>suitable for </w:t>
      </w:r>
      <w:r>
        <w:rPr/>
        <w:t>high-temperature operations due to its non-melting nature, and sodium-based grease offers good oxidation resistance, though with limited water resistance. These diverse types of grease underscore the importance of selecting the appropriate formulation to ensure optimal equipment performance under various conditions.</w:t>
      </w:r>
    </w:p>
    <w:p>
      <w:pPr>
        <w:pStyle w:val="BodyText"/>
        <w:ind w:right="49" w:firstLine="566"/>
      </w:pPr>
      <w:r>
        <w:rPr/>
        <w:t>One</w:t>
      </w:r>
      <w:r>
        <w:rPr>
          <w:spacing w:val="-4"/>
        </w:rPr>
        <w:t> </w:t>
      </w:r>
      <w:r>
        <w:rPr/>
        <w:t>of</w:t>
      </w:r>
      <w:r>
        <w:rPr>
          <w:spacing w:val="-6"/>
        </w:rPr>
        <w:t> </w:t>
      </w:r>
      <w:r>
        <w:rPr/>
        <w:t>the</w:t>
      </w:r>
      <w:r>
        <w:rPr>
          <w:spacing w:val="-6"/>
        </w:rPr>
        <w:t> </w:t>
      </w:r>
      <w:r>
        <w:rPr/>
        <w:t>most</w:t>
      </w:r>
      <w:r>
        <w:rPr>
          <w:spacing w:val="-5"/>
        </w:rPr>
        <w:t> </w:t>
      </w:r>
      <w:r>
        <w:rPr/>
        <w:t>popular</w:t>
      </w:r>
      <w:r>
        <w:rPr>
          <w:spacing w:val="-4"/>
        </w:rPr>
        <w:t> </w:t>
      </w:r>
      <w:r>
        <w:rPr/>
        <w:t>types</w:t>
      </w:r>
      <w:r>
        <w:rPr>
          <w:spacing w:val="-5"/>
        </w:rPr>
        <w:t> </w:t>
      </w:r>
      <w:r>
        <w:rPr/>
        <w:t>of</w:t>
      </w:r>
      <w:r>
        <w:rPr>
          <w:spacing w:val="-6"/>
        </w:rPr>
        <w:t> </w:t>
      </w:r>
      <w:r>
        <w:rPr/>
        <w:t>grease</w:t>
      </w:r>
      <w:r>
        <w:rPr>
          <w:spacing w:val="-4"/>
        </w:rPr>
        <w:t> </w:t>
      </w:r>
      <w:r>
        <w:rPr/>
        <w:t>is</w:t>
      </w:r>
      <w:r>
        <w:rPr>
          <w:spacing w:val="-5"/>
        </w:rPr>
        <w:t> </w:t>
      </w:r>
      <w:r>
        <w:rPr/>
        <w:t>lithium complex grease, classified as National Lubricating Grease Institute (NLGI) 2, which is commonly used for vehicle wheel bearings (Japar et al., 2018). The classification</w:t>
      </w:r>
      <w:r>
        <w:rPr>
          <w:spacing w:val="3"/>
        </w:rPr>
        <w:t> </w:t>
      </w:r>
      <w:r>
        <w:rPr/>
        <w:t>of</w:t>
      </w:r>
      <w:r>
        <w:rPr>
          <w:spacing w:val="3"/>
        </w:rPr>
        <w:t> </w:t>
      </w:r>
      <w:r>
        <w:rPr/>
        <w:t>this</w:t>
      </w:r>
      <w:r>
        <w:rPr>
          <w:spacing w:val="2"/>
        </w:rPr>
        <w:t> </w:t>
      </w:r>
      <w:r>
        <w:rPr/>
        <w:t>grease</w:t>
      </w:r>
      <w:r>
        <w:rPr>
          <w:spacing w:val="3"/>
        </w:rPr>
        <w:t> </w:t>
      </w:r>
      <w:r>
        <w:rPr/>
        <w:t>is based</w:t>
      </w:r>
      <w:r>
        <w:rPr>
          <w:spacing w:val="4"/>
        </w:rPr>
        <w:t> </w:t>
      </w:r>
      <w:r>
        <w:rPr/>
        <w:t>on</w:t>
      </w:r>
      <w:r>
        <w:rPr>
          <w:spacing w:val="2"/>
        </w:rPr>
        <w:t> </w:t>
      </w:r>
      <w:r>
        <w:rPr/>
        <w:t>its</w:t>
      </w:r>
      <w:r>
        <w:rPr>
          <w:spacing w:val="2"/>
        </w:rPr>
        <w:t> </w:t>
      </w:r>
      <w:r>
        <w:rPr/>
        <w:t>stiffness</w:t>
      </w:r>
      <w:r>
        <w:rPr>
          <w:spacing w:val="2"/>
        </w:rPr>
        <w:t> </w:t>
      </w:r>
      <w:r>
        <w:rPr>
          <w:spacing w:val="-4"/>
        </w:rPr>
        <w:t>level</w:t>
      </w:r>
    </w:p>
    <w:p>
      <w:pPr>
        <w:pStyle w:val="BodyText"/>
        <w:spacing w:after="0"/>
        <w:sectPr>
          <w:type w:val="continuous"/>
          <w:pgSz w:w="12240" w:h="15840"/>
          <w:pgMar w:header="0" w:footer="994" w:top="640" w:bottom="1180" w:left="1080" w:right="1080"/>
          <w:cols w:num="2" w:equalWidth="0">
            <w:col w:w="4942" w:space="183"/>
            <w:col w:w="4955"/>
          </w:cols>
        </w:sectPr>
      </w:pPr>
    </w:p>
    <w:p>
      <w:pPr>
        <w:pStyle w:val="BodyText"/>
        <w:spacing w:before="219"/>
        <w:ind w:left="0"/>
        <w:jc w:val="left"/>
      </w:pPr>
    </w:p>
    <w:p>
      <w:pPr>
        <w:pStyle w:val="BodyText"/>
        <w:spacing w:after="0"/>
        <w:jc w:val="left"/>
        <w:sectPr>
          <w:headerReference w:type="default" r:id="rId9"/>
          <w:footerReference w:type="default" r:id="rId10"/>
          <w:pgSz w:w="12240" w:h="15840"/>
          <w:pgMar w:header="851" w:footer="1027" w:top="1160" w:bottom="1220" w:left="1080" w:right="1080"/>
          <w:pgNumType w:start="219"/>
        </w:sectPr>
      </w:pPr>
    </w:p>
    <w:p>
      <w:pPr>
        <w:pStyle w:val="BodyText"/>
        <w:spacing w:before="91"/>
        <w:ind w:right="39"/>
      </w:pPr>
      <w:r>
        <w:rPr/>
        <w:t>according to NLGI standards, where NLGI 2 grease maintains a balance between softness and hardness, making it suitable for various operating conditions. Its primary components include mineral oil as the base oil and lithium complex as the thickener, which provides thermal stability and high mechanical load resistance.</w:t>
      </w:r>
    </w:p>
    <w:p>
      <w:pPr>
        <w:pStyle w:val="BodyText"/>
        <w:ind w:right="38" w:firstLine="566"/>
      </w:pPr>
      <w:r>
        <w:rPr/>
        <w:t>Although</w:t>
      </w:r>
      <w:r>
        <w:rPr>
          <w:spacing w:val="-10"/>
        </w:rPr>
        <w:t> </w:t>
      </w:r>
      <w:r>
        <w:rPr/>
        <w:t>lithium</w:t>
      </w:r>
      <w:r>
        <w:rPr>
          <w:spacing w:val="-10"/>
        </w:rPr>
        <w:t> </w:t>
      </w:r>
      <w:r>
        <w:rPr/>
        <w:t>complex</w:t>
      </w:r>
      <w:r>
        <w:rPr>
          <w:spacing w:val="-10"/>
        </w:rPr>
        <w:t> </w:t>
      </w:r>
      <w:r>
        <w:rPr/>
        <w:t>grease</w:t>
      </w:r>
      <w:r>
        <w:rPr>
          <w:spacing w:val="-11"/>
        </w:rPr>
        <w:t> </w:t>
      </w:r>
      <w:r>
        <w:rPr/>
        <w:t>has</w:t>
      </w:r>
      <w:r>
        <w:rPr>
          <w:spacing w:val="-11"/>
        </w:rPr>
        <w:t> </w:t>
      </w:r>
      <w:r>
        <w:rPr/>
        <w:t>been</w:t>
      </w:r>
      <w:r>
        <w:rPr>
          <w:spacing w:val="-10"/>
        </w:rPr>
        <w:t> </w:t>
      </w:r>
      <w:r>
        <w:rPr/>
        <w:t>widely used,</w:t>
      </w:r>
      <w:r>
        <w:rPr>
          <w:spacing w:val="-1"/>
        </w:rPr>
        <w:t> </w:t>
      </w:r>
      <w:r>
        <w:rPr/>
        <w:t>its</w:t>
      </w:r>
      <w:r>
        <w:rPr>
          <w:spacing w:val="-3"/>
        </w:rPr>
        <w:t> </w:t>
      </w:r>
      <w:r>
        <w:rPr/>
        <w:t>production</w:t>
      </w:r>
      <w:r>
        <w:rPr>
          <w:spacing w:val="-3"/>
        </w:rPr>
        <w:t> </w:t>
      </w:r>
      <w:r>
        <w:rPr/>
        <w:t>faces</w:t>
      </w:r>
      <w:r>
        <w:rPr>
          <w:spacing w:val="-2"/>
        </w:rPr>
        <w:t> </w:t>
      </w:r>
      <w:r>
        <w:rPr/>
        <w:t>significant</w:t>
      </w:r>
      <w:r>
        <w:rPr>
          <w:spacing w:val="-2"/>
        </w:rPr>
        <w:t> </w:t>
      </w:r>
      <w:r>
        <w:rPr/>
        <w:t>challenges</w:t>
      </w:r>
      <w:r>
        <w:rPr>
          <w:spacing w:val="-2"/>
        </w:rPr>
        <w:t> </w:t>
      </w:r>
      <w:r>
        <w:rPr/>
        <w:t>(Barriga et al., 2005), particularly regarding lithium availability and cost. Lithium hydroxide (LiOH), the key ingredient in lithium complex thickeners, has become increasingly expensive</w:t>
      </w:r>
      <w:r>
        <w:rPr>
          <w:spacing w:val="-13"/>
        </w:rPr>
        <w:t> </w:t>
      </w:r>
      <w:r>
        <w:rPr/>
        <w:t>and</w:t>
      </w:r>
      <w:r>
        <w:rPr>
          <w:spacing w:val="-12"/>
        </w:rPr>
        <w:t> </w:t>
      </w:r>
      <w:r>
        <w:rPr/>
        <w:t>scarce</w:t>
      </w:r>
      <w:r>
        <w:rPr>
          <w:spacing w:val="-12"/>
        </w:rPr>
        <w:t> </w:t>
      </w:r>
      <w:r>
        <w:rPr/>
        <w:t>due</w:t>
      </w:r>
      <w:r>
        <w:rPr>
          <w:spacing w:val="-12"/>
        </w:rPr>
        <w:t> </w:t>
      </w:r>
      <w:r>
        <w:rPr/>
        <w:t>to</w:t>
      </w:r>
      <w:r>
        <w:rPr>
          <w:spacing w:val="-13"/>
        </w:rPr>
        <w:t> </w:t>
      </w:r>
      <w:r>
        <w:rPr/>
        <w:t>the</w:t>
      </w:r>
      <w:r>
        <w:rPr>
          <w:spacing w:val="-11"/>
        </w:rPr>
        <w:t> </w:t>
      </w:r>
      <w:r>
        <w:rPr/>
        <w:t>rising</w:t>
      </w:r>
      <w:r>
        <w:rPr>
          <w:spacing w:val="-13"/>
        </w:rPr>
        <w:t> </w:t>
      </w:r>
      <w:r>
        <w:rPr/>
        <w:t>demand</w:t>
      </w:r>
      <w:r>
        <w:rPr>
          <w:spacing w:val="-10"/>
        </w:rPr>
        <w:t> </w:t>
      </w:r>
      <w:r>
        <w:rPr/>
        <w:t>for</w:t>
      </w:r>
      <w:r>
        <w:rPr>
          <w:spacing w:val="-13"/>
        </w:rPr>
        <w:t> </w:t>
      </w:r>
      <w:r>
        <w:rPr/>
        <w:t>electric vehicle batteries (Niu &amp; Qu, 2018). This has led to competition for raw materials between the lubricant and battery</w:t>
      </w:r>
      <w:r>
        <w:rPr>
          <w:spacing w:val="-8"/>
        </w:rPr>
        <w:t> </w:t>
      </w:r>
      <w:r>
        <w:rPr/>
        <w:t>industries,</w:t>
      </w:r>
      <w:r>
        <w:rPr>
          <w:spacing w:val="-9"/>
        </w:rPr>
        <w:t> </w:t>
      </w:r>
      <w:r>
        <w:rPr/>
        <w:t>prompting</w:t>
      </w:r>
      <w:r>
        <w:rPr>
          <w:spacing w:val="-10"/>
        </w:rPr>
        <w:t> </w:t>
      </w:r>
      <w:r>
        <w:rPr/>
        <w:t>researchers</w:t>
      </w:r>
      <w:r>
        <w:rPr>
          <w:spacing w:val="-9"/>
        </w:rPr>
        <w:t> </w:t>
      </w:r>
      <w:r>
        <w:rPr/>
        <w:t>to</w:t>
      </w:r>
      <w:r>
        <w:rPr>
          <w:spacing w:val="-9"/>
        </w:rPr>
        <w:t> </w:t>
      </w:r>
      <w:r>
        <w:rPr/>
        <w:t>explore</w:t>
      </w:r>
      <w:r>
        <w:rPr>
          <w:spacing w:val="-10"/>
        </w:rPr>
        <w:t> </w:t>
      </w:r>
      <w:r>
        <w:rPr/>
        <w:t>more economical</w:t>
      </w:r>
      <w:r>
        <w:rPr>
          <w:spacing w:val="-9"/>
        </w:rPr>
        <w:t> </w:t>
      </w:r>
      <w:r>
        <w:rPr/>
        <w:t>and</w:t>
      </w:r>
      <w:r>
        <w:rPr>
          <w:spacing w:val="-9"/>
        </w:rPr>
        <w:t> </w:t>
      </w:r>
      <w:r>
        <w:rPr/>
        <w:t>sustainable</w:t>
      </w:r>
      <w:r>
        <w:rPr>
          <w:spacing w:val="-10"/>
        </w:rPr>
        <w:t> </w:t>
      </w:r>
      <w:r>
        <w:rPr/>
        <w:t>grease</w:t>
      </w:r>
      <w:r>
        <w:rPr>
          <w:spacing w:val="-10"/>
        </w:rPr>
        <w:t> </w:t>
      </w:r>
      <w:r>
        <w:rPr/>
        <w:t>thickener</w:t>
      </w:r>
      <w:r>
        <w:rPr>
          <w:spacing w:val="-9"/>
        </w:rPr>
        <w:t> </w:t>
      </w:r>
      <w:r>
        <w:rPr/>
        <w:t>alternatives. One promising alternative is calcium complex-based thickeners, produced through the saponification reaction between calcium hydroxide (Ca(OH)₂) and various fatty acids, such as 12-hydroxystearic acid (12-HSA) and acetic</w:t>
      </w:r>
      <w:r>
        <w:rPr>
          <w:spacing w:val="-12"/>
        </w:rPr>
        <w:t> </w:t>
      </w:r>
      <w:r>
        <w:rPr/>
        <w:t>acid</w:t>
      </w:r>
      <w:r>
        <w:rPr>
          <w:spacing w:val="-11"/>
        </w:rPr>
        <w:t> </w:t>
      </w:r>
      <w:r>
        <w:rPr/>
        <w:t>(Wagiman</w:t>
      </w:r>
      <w:r>
        <w:rPr>
          <w:spacing w:val="-11"/>
        </w:rPr>
        <w:t> </w:t>
      </w:r>
      <w:r>
        <w:rPr/>
        <w:t>et</w:t>
      </w:r>
      <w:r>
        <w:rPr>
          <w:spacing w:val="-12"/>
        </w:rPr>
        <w:t> </w:t>
      </w:r>
      <w:r>
        <w:rPr/>
        <w:t>al.,</w:t>
      </w:r>
      <w:r>
        <w:rPr>
          <w:spacing w:val="-12"/>
        </w:rPr>
        <w:t> </w:t>
      </w:r>
      <w:r>
        <w:rPr/>
        <w:t>2011).</w:t>
      </w:r>
      <w:r>
        <w:rPr>
          <w:spacing w:val="-12"/>
        </w:rPr>
        <w:t> </w:t>
      </w:r>
      <w:r>
        <w:rPr/>
        <w:t>Calcium-based</w:t>
      </w:r>
      <w:r>
        <w:rPr>
          <w:spacing w:val="-11"/>
        </w:rPr>
        <w:t> </w:t>
      </w:r>
      <w:r>
        <w:rPr/>
        <w:t>grease offers several advantages over lithium complex grease, including</w:t>
      </w:r>
      <w:r>
        <w:rPr>
          <w:spacing w:val="-13"/>
        </w:rPr>
        <w:t> </w:t>
      </w:r>
      <w:r>
        <w:rPr/>
        <w:t>better</w:t>
      </w:r>
      <w:r>
        <w:rPr>
          <w:spacing w:val="-12"/>
        </w:rPr>
        <w:t> </w:t>
      </w:r>
      <w:r>
        <w:rPr/>
        <w:t>water</w:t>
      </w:r>
      <w:r>
        <w:rPr>
          <w:spacing w:val="-13"/>
        </w:rPr>
        <w:t> </w:t>
      </w:r>
      <w:r>
        <w:rPr/>
        <w:t>resistance,</w:t>
      </w:r>
      <w:r>
        <w:rPr>
          <w:spacing w:val="-12"/>
        </w:rPr>
        <w:t> </w:t>
      </w:r>
      <w:r>
        <w:rPr/>
        <w:t>higher</w:t>
      </w:r>
      <w:r>
        <w:rPr>
          <w:spacing w:val="-13"/>
        </w:rPr>
        <w:t> </w:t>
      </w:r>
      <w:r>
        <w:rPr/>
        <w:t>biodegradability, and lower raw material costs (Sukirno et al., 2010). Therefore, substituting lithium thickeners with calcium complex thickeners presents a promising solution to reduce lithium dependence and create more environmentally friendly products.</w:t>
      </w:r>
    </w:p>
    <w:p>
      <w:pPr>
        <w:pStyle w:val="BodyText"/>
        <w:spacing w:before="1"/>
        <w:ind w:right="38" w:firstLine="566"/>
      </w:pPr>
      <w:r>
        <w:rPr/>
        <w:t>The use of calcium-based grease has been explored in several previous studies, including the development of complex calcium bio grease and over based calcium sulfonate bio grease. Zahir (2012) developed complex calcium bio grease using Ca(OH)₂, stearic acid, epoxidized oleic acid, and acetic acid as complexing agents, with epoxidized refined bleached deodorized palm</w:t>
      </w:r>
      <w:r>
        <w:rPr>
          <w:spacing w:val="-1"/>
        </w:rPr>
        <w:t> </w:t>
      </w:r>
      <w:r>
        <w:rPr/>
        <w:t>oil (RBDPO) as the base oil. The study found</w:t>
      </w:r>
      <w:r>
        <w:rPr>
          <w:spacing w:val="-5"/>
        </w:rPr>
        <w:t> </w:t>
      </w:r>
      <w:r>
        <w:rPr/>
        <w:t>that</w:t>
      </w:r>
      <w:r>
        <w:rPr>
          <w:spacing w:val="-6"/>
        </w:rPr>
        <w:t> </w:t>
      </w:r>
      <w:r>
        <w:rPr/>
        <w:t>the</w:t>
      </w:r>
      <w:r>
        <w:rPr>
          <w:spacing w:val="-8"/>
        </w:rPr>
        <w:t> </w:t>
      </w:r>
      <w:r>
        <w:rPr/>
        <w:t>resulting</w:t>
      </w:r>
      <w:r>
        <w:rPr>
          <w:spacing w:val="-8"/>
        </w:rPr>
        <w:t> </w:t>
      </w:r>
      <w:r>
        <w:rPr/>
        <w:t>grease</w:t>
      </w:r>
      <w:r>
        <w:rPr>
          <w:spacing w:val="-8"/>
        </w:rPr>
        <w:t> </w:t>
      </w:r>
      <w:r>
        <w:rPr/>
        <w:t>had</w:t>
      </w:r>
      <w:r>
        <w:rPr>
          <w:spacing w:val="-5"/>
        </w:rPr>
        <w:t> </w:t>
      </w:r>
      <w:r>
        <w:rPr/>
        <w:t>a</w:t>
      </w:r>
      <w:r>
        <w:rPr>
          <w:spacing w:val="-8"/>
        </w:rPr>
        <w:t> </w:t>
      </w:r>
      <w:r>
        <w:rPr/>
        <w:t>high</w:t>
      </w:r>
      <w:r>
        <w:rPr>
          <w:spacing w:val="-8"/>
        </w:rPr>
        <w:t> </w:t>
      </w:r>
      <w:r>
        <w:rPr/>
        <w:t>dropping</w:t>
      </w:r>
      <w:r>
        <w:rPr>
          <w:spacing w:val="-8"/>
        </w:rPr>
        <w:t> </w:t>
      </w:r>
      <w:r>
        <w:rPr/>
        <w:t>point, making it suitable for heavy-duty applications. Dewi (2012) also studied over based calcium sulfonate bio grease,</w:t>
      </w:r>
      <w:r>
        <w:rPr>
          <w:spacing w:val="-13"/>
        </w:rPr>
        <w:t> </w:t>
      </w:r>
      <w:r>
        <w:rPr/>
        <w:t>formulated</w:t>
      </w:r>
      <w:r>
        <w:rPr>
          <w:spacing w:val="-12"/>
        </w:rPr>
        <w:t> </w:t>
      </w:r>
      <w:r>
        <w:rPr/>
        <w:t>using</w:t>
      </w:r>
      <w:r>
        <w:rPr>
          <w:spacing w:val="-13"/>
        </w:rPr>
        <w:t> </w:t>
      </w:r>
      <w:r>
        <w:rPr/>
        <w:t>Ca(OH)₂,</w:t>
      </w:r>
      <w:r>
        <w:rPr>
          <w:spacing w:val="-12"/>
        </w:rPr>
        <w:t> </w:t>
      </w:r>
      <w:r>
        <w:rPr/>
        <w:t>LABSA</w:t>
      </w:r>
      <w:r>
        <w:rPr>
          <w:spacing w:val="-13"/>
        </w:rPr>
        <w:t> </w:t>
      </w:r>
      <w:r>
        <w:rPr/>
        <w:t>(Linear</w:t>
      </w:r>
      <w:r>
        <w:rPr>
          <w:spacing w:val="-12"/>
        </w:rPr>
        <w:t> </w:t>
      </w:r>
      <w:r>
        <w:rPr/>
        <w:t>Alkyl Benzene Sulfonic Acid), and CaCO₃. This grease exhibited better anti-wear properties than complex calcium</w:t>
      </w:r>
      <w:r>
        <w:rPr>
          <w:spacing w:val="-2"/>
        </w:rPr>
        <w:t> </w:t>
      </w:r>
      <w:r>
        <w:rPr/>
        <w:t>oleate</w:t>
      </w:r>
      <w:r>
        <w:rPr>
          <w:spacing w:val="-2"/>
        </w:rPr>
        <w:t> </w:t>
      </w:r>
      <w:r>
        <w:rPr/>
        <w:t>grease</w:t>
      </w:r>
      <w:r>
        <w:rPr>
          <w:spacing w:val="-2"/>
        </w:rPr>
        <w:t> </w:t>
      </w:r>
      <w:r>
        <w:rPr/>
        <w:t>due</w:t>
      </w:r>
      <w:r>
        <w:rPr>
          <w:spacing w:val="-5"/>
        </w:rPr>
        <w:t> </w:t>
      </w:r>
      <w:r>
        <w:rPr/>
        <w:t>to</w:t>
      </w:r>
      <w:r>
        <w:rPr>
          <w:spacing w:val="-2"/>
        </w:rPr>
        <w:t> </w:t>
      </w:r>
      <w:r>
        <w:rPr/>
        <w:t>its</w:t>
      </w:r>
      <w:r>
        <w:rPr>
          <w:spacing w:val="-4"/>
        </w:rPr>
        <w:t> </w:t>
      </w:r>
      <w:r>
        <w:rPr/>
        <w:t>micellar</w:t>
      </w:r>
      <w:r>
        <w:rPr>
          <w:spacing w:val="-2"/>
        </w:rPr>
        <w:t> </w:t>
      </w:r>
      <w:r>
        <w:rPr/>
        <w:t>structure,</w:t>
      </w:r>
      <w:r>
        <w:rPr>
          <w:spacing w:val="-2"/>
        </w:rPr>
        <w:t> </w:t>
      </w:r>
      <w:r>
        <w:rPr/>
        <w:t>which effectively neutralized acidic oxidation by-products (Prasannakumar et al., 2025). Susilowati (2023) later combined</w:t>
      </w:r>
      <w:r>
        <w:rPr>
          <w:spacing w:val="-5"/>
        </w:rPr>
        <w:t> </w:t>
      </w:r>
      <w:r>
        <w:rPr/>
        <w:t>these</w:t>
      </w:r>
      <w:r>
        <w:rPr>
          <w:spacing w:val="-6"/>
        </w:rPr>
        <w:t> </w:t>
      </w:r>
      <w:r>
        <w:rPr/>
        <w:t>two</w:t>
      </w:r>
      <w:r>
        <w:rPr>
          <w:spacing w:val="-5"/>
        </w:rPr>
        <w:t> </w:t>
      </w:r>
      <w:r>
        <w:rPr/>
        <w:t>types</w:t>
      </w:r>
      <w:r>
        <w:rPr>
          <w:spacing w:val="-7"/>
        </w:rPr>
        <w:t> </w:t>
      </w:r>
      <w:r>
        <w:rPr/>
        <w:t>of</w:t>
      </w:r>
      <w:r>
        <w:rPr>
          <w:spacing w:val="-6"/>
        </w:rPr>
        <w:t> </w:t>
      </w:r>
      <w:r>
        <w:rPr/>
        <w:t>thickeners</w:t>
      </w:r>
      <w:r>
        <w:rPr>
          <w:spacing w:val="-7"/>
        </w:rPr>
        <w:t> </w:t>
      </w:r>
      <w:r>
        <w:rPr/>
        <w:t>to</w:t>
      </w:r>
      <w:r>
        <w:rPr>
          <w:spacing w:val="-6"/>
        </w:rPr>
        <w:t> </w:t>
      </w:r>
      <w:r>
        <w:rPr/>
        <w:t>create</w:t>
      </w:r>
      <w:r>
        <w:rPr>
          <w:spacing w:val="-6"/>
        </w:rPr>
        <w:t> </w:t>
      </w:r>
      <w:r>
        <w:rPr/>
        <w:t>calcium sulfo-ole grease, which demonstrated a higher dropping point</w:t>
      </w:r>
      <w:r>
        <w:rPr>
          <w:spacing w:val="-13"/>
        </w:rPr>
        <w:t> </w:t>
      </w:r>
      <w:r>
        <w:rPr/>
        <w:t>and</w:t>
      </w:r>
      <w:r>
        <w:rPr>
          <w:spacing w:val="-12"/>
        </w:rPr>
        <w:t> </w:t>
      </w:r>
      <w:r>
        <w:rPr/>
        <w:t>improved</w:t>
      </w:r>
      <w:r>
        <w:rPr>
          <w:spacing w:val="-13"/>
        </w:rPr>
        <w:t> </w:t>
      </w:r>
      <w:r>
        <w:rPr/>
        <w:t>wear</w:t>
      </w:r>
      <w:r>
        <w:rPr>
          <w:spacing w:val="-12"/>
        </w:rPr>
        <w:t> </w:t>
      </w:r>
      <w:r>
        <w:rPr/>
        <w:t>resistance.</w:t>
      </w:r>
      <w:r>
        <w:rPr>
          <w:spacing w:val="-13"/>
        </w:rPr>
        <w:t> </w:t>
      </w:r>
      <w:r>
        <w:rPr/>
        <w:t>With</w:t>
      </w:r>
      <w:r>
        <w:rPr>
          <w:spacing w:val="-12"/>
        </w:rPr>
        <w:t> </w:t>
      </w:r>
      <w:r>
        <w:rPr/>
        <w:t>its</w:t>
      </w:r>
      <w:r>
        <w:rPr>
          <w:spacing w:val="-13"/>
        </w:rPr>
        <w:t> </w:t>
      </w:r>
      <w:r>
        <w:rPr/>
        <w:t>high</w:t>
      </w:r>
      <w:r>
        <w:rPr>
          <w:spacing w:val="-12"/>
        </w:rPr>
        <w:t> </w:t>
      </w:r>
      <w:r>
        <w:rPr/>
        <w:t>thermal stability and ability to withstand extreme pressure, this grease is well-suited for heavy equipment such as bulldozers,</w:t>
      </w:r>
      <w:r>
        <w:rPr>
          <w:spacing w:val="-1"/>
        </w:rPr>
        <w:t> </w:t>
      </w:r>
      <w:r>
        <w:rPr/>
        <w:t>cranes,</w:t>
      </w:r>
      <w:r>
        <w:rPr>
          <w:spacing w:val="-1"/>
        </w:rPr>
        <w:t> </w:t>
      </w:r>
      <w:r>
        <w:rPr/>
        <w:t>excavators,</w:t>
      </w:r>
      <w:r>
        <w:rPr>
          <w:spacing w:val="-1"/>
        </w:rPr>
        <w:t> </w:t>
      </w:r>
      <w:r>
        <w:rPr/>
        <w:t>tractors,</w:t>
      </w:r>
      <w:r>
        <w:rPr>
          <w:spacing w:val="-1"/>
        </w:rPr>
        <w:t> </w:t>
      </w:r>
      <w:r>
        <w:rPr/>
        <w:t>and</w:t>
      </w:r>
      <w:r>
        <w:rPr>
          <w:spacing w:val="-1"/>
        </w:rPr>
        <w:t> </w:t>
      </w:r>
      <w:r>
        <w:rPr/>
        <w:t>dump</w:t>
      </w:r>
      <w:r>
        <w:rPr>
          <w:spacing w:val="-1"/>
        </w:rPr>
        <w:t> </w:t>
      </w:r>
      <w:r>
        <w:rPr/>
        <w:t>trucks (Castañeiras et al., 2017), which operated in extreme conditions in the construction, mining, and forestry sectors (Siswanto, 2008; Ministry of Industry of the Republic of Indonesia, 2017).</w:t>
      </w:r>
    </w:p>
    <w:p>
      <w:pPr>
        <w:pStyle w:val="BodyText"/>
        <w:spacing w:before="91"/>
        <w:ind w:left="353" w:right="51" w:firstLine="566"/>
      </w:pPr>
      <w:r>
        <w:rPr/>
        <w:br w:type="column"/>
      </w:r>
      <w:r>
        <w:rPr/>
        <w:t>This study will further explore the production of heavy-duty bio grease, which has yet to be available in Indonesia, based on RBDPO estolide with SAE-40 specifications and a thickener combination of Ca(OH)₂ and CaCO₃. The SAE-40 base oil, produced through epoxidation</w:t>
      </w:r>
      <w:r>
        <w:rPr>
          <w:spacing w:val="-10"/>
        </w:rPr>
        <w:t> </w:t>
      </w:r>
      <w:r>
        <w:rPr/>
        <w:t>and</w:t>
      </w:r>
      <w:r>
        <w:rPr>
          <w:spacing w:val="-10"/>
        </w:rPr>
        <w:t> </w:t>
      </w:r>
      <w:r>
        <w:rPr/>
        <w:t>esterification,</w:t>
      </w:r>
      <w:r>
        <w:rPr>
          <w:spacing w:val="-12"/>
        </w:rPr>
        <w:t> </w:t>
      </w:r>
      <w:r>
        <w:rPr/>
        <w:t>has</w:t>
      </w:r>
      <w:r>
        <w:rPr>
          <w:spacing w:val="-11"/>
        </w:rPr>
        <w:t> </w:t>
      </w:r>
      <w:r>
        <w:rPr/>
        <w:t>a</w:t>
      </w:r>
      <w:r>
        <w:rPr>
          <w:spacing w:val="-10"/>
        </w:rPr>
        <w:t> </w:t>
      </w:r>
      <w:r>
        <w:rPr/>
        <w:t>high</w:t>
      </w:r>
      <w:r>
        <w:rPr>
          <w:spacing w:val="-10"/>
        </w:rPr>
        <w:t> </w:t>
      </w:r>
      <w:r>
        <w:rPr/>
        <w:t>viscosity</w:t>
      </w:r>
      <w:r>
        <w:rPr>
          <w:spacing w:val="-10"/>
        </w:rPr>
        <w:t> </w:t>
      </w:r>
      <w:r>
        <w:rPr/>
        <w:t>index, </w:t>
      </w:r>
      <w:r>
        <w:rPr>
          <w:spacing w:val="-2"/>
        </w:rPr>
        <w:t>making it</w:t>
      </w:r>
      <w:r>
        <w:rPr>
          <w:spacing w:val="-3"/>
        </w:rPr>
        <w:t> </w:t>
      </w:r>
      <w:r>
        <w:rPr>
          <w:spacing w:val="-2"/>
        </w:rPr>
        <w:t>suitable</w:t>
      </w:r>
      <w:r>
        <w:rPr>
          <w:spacing w:val="-5"/>
        </w:rPr>
        <w:t> </w:t>
      </w:r>
      <w:r>
        <w:rPr>
          <w:spacing w:val="-2"/>
        </w:rPr>
        <w:t>for</w:t>
      </w:r>
      <w:r>
        <w:rPr>
          <w:spacing w:val="-5"/>
        </w:rPr>
        <w:t> </w:t>
      </w:r>
      <w:r>
        <w:rPr>
          <w:spacing w:val="-2"/>
        </w:rPr>
        <w:t>heavy-duty applications</w:t>
      </w:r>
      <w:r>
        <w:rPr>
          <w:spacing w:val="-4"/>
        </w:rPr>
        <w:t> </w:t>
      </w:r>
      <w:r>
        <w:rPr>
          <w:spacing w:val="-2"/>
        </w:rPr>
        <w:t>that</w:t>
      </w:r>
      <w:r>
        <w:rPr>
          <w:spacing w:val="-3"/>
        </w:rPr>
        <w:t> </w:t>
      </w:r>
      <w:r>
        <w:rPr>
          <w:spacing w:val="-2"/>
        </w:rPr>
        <w:t>require </w:t>
      </w:r>
      <w:r>
        <w:rPr/>
        <w:t>optimal lubrication and extreme pressure resistance (Kurre &amp; Yadav, 2023).</w:t>
      </w:r>
    </w:p>
    <w:p>
      <w:pPr>
        <w:pStyle w:val="BodyText"/>
        <w:ind w:left="353" w:right="50" w:firstLine="566"/>
      </w:pPr>
      <w:r>
        <w:rPr/>
        <w:t>Additionally,</w:t>
      </w:r>
      <w:r>
        <w:rPr>
          <w:spacing w:val="-1"/>
        </w:rPr>
        <w:t> </w:t>
      </w:r>
      <w:r>
        <w:rPr/>
        <w:t>to</w:t>
      </w:r>
      <w:r>
        <w:rPr>
          <w:spacing w:val="-1"/>
        </w:rPr>
        <w:t> </w:t>
      </w:r>
      <w:r>
        <w:rPr/>
        <w:t>enhance</w:t>
      </w:r>
      <w:r>
        <w:rPr>
          <w:spacing w:val="-1"/>
        </w:rPr>
        <w:t> </w:t>
      </w:r>
      <w:r>
        <w:rPr/>
        <w:t>its</w:t>
      </w:r>
      <w:r>
        <w:rPr>
          <w:spacing w:val="-3"/>
        </w:rPr>
        <w:t> </w:t>
      </w:r>
      <w:r>
        <w:rPr/>
        <w:t>performance,</w:t>
      </w:r>
      <w:r>
        <w:rPr>
          <w:spacing w:val="-1"/>
        </w:rPr>
        <w:t> </w:t>
      </w:r>
      <w:r>
        <w:rPr/>
        <w:t>this</w:t>
      </w:r>
      <w:r>
        <w:rPr>
          <w:spacing w:val="-2"/>
        </w:rPr>
        <w:t> </w:t>
      </w:r>
      <w:r>
        <w:rPr/>
        <w:t>bio grease will be formulated with additives that provide surface</w:t>
      </w:r>
      <w:r>
        <w:rPr>
          <w:spacing w:val="-13"/>
        </w:rPr>
        <w:t> </w:t>
      </w:r>
      <w:r>
        <w:rPr/>
        <w:t>protection</w:t>
      </w:r>
      <w:r>
        <w:rPr>
          <w:spacing w:val="-12"/>
        </w:rPr>
        <w:t> </w:t>
      </w:r>
      <w:r>
        <w:rPr/>
        <w:t>against</w:t>
      </w:r>
      <w:r>
        <w:rPr>
          <w:spacing w:val="-13"/>
        </w:rPr>
        <w:t> </w:t>
      </w:r>
      <w:r>
        <w:rPr/>
        <w:t>wear</w:t>
      </w:r>
      <w:r>
        <w:rPr>
          <w:spacing w:val="-12"/>
        </w:rPr>
        <w:t> </w:t>
      </w:r>
      <w:r>
        <w:rPr/>
        <w:t>and</w:t>
      </w:r>
      <w:r>
        <w:rPr>
          <w:spacing w:val="-13"/>
        </w:rPr>
        <w:t> </w:t>
      </w:r>
      <w:r>
        <w:rPr/>
        <w:t>improve</w:t>
      </w:r>
      <w:r>
        <w:rPr>
          <w:spacing w:val="-12"/>
        </w:rPr>
        <w:t> </w:t>
      </w:r>
      <w:r>
        <w:rPr/>
        <w:t>load-bearing capacity (Abouelkasem et al., 2024). This research develops</w:t>
      </w:r>
      <w:r>
        <w:rPr>
          <w:spacing w:val="-13"/>
        </w:rPr>
        <w:t> </w:t>
      </w:r>
      <w:r>
        <w:rPr/>
        <w:t>high-performance,</w:t>
      </w:r>
      <w:r>
        <w:rPr>
          <w:spacing w:val="-12"/>
        </w:rPr>
        <w:t> </w:t>
      </w:r>
      <w:r>
        <w:rPr/>
        <w:t>environmentally</w:t>
      </w:r>
      <w:r>
        <w:rPr>
          <w:spacing w:val="-13"/>
        </w:rPr>
        <w:t> </w:t>
      </w:r>
      <w:r>
        <w:rPr/>
        <w:t>friendly</w:t>
      </w:r>
      <w:r>
        <w:rPr>
          <w:spacing w:val="-12"/>
        </w:rPr>
        <w:t> </w:t>
      </w:r>
      <w:r>
        <w:rPr/>
        <w:t>bio grease using SAE-40-quality estolide as its primary raw material. Additionally, this study will conduct an economic analysis and evaluate production on a pilot scale with a capacity of 36 tons/year to assess the feasibility</w:t>
      </w:r>
      <w:r>
        <w:rPr>
          <w:spacing w:val="-13"/>
        </w:rPr>
        <w:t> </w:t>
      </w:r>
      <w:r>
        <w:rPr/>
        <w:t>and</w:t>
      </w:r>
      <w:r>
        <w:rPr>
          <w:spacing w:val="-12"/>
        </w:rPr>
        <w:t> </w:t>
      </w:r>
      <w:r>
        <w:rPr/>
        <w:t>commercialization</w:t>
      </w:r>
      <w:r>
        <w:rPr>
          <w:spacing w:val="-13"/>
        </w:rPr>
        <w:t> </w:t>
      </w:r>
      <w:r>
        <w:rPr/>
        <w:t>potential</w:t>
      </w:r>
      <w:r>
        <w:rPr>
          <w:spacing w:val="-12"/>
        </w:rPr>
        <w:t> </w:t>
      </w:r>
      <w:r>
        <w:rPr/>
        <w:t>of</w:t>
      </w:r>
      <w:r>
        <w:rPr>
          <w:spacing w:val="-13"/>
        </w:rPr>
        <w:t> </w:t>
      </w:r>
      <w:r>
        <w:rPr/>
        <w:t>heavy-duty bio grease based on palm oil. The findings are expected to</w:t>
      </w:r>
      <w:r>
        <w:rPr>
          <w:spacing w:val="-1"/>
        </w:rPr>
        <w:t> </w:t>
      </w:r>
      <w:r>
        <w:rPr/>
        <w:t>provide</w:t>
      </w:r>
      <w:r>
        <w:rPr>
          <w:spacing w:val="-1"/>
        </w:rPr>
        <w:t> </w:t>
      </w:r>
      <w:r>
        <w:rPr/>
        <w:t>a</w:t>
      </w:r>
      <w:r>
        <w:rPr>
          <w:spacing w:val="-1"/>
        </w:rPr>
        <w:t> </w:t>
      </w:r>
      <w:r>
        <w:rPr/>
        <w:t>more</w:t>
      </w:r>
      <w:r>
        <w:rPr>
          <w:spacing w:val="-1"/>
        </w:rPr>
        <w:t> </w:t>
      </w:r>
      <w:r>
        <w:rPr/>
        <w:t>economical,</w:t>
      </w:r>
      <w:r>
        <w:rPr>
          <w:spacing w:val="-1"/>
        </w:rPr>
        <w:t> </w:t>
      </w:r>
      <w:r>
        <w:rPr/>
        <w:t>environmentally</w:t>
      </w:r>
      <w:r>
        <w:rPr>
          <w:spacing w:val="-1"/>
        </w:rPr>
        <w:t> </w:t>
      </w:r>
      <w:r>
        <w:rPr/>
        <w:t>friendly, and</w:t>
      </w:r>
      <w:r>
        <w:rPr>
          <w:spacing w:val="-1"/>
        </w:rPr>
        <w:t> </w:t>
      </w:r>
      <w:r>
        <w:rPr/>
        <w:t>high-performance</w:t>
      </w:r>
      <w:r>
        <w:rPr>
          <w:spacing w:val="-1"/>
        </w:rPr>
        <w:t> </w:t>
      </w:r>
      <w:r>
        <w:rPr/>
        <w:t>lubricant</w:t>
      </w:r>
      <w:r>
        <w:rPr>
          <w:spacing w:val="-2"/>
        </w:rPr>
        <w:t> </w:t>
      </w:r>
      <w:r>
        <w:rPr/>
        <w:t>alternative</w:t>
      </w:r>
      <w:r>
        <w:rPr>
          <w:spacing w:val="-1"/>
        </w:rPr>
        <w:t> </w:t>
      </w:r>
      <w:r>
        <w:rPr/>
        <w:t>for</w:t>
      </w:r>
      <w:r>
        <w:rPr>
          <w:spacing w:val="-1"/>
        </w:rPr>
        <w:t> </w:t>
      </w:r>
      <w:r>
        <w:rPr/>
        <w:t>the</w:t>
      </w:r>
      <w:r>
        <w:rPr>
          <w:spacing w:val="-3"/>
        </w:rPr>
        <w:t> </w:t>
      </w:r>
      <w:r>
        <w:rPr/>
        <w:t>heavy equipment industry.</w:t>
      </w:r>
    </w:p>
    <w:p>
      <w:pPr>
        <w:pStyle w:val="Heading1"/>
        <w:numPr>
          <w:ilvl w:val="0"/>
          <w:numId w:val="1"/>
        </w:numPr>
        <w:tabs>
          <w:tab w:pos="554" w:val="left" w:leader="none"/>
        </w:tabs>
        <w:spacing w:line="240" w:lineRule="auto" w:before="229" w:after="0"/>
        <w:ind w:left="554" w:right="0" w:hanging="201"/>
        <w:jc w:val="both"/>
      </w:pPr>
      <w:r>
        <w:rPr/>
        <w:t>Research</w:t>
      </w:r>
      <w:r>
        <w:rPr>
          <w:spacing w:val="-8"/>
        </w:rPr>
        <w:t> </w:t>
      </w:r>
      <w:r>
        <w:rPr>
          <w:spacing w:val="-2"/>
        </w:rPr>
        <w:t>Methods</w:t>
      </w:r>
    </w:p>
    <w:p>
      <w:pPr>
        <w:pStyle w:val="ListParagraph"/>
        <w:numPr>
          <w:ilvl w:val="1"/>
          <w:numId w:val="1"/>
        </w:numPr>
        <w:tabs>
          <w:tab w:pos="743" w:val="left" w:leader="none"/>
        </w:tabs>
        <w:spacing w:line="240" w:lineRule="auto" w:before="0" w:after="0"/>
        <w:ind w:left="353" w:right="50" w:firstLine="0"/>
        <w:jc w:val="both"/>
        <w:rPr>
          <w:b/>
          <w:sz w:val="20"/>
        </w:rPr>
      </w:pPr>
      <w:r>
        <w:rPr>
          <w:b/>
          <w:sz w:val="20"/>
        </w:rPr>
        <w:t>Design and Production Scale of Heavy-duty Bio </w:t>
      </w:r>
      <w:r>
        <w:rPr>
          <w:b/>
          <w:spacing w:val="-2"/>
          <w:sz w:val="20"/>
        </w:rPr>
        <w:t>grease</w:t>
      </w:r>
    </w:p>
    <w:p>
      <w:pPr>
        <w:pStyle w:val="BodyText"/>
        <w:spacing w:before="1"/>
        <w:ind w:left="353" w:right="48" w:firstLine="566"/>
      </w:pPr>
      <w:r>
        <w:rPr/>
        <w:t>This study is a pilot-scale continuation of the research</w:t>
      </w:r>
      <w:r>
        <w:rPr>
          <w:spacing w:val="-13"/>
        </w:rPr>
        <w:t> </w:t>
      </w:r>
      <w:r>
        <w:rPr/>
        <w:t>conducted</w:t>
      </w:r>
      <w:r>
        <w:rPr>
          <w:spacing w:val="-12"/>
        </w:rPr>
        <w:t> </w:t>
      </w:r>
      <w:r>
        <w:rPr/>
        <w:t>by</w:t>
      </w:r>
      <w:r>
        <w:rPr>
          <w:spacing w:val="-13"/>
        </w:rPr>
        <w:t> </w:t>
      </w:r>
      <w:r>
        <w:rPr/>
        <w:t>Susilowati</w:t>
      </w:r>
      <w:r>
        <w:rPr>
          <w:spacing w:val="-12"/>
        </w:rPr>
        <w:t> </w:t>
      </w:r>
      <w:r>
        <w:rPr/>
        <w:t>(2023)</w:t>
      </w:r>
      <w:r>
        <w:rPr>
          <w:spacing w:val="-13"/>
        </w:rPr>
        <w:t> </w:t>
      </w:r>
      <w:r>
        <w:rPr/>
        <w:t>at</w:t>
      </w:r>
      <w:r>
        <w:rPr>
          <w:spacing w:val="-12"/>
        </w:rPr>
        <w:t> </w:t>
      </w:r>
      <w:r>
        <w:rPr/>
        <w:t>the</w:t>
      </w:r>
      <w:r>
        <w:rPr>
          <w:spacing w:val="-13"/>
        </w:rPr>
        <w:t> </w:t>
      </w:r>
      <w:r>
        <w:rPr/>
        <w:t>laboratory scale. The difference between the pilot scale and the laboratory scale lies in production capacity, while the process</w:t>
      </w:r>
      <w:r>
        <w:rPr>
          <w:spacing w:val="-8"/>
        </w:rPr>
        <w:t> </w:t>
      </w:r>
      <w:r>
        <w:rPr/>
        <w:t>flow</w:t>
      </w:r>
      <w:r>
        <w:rPr>
          <w:spacing w:val="-7"/>
        </w:rPr>
        <w:t> </w:t>
      </w:r>
      <w:r>
        <w:rPr/>
        <w:t>remains</w:t>
      </w:r>
      <w:r>
        <w:rPr>
          <w:spacing w:val="-8"/>
        </w:rPr>
        <w:t> </w:t>
      </w:r>
      <w:r>
        <w:rPr/>
        <w:t>the</w:t>
      </w:r>
      <w:r>
        <w:rPr>
          <w:spacing w:val="-7"/>
        </w:rPr>
        <w:t> </w:t>
      </w:r>
      <w:r>
        <w:rPr/>
        <w:t>same.</w:t>
      </w:r>
      <w:r>
        <w:rPr>
          <w:spacing w:val="-7"/>
        </w:rPr>
        <w:t> </w:t>
      </w:r>
      <w:r>
        <w:rPr/>
        <w:t>The</w:t>
      </w:r>
      <w:r>
        <w:rPr>
          <w:spacing w:val="-7"/>
        </w:rPr>
        <w:t> </w:t>
      </w:r>
      <w:r>
        <w:rPr/>
        <w:t>developed</w:t>
      </w:r>
      <w:r>
        <w:rPr>
          <w:spacing w:val="-8"/>
        </w:rPr>
        <w:t> </w:t>
      </w:r>
      <w:r>
        <w:rPr/>
        <w:t>product</w:t>
      </w:r>
      <w:r>
        <w:rPr>
          <w:spacing w:val="-7"/>
        </w:rPr>
        <w:t> </w:t>
      </w:r>
      <w:r>
        <w:rPr/>
        <w:t>is heavy-duty</w:t>
      </w:r>
      <w:r>
        <w:rPr>
          <w:spacing w:val="-13"/>
        </w:rPr>
        <w:t> </w:t>
      </w:r>
      <w:r>
        <w:rPr/>
        <w:t>Bio</w:t>
      </w:r>
      <w:r>
        <w:rPr>
          <w:spacing w:val="-12"/>
        </w:rPr>
        <w:t> </w:t>
      </w:r>
      <w:r>
        <w:rPr/>
        <w:t>grease</w:t>
      </w:r>
      <w:r>
        <w:rPr>
          <w:spacing w:val="-13"/>
        </w:rPr>
        <w:t> </w:t>
      </w:r>
      <w:r>
        <w:rPr/>
        <w:t>Calcium</w:t>
      </w:r>
      <w:r>
        <w:rPr>
          <w:spacing w:val="-12"/>
        </w:rPr>
        <w:t> </w:t>
      </w:r>
      <w:r>
        <w:rPr/>
        <w:t>Sulfo-Ole,</w:t>
      </w:r>
      <w:r>
        <w:rPr>
          <w:spacing w:val="-13"/>
        </w:rPr>
        <w:t> </w:t>
      </w:r>
      <w:r>
        <w:rPr/>
        <w:t>based</w:t>
      </w:r>
      <w:r>
        <w:rPr>
          <w:spacing w:val="-12"/>
        </w:rPr>
        <w:t> </w:t>
      </w:r>
      <w:r>
        <w:rPr/>
        <w:t>on</w:t>
      </w:r>
      <w:r>
        <w:rPr>
          <w:spacing w:val="-13"/>
        </w:rPr>
        <w:t> </w:t>
      </w:r>
      <w:r>
        <w:rPr/>
        <w:t>palm oil</w:t>
      </w:r>
      <w:r>
        <w:rPr>
          <w:spacing w:val="-13"/>
        </w:rPr>
        <w:t> </w:t>
      </w:r>
      <w:r>
        <w:rPr/>
        <w:t>estolide,</w:t>
      </w:r>
      <w:r>
        <w:rPr>
          <w:spacing w:val="-12"/>
        </w:rPr>
        <w:t> </w:t>
      </w:r>
      <w:r>
        <w:rPr/>
        <w:t>with</w:t>
      </w:r>
      <w:r>
        <w:rPr>
          <w:spacing w:val="-13"/>
        </w:rPr>
        <w:t> </w:t>
      </w:r>
      <w:r>
        <w:rPr/>
        <w:t>Estolide</w:t>
      </w:r>
      <w:r>
        <w:rPr>
          <w:spacing w:val="-12"/>
        </w:rPr>
        <w:t> </w:t>
      </w:r>
      <w:r>
        <w:rPr/>
        <w:t>Base</w:t>
      </w:r>
      <w:r>
        <w:rPr>
          <w:spacing w:val="-13"/>
        </w:rPr>
        <w:t> </w:t>
      </w:r>
      <w:r>
        <w:rPr/>
        <w:t>Oil</w:t>
      </w:r>
      <w:r>
        <w:rPr>
          <w:spacing w:val="-12"/>
        </w:rPr>
        <w:t> </w:t>
      </w:r>
      <w:r>
        <w:rPr/>
        <w:t>SAE</w:t>
      </w:r>
      <w:r>
        <w:rPr>
          <w:spacing w:val="-13"/>
        </w:rPr>
        <w:t> </w:t>
      </w:r>
      <w:r>
        <w:rPr/>
        <w:t>40</w:t>
      </w:r>
      <w:r>
        <w:rPr>
          <w:spacing w:val="-12"/>
        </w:rPr>
        <w:t> </w:t>
      </w:r>
      <w:r>
        <w:rPr/>
        <w:t>as</w:t>
      </w:r>
      <w:r>
        <w:rPr>
          <w:spacing w:val="-13"/>
        </w:rPr>
        <w:t> </w:t>
      </w:r>
      <w:r>
        <w:rPr/>
        <w:t>the</w:t>
      </w:r>
      <w:r>
        <w:rPr>
          <w:spacing w:val="-12"/>
        </w:rPr>
        <w:t> </w:t>
      </w:r>
      <w:r>
        <w:rPr/>
        <w:t>primary raw material for grease production. The manufacturing process consists of several key stages, including raw material preparation, epoxidation reaction, esterification reaction,</w:t>
      </w:r>
      <w:r>
        <w:rPr>
          <w:spacing w:val="-8"/>
        </w:rPr>
        <w:t> </w:t>
      </w:r>
      <w:r>
        <w:rPr/>
        <w:t>saponification,</w:t>
      </w:r>
      <w:r>
        <w:rPr>
          <w:spacing w:val="-8"/>
        </w:rPr>
        <w:t> </w:t>
      </w:r>
      <w:r>
        <w:rPr/>
        <w:t>and</w:t>
      </w:r>
      <w:r>
        <w:rPr>
          <w:spacing w:val="-7"/>
        </w:rPr>
        <w:t> </w:t>
      </w:r>
      <w:r>
        <w:rPr/>
        <w:t>the</w:t>
      </w:r>
      <w:r>
        <w:rPr>
          <w:spacing w:val="-8"/>
        </w:rPr>
        <w:t> </w:t>
      </w:r>
      <w:r>
        <w:rPr/>
        <w:t>product</w:t>
      </w:r>
      <w:r>
        <w:rPr>
          <w:spacing w:val="-8"/>
        </w:rPr>
        <w:t> </w:t>
      </w:r>
      <w:r>
        <w:rPr/>
        <w:t>collection</w:t>
      </w:r>
      <w:r>
        <w:rPr>
          <w:spacing w:val="-7"/>
        </w:rPr>
        <w:t> </w:t>
      </w:r>
      <w:r>
        <w:rPr/>
        <w:t>stage, as outlined in Table 1.</w:t>
      </w:r>
    </w:p>
    <w:p>
      <w:pPr>
        <w:pStyle w:val="BodyText"/>
        <w:spacing w:before="1"/>
        <w:ind w:left="0"/>
        <w:jc w:val="left"/>
      </w:pPr>
    </w:p>
    <w:p>
      <w:pPr>
        <w:pStyle w:val="BodyText"/>
        <w:tabs>
          <w:tab w:pos="4916" w:val="left" w:leader="none"/>
        </w:tabs>
        <w:ind w:left="353"/>
        <w:jc w:val="left"/>
      </w:pPr>
      <w:r>
        <w:rPr>
          <w:b/>
          <w:u w:val="single"/>
        </w:rPr>
        <w:t>Table</w:t>
      </w:r>
      <w:r>
        <w:rPr>
          <w:b/>
          <w:spacing w:val="-3"/>
          <w:u w:val="single"/>
        </w:rPr>
        <w:t> </w:t>
      </w:r>
      <w:r>
        <w:rPr>
          <w:b/>
          <w:u w:val="single"/>
        </w:rPr>
        <w:t>1</w:t>
      </w:r>
      <w:r>
        <w:rPr>
          <w:u w:val="single"/>
        </w:rPr>
        <w:t>.</w:t>
      </w:r>
      <w:r>
        <w:rPr>
          <w:spacing w:val="-2"/>
          <w:u w:val="single"/>
        </w:rPr>
        <w:t> </w:t>
      </w:r>
      <w:r>
        <w:rPr>
          <w:u w:val="single"/>
        </w:rPr>
        <w:t>Gantt</w:t>
      </w:r>
      <w:r>
        <w:rPr>
          <w:spacing w:val="-4"/>
          <w:u w:val="single"/>
        </w:rPr>
        <w:t> </w:t>
      </w:r>
      <w:r>
        <w:rPr>
          <w:u w:val="single"/>
        </w:rPr>
        <w:t>Chart</w:t>
      </w:r>
      <w:r>
        <w:rPr>
          <w:spacing w:val="-3"/>
          <w:u w:val="single"/>
        </w:rPr>
        <w:t> </w:t>
      </w:r>
      <w:r>
        <w:rPr>
          <w:u w:val="single"/>
        </w:rPr>
        <w:t>of</w:t>
      </w:r>
      <w:r>
        <w:rPr>
          <w:spacing w:val="-3"/>
          <w:u w:val="single"/>
        </w:rPr>
        <w:t> </w:t>
      </w:r>
      <w:r>
        <w:rPr>
          <w:u w:val="single"/>
        </w:rPr>
        <w:t>Tasks</w:t>
      </w:r>
      <w:r>
        <w:rPr>
          <w:spacing w:val="-4"/>
          <w:u w:val="single"/>
        </w:rPr>
        <w:t> </w:t>
      </w:r>
      <w:r>
        <w:rPr>
          <w:u w:val="single"/>
        </w:rPr>
        <w:t>in</w:t>
      </w:r>
      <w:r>
        <w:rPr>
          <w:spacing w:val="-1"/>
          <w:u w:val="single"/>
        </w:rPr>
        <w:t> </w:t>
      </w:r>
      <w:r>
        <w:rPr>
          <w:u w:val="single"/>
        </w:rPr>
        <w:t>a</w:t>
      </w:r>
      <w:r>
        <w:rPr>
          <w:spacing w:val="-3"/>
          <w:u w:val="single"/>
        </w:rPr>
        <w:t> </w:t>
      </w:r>
      <w:r>
        <w:rPr>
          <w:u w:val="single"/>
        </w:rPr>
        <w:t>Single</w:t>
      </w:r>
      <w:r>
        <w:rPr>
          <w:spacing w:val="-3"/>
          <w:u w:val="single"/>
        </w:rPr>
        <w:t> </w:t>
      </w:r>
      <w:r>
        <w:rPr>
          <w:spacing w:val="-2"/>
          <w:u w:val="single"/>
        </w:rPr>
        <w:t>Batch</w:t>
      </w:r>
      <w:r>
        <w:rPr>
          <w:u w:val="single"/>
        </w:rPr>
        <w:tab/>
      </w:r>
    </w:p>
    <w:p>
      <w:pPr>
        <w:tabs>
          <w:tab w:pos="1517" w:val="left" w:leader="none"/>
          <w:tab w:pos="4071" w:val="left" w:leader="none"/>
        </w:tabs>
        <w:spacing w:before="10"/>
        <w:ind w:left="353" w:right="0" w:firstLine="0"/>
        <w:jc w:val="left"/>
        <w:rPr>
          <w:b/>
          <w:sz w:val="20"/>
        </w:rPr>
      </w:pPr>
      <w:r>
        <w:rPr>
          <w:b/>
          <w:sz w:val="20"/>
          <w:u w:val="single"/>
        </w:rPr>
        <w:tab/>
        <w:t>Types</w:t>
      </w:r>
      <w:r>
        <w:rPr>
          <w:b/>
          <w:spacing w:val="-5"/>
          <w:sz w:val="20"/>
          <w:u w:val="single"/>
        </w:rPr>
        <w:t> </w:t>
      </w:r>
      <w:r>
        <w:rPr>
          <w:b/>
          <w:sz w:val="20"/>
          <w:u w:val="single"/>
        </w:rPr>
        <w:t>of</w:t>
      </w:r>
      <w:r>
        <w:rPr>
          <w:b/>
          <w:spacing w:val="-4"/>
          <w:sz w:val="20"/>
          <w:u w:val="single"/>
        </w:rPr>
        <w:t> Work</w:t>
      </w:r>
      <w:r>
        <w:rPr>
          <w:b/>
          <w:sz w:val="20"/>
          <w:u w:val="single"/>
        </w:rPr>
        <w:tab/>
        <w:t>Hour</w:t>
      </w:r>
      <w:r>
        <w:rPr>
          <w:b/>
          <w:spacing w:val="-4"/>
          <w:sz w:val="20"/>
          <w:u w:val="single"/>
        </w:rPr>
        <w:t> </w:t>
      </w:r>
      <w:r>
        <w:rPr>
          <w:b/>
          <w:spacing w:val="-5"/>
          <w:sz w:val="20"/>
          <w:u w:val="single"/>
        </w:rPr>
        <w:t>to-</w:t>
      </w:r>
      <w:r>
        <w:rPr>
          <w:b/>
          <w:spacing w:val="80"/>
          <w:sz w:val="20"/>
          <w:u w:val="single"/>
        </w:rPr>
        <w:t> </w:t>
      </w:r>
    </w:p>
    <w:p>
      <w:pPr>
        <w:pStyle w:val="BodyText"/>
        <w:tabs>
          <w:tab w:pos="4809" w:val="right" w:leader="none"/>
        </w:tabs>
        <w:spacing w:line="229" w:lineRule="exact" w:before="10"/>
        <w:ind w:left="461"/>
        <w:jc w:val="left"/>
      </w:pPr>
      <w:r>
        <w:rPr/>
        <w:t>Raw</w:t>
      </w:r>
      <w:r>
        <w:rPr>
          <w:spacing w:val="-7"/>
        </w:rPr>
        <w:t> </w:t>
      </w:r>
      <w:r>
        <w:rPr/>
        <w:t>Material</w:t>
      </w:r>
      <w:r>
        <w:rPr>
          <w:spacing w:val="-6"/>
        </w:rPr>
        <w:t> </w:t>
      </w:r>
      <w:r>
        <w:rPr>
          <w:spacing w:val="-2"/>
        </w:rPr>
        <w:t>Preparation</w:t>
      </w:r>
      <w:r>
        <w:rPr/>
        <w:tab/>
      </w:r>
      <w:r>
        <w:rPr>
          <w:spacing w:val="-10"/>
        </w:rPr>
        <w:t>1</w:t>
      </w:r>
    </w:p>
    <w:p>
      <w:pPr>
        <w:pStyle w:val="BodyText"/>
        <w:tabs>
          <w:tab w:pos="4812" w:val="right" w:leader="none"/>
        </w:tabs>
        <w:spacing w:line="229" w:lineRule="exact"/>
        <w:ind w:left="461"/>
        <w:jc w:val="left"/>
      </w:pPr>
      <w:r>
        <w:rPr>
          <w:spacing w:val="-2"/>
        </w:rPr>
        <w:t>Epoxidation</w:t>
      </w:r>
      <w:r>
        <w:rPr/>
        <w:tab/>
      </w:r>
      <w:r>
        <w:rPr>
          <w:spacing w:val="-10"/>
        </w:rPr>
        <w:t>2</w:t>
      </w:r>
      <w:r>
        <w:rPr/>
        <w:t> – 4</w:t>
      </w:r>
    </w:p>
    <w:p>
      <w:pPr>
        <w:pStyle w:val="BodyText"/>
        <w:tabs>
          <w:tab w:pos="4809" w:val="right" w:leader="none"/>
        </w:tabs>
        <w:spacing w:before="1"/>
        <w:ind w:left="461"/>
        <w:jc w:val="left"/>
      </w:pPr>
      <w:r>
        <w:rPr>
          <w:spacing w:val="-2"/>
        </w:rPr>
        <w:t>Cleaning</w:t>
      </w:r>
      <w:r>
        <w:rPr/>
        <w:tab/>
      </w:r>
      <w:r>
        <w:rPr>
          <w:spacing w:val="-10"/>
        </w:rPr>
        <w:t>5</w:t>
      </w:r>
    </w:p>
    <w:p>
      <w:pPr>
        <w:pStyle w:val="BodyText"/>
        <w:tabs>
          <w:tab w:pos="4812" w:val="right" w:leader="none"/>
        </w:tabs>
        <w:ind w:left="461"/>
        <w:jc w:val="left"/>
      </w:pPr>
      <w:r>
        <w:rPr/>
        <w:t>Esterification</w:t>
      </w:r>
      <w:r>
        <w:rPr>
          <w:spacing w:val="-10"/>
        </w:rPr>
        <w:t> </w:t>
      </w:r>
      <w:r>
        <w:rPr>
          <w:spacing w:val="-2"/>
        </w:rPr>
        <w:t>Reaction</w:t>
      </w:r>
      <w:r>
        <w:rPr/>
        <w:tab/>
      </w:r>
      <w:r>
        <w:rPr>
          <w:spacing w:val="-10"/>
        </w:rPr>
        <w:t>5</w:t>
      </w:r>
      <w:r>
        <w:rPr/>
        <w:t> – 9</w:t>
      </w:r>
    </w:p>
    <w:p>
      <w:pPr>
        <w:pStyle w:val="BodyText"/>
        <w:tabs>
          <w:tab w:pos="4813" w:val="right" w:leader="none"/>
        </w:tabs>
        <w:spacing w:before="1"/>
        <w:ind w:left="461"/>
        <w:jc w:val="left"/>
      </w:pPr>
      <w:r>
        <w:rPr>
          <w:spacing w:val="-2"/>
        </w:rPr>
        <w:t>Cleaning</w:t>
      </w:r>
      <w:r>
        <w:rPr/>
        <w:tab/>
      </w:r>
      <w:r>
        <w:rPr>
          <w:spacing w:val="-5"/>
        </w:rPr>
        <w:t>10</w:t>
      </w:r>
    </w:p>
    <w:p>
      <w:pPr>
        <w:pStyle w:val="BodyText"/>
        <w:tabs>
          <w:tab w:pos="4810" w:val="right" w:leader="none"/>
        </w:tabs>
        <w:ind w:left="461"/>
        <w:jc w:val="left"/>
      </w:pPr>
      <w:r>
        <w:rPr>
          <w:spacing w:val="-2"/>
        </w:rPr>
        <w:t>Saponification</w:t>
      </w:r>
      <w:r>
        <w:rPr/>
        <w:tab/>
      </w:r>
      <w:r>
        <w:rPr>
          <w:spacing w:val="-5"/>
        </w:rPr>
        <w:t>11– </w:t>
      </w:r>
      <w:r>
        <w:rPr/>
        <w:t>13</w:t>
      </w:r>
    </w:p>
    <w:p>
      <w:pPr>
        <w:pStyle w:val="BodyText"/>
        <w:tabs>
          <w:tab w:pos="4656" w:val="right" w:leader="none"/>
        </w:tabs>
        <w:spacing w:line="229" w:lineRule="exact" w:before="1"/>
        <w:ind w:left="304"/>
        <w:jc w:val="center"/>
      </w:pPr>
      <w:r>
        <w:rPr/>
        <w:t>Product</w:t>
      </w:r>
      <w:r>
        <w:rPr>
          <w:spacing w:val="-4"/>
        </w:rPr>
        <w:t> </w:t>
      </w:r>
      <w:r>
        <w:rPr>
          <w:spacing w:val="-2"/>
        </w:rPr>
        <w:t>Collection</w:t>
      </w:r>
      <w:r>
        <w:rPr/>
        <w:tab/>
      </w:r>
      <w:r>
        <w:rPr>
          <w:spacing w:val="-5"/>
        </w:rPr>
        <w:t>14</w:t>
      </w:r>
    </w:p>
    <w:p>
      <w:pPr>
        <w:pStyle w:val="BodyText"/>
        <w:tabs>
          <w:tab w:pos="4558" w:val="left" w:leader="none"/>
        </w:tabs>
        <w:spacing w:line="229" w:lineRule="exact"/>
        <w:ind w:left="285"/>
        <w:jc w:val="center"/>
      </w:pPr>
      <w:r>
        <w:rPr>
          <w:spacing w:val="71"/>
          <w:u w:val="single"/>
        </w:rPr>
        <w:t> </w:t>
      </w:r>
      <w:r>
        <w:rPr>
          <w:spacing w:val="-2"/>
          <w:u w:val="single"/>
        </w:rPr>
        <w:t>Cleaning</w:t>
      </w:r>
      <w:r>
        <w:rPr>
          <w:u w:val="single"/>
        </w:rPr>
        <w:tab/>
      </w:r>
      <w:r>
        <w:rPr>
          <w:spacing w:val="-5"/>
          <w:u w:val="single"/>
        </w:rPr>
        <w:t>14</w:t>
      </w:r>
      <w:r>
        <w:rPr>
          <w:spacing w:val="80"/>
          <w:u w:val="single"/>
        </w:rPr>
        <w:t> </w:t>
      </w:r>
    </w:p>
    <w:p>
      <w:pPr>
        <w:pStyle w:val="BodyText"/>
        <w:spacing w:before="240"/>
        <w:ind w:left="353" w:right="54" w:firstLine="566"/>
      </w:pPr>
      <w:r>
        <w:rPr/>
        <w:t>The time required to reach optimal output is approximately 14 hours per batch, with a total annual production</w:t>
      </w:r>
      <w:r>
        <w:rPr>
          <w:spacing w:val="55"/>
          <w:w w:val="150"/>
        </w:rPr>
        <w:t> </w:t>
      </w:r>
      <w:r>
        <w:rPr/>
        <w:t>of</w:t>
      </w:r>
      <w:r>
        <w:rPr>
          <w:spacing w:val="57"/>
          <w:w w:val="150"/>
        </w:rPr>
        <w:t> </w:t>
      </w:r>
      <w:r>
        <w:rPr/>
        <w:t>around</w:t>
      </w:r>
      <w:r>
        <w:rPr>
          <w:spacing w:val="56"/>
          <w:w w:val="150"/>
        </w:rPr>
        <w:t> </w:t>
      </w:r>
      <w:r>
        <w:rPr/>
        <w:t>36</w:t>
      </w:r>
      <w:r>
        <w:rPr>
          <w:spacing w:val="55"/>
          <w:w w:val="150"/>
        </w:rPr>
        <w:t> </w:t>
      </w:r>
      <w:r>
        <w:rPr/>
        <w:t>tons/year.</w:t>
      </w:r>
      <w:r>
        <w:rPr>
          <w:spacing w:val="57"/>
          <w:w w:val="150"/>
        </w:rPr>
        <w:t> </w:t>
      </w:r>
      <w:r>
        <w:rPr/>
        <w:t>The</w:t>
      </w:r>
      <w:r>
        <w:rPr>
          <w:spacing w:val="55"/>
          <w:w w:val="150"/>
        </w:rPr>
        <w:t> </w:t>
      </w:r>
      <w:r>
        <w:rPr>
          <w:spacing w:val="-2"/>
        </w:rPr>
        <w:t>production</w:t>
      </w:r>
    </w:p>
    <w:p>
      <w:pPr>
        <w:pStyle w:val="BodyText"/>
        <w:spacing w:after="0"/>
        <w:sectPr>
          <w:type w:val="continuous"/>
          <w:pgSz w:w="12240" w:h="15840"/>
          <w:pgMar w:header="851" w:footer="1027" w:top="640" w:bottom="1180" w:left="1080" w:right="1080"/>
          <w:cols w:num="2" w:equalWidth="0">
            <w:col w:w="4946" w:space="164"/>
            <w:col w:w="4970"/>
          </w:cols>
        </w:sectPr>
      </w:pPr>
    </w:p>
    <w:p>
      <w:pPr>
        <w:pStyle w:val="BodyText"/>
        <w:ind w:left="0"/>
        <w:jc w:val="left"/>
      </w:pPr>
    </w:p>
    <w:p>
      <w:pPr>
        <w:pStyle w:val="BodyText"/>
        <w:spacing w:before="80"/>
        <w:ind w:left="0"/>
        <w:jc w:val="left"/>
      </w:pPr>
    </w:p>
    <w:p>
      <w:pPr>
        <w:pStyle w:val="BodyText"/>
        <w:ind w:right="40"/>
      </w:pPr>
      <w:r>
        <w:rPr/>
        <w:t>capacity of 109 kg per day was selected to meet the annual</w:t>
      </w:r>
      <w:r>
        <w:rPr>
          <w:spacing w:val="-2"/>
        </w:rPr>
        <w:t> </w:t>
      </w:r>
      <w:r>
        <w:rPr/>
        <w:t>production</w:t>
      </w:r>
      <w:r>
        <w:rPr>
          <w:spacing w:val="-1"/>
        </w:rPr>
        <w:t> </w:t>
      </w:r>
      <w:r>
        <w:rPr/>
        <w:t>target</w:t>
      </w:r>
      <w:r>
        <w:rPr>
          <w:spacing w:val="-2"/>
        </w:rPr>
        <w:t> </w:t>
      </w:r>
      <w:r>
        <w:rPr/>
        <w:t>of</w:t>
      </w:r>
      <w:r>
        <w:rPr>
          <w:spacing w:val="-1"/>
        </w:rPr>
        <w:t> </w:t>
      </w:r>
      <w:r>
        <w:rPr/>
        <w:t>approximately 36 tons of</w:t>
      </w:r>
      <w:r>
        <w:rPr>
          <w:spacing w:val="-1"/>
        </w:rPr>
        <w:t> </w:t>
      </w:r>
      <w:r>
        <w:rPr/>
        <w:t>bio grease. This target is based on an assumed 330 operational</w:t>
      </w:r>
      <w:r>
        <w:rPr>
          <w:spacing w:val="-1"/>
        </w:rPr>
        <w:t> </w:t>
      </w:r>
      <w:r>
        <w:rPr/>
        <w:t>days</w:t>
      </w:r>
      <w:r>
        <w:rPr>
          <w:spacing w:val="-2"/>
        </w:rPr>
        <w:t> </w:t>
      </w:r>
      <w:r>
        <w:rPr/>
        <w:t>per year.</w:t>
      </w:r>
      <w:r>
        <w:rPr>
          <w:spacing w:val="-1"/>
        </w:rPr>
        <w:t> </w:t>
      </w:r>
      <w:r>
        <w:rPr/>
        <w:t>This</w:t>
      </w:r>
      <w:r>
        <w:rPr>
          <w:spacing w:val="-2"/>
        </w:rPr>
        <w:t> </w:t>
      </w:r>
      <w:r>
        <w:rPr/>
        <w:t>study adopts</w:t>
      </w:r>
      <w:r>
        <w:rPr>
          <w:spacing w:val="-2"/>
        </w:rPr>
        <w:t> </w:t>
      </w:r>
      <w:r>
        <w:rPr/>
        <w:t>a mini</w:t>
      </w:r>
      <w:r>
        <w:rPr>
          <w:spacing w:val="-1"/>
        </w:rPr>
        <w:t> </w:t>
      </w:r>
      <w:r>
        <w:rPr/>
        <w:t>plant concept suitable for Micro, Small, and Medium Enterprises (MSMEs), allowing for more flexible and cost-effective implementation. The production site is planned</w:t>
      </w:r>
      <w:r>
        <w:rPr>
          <w:spacing w:val="-13"/>
        </w:rPr>
        <w:t> </w:t>
      </w:r>
      <w:r>
        <w:rPr/>
        <w:t>to</w:t>
      </w:r>
      <w:r>
        <w:rPr>
          <w:spacing w:val="-12"/>
        </w:rPr>
        <w:t> </w:t>
      </w:r>
      <w:r>
        <w:rPr/>
        <w:t>be</w:t>
      </w:r>
      <w:r>
        <w:rPr>
          <w:spacing w:val="-13"/>
        </w:rPr>
        <w:t> </w:t>
      </w:r>
      <w:r>
        <w:rPr/>
        <w:t>located</w:t>
      </w:r>
      <w:r>
        <w:rPr>
          <w:spacing w:val="-12"/>
        </w:rPr>
        <w:t> </w:t>
      </w:r>
      <w:r>
        <w:rPr/>
        <w:t>in</w:t>
      </w:r>
      <w:r>
        <w:rPr>
          <w:spacing w:val="-13"/>
        </w:rPr>
        <w:t> </w:t>
      </w:r>
      <w:r>
        <w:rPr/>
        <w:t>West</w:t>
      </w:r>
      <w:r>
        <w:rPr>
          <w:spacing w:val="-12"/>
        </w:rPr>
        <w:t> </w:t>
      </w:r>
      <w:r>
        <w:rPr/>
        <w:t>Java,</w:t>
      </w:r>
      <w:r>
        <w:rPr>
          <w:spacing w:val="-13"/>
        </w:rPr>
        <w:t> </w:t>
      </w:r>
      <w:r>
        <w:rPr/>
        <w:t>with</w:t>
      </w:r>
      <w:r>
        <w:rPr>
          <w:spacing w:val="-12"/>
        </w:rPr>
        <w:t> </w:t>
      </w:r>
      <w:r>
        <w:rPr/>
        <w:t>a</w:t>
      </w:r>
      <w:r>
        <w:rPr>
          <w:spacing w:val="-13"/>
        </w:rPr>
        <w:t> </w:t>
      </w:r>
      <w:r>
        <w:rPr/>
        <w:t>designated</w:t>
      </w:r>
      <w:r>
        <w:rPr>
          <w:spacing w:val="-12"/>
        </w:rPr>
        <w:t> </w:t>
      </w:r>
      <w:r>
        <w:rPr/>
        <w:t>area of approximately 200 m</w:t>
      </w:r>
      <w:r>
        <w:rPr>
          <w:vertAlign w:val="superscript"/>
        </w:rPr>
        <w:t>2</w:t>
      </w:r>
      <w:r>
        <w:rPr>
          <w:vertAlign w:val="baseline"/>
        </w:rPr>
        <w:t>.</w:t>
      </w:r>
    </w:p>
    <w:p>
      <w:pPr>
        <w:pStyle w:val="BodyText"/>
        <w:ind w:right="39" w:firstLine="566"/>
      </w:pPr>
      <w:r>
        <w:rPr/>
        <w:t>The planned workforce consists of a total of 14 employees, including 10 technical operators, 1 security guard, and 3 staff members with bachelor's degrees. To ensure smooth and continuous operations across all process units from raw material preparation to final cleaning the workforce is organized into a hybrid two- shift system.</w:t>
      </w:r>
    </w:p>
    <w:p>
      <w:pPr>
        <w:pStyle w:val="BodyText"/>
        <w:ind w:right="38" w:firstLine="566"/>
      </w:pPr>
      <w:r>
        <w:rPr/>
        <w:t>The morning shift (06:00-13:00) includes 1 Supervisor Process Engineer, 2 Process Operators, 1 Mechanical Operator, 1 Quality Control staff, and 1 Logistic</w:t>
      </w:r>
      <w:r>
        <w:rPr>
          <w:spacing w:val="-2"/>
        </w:rPr>
        <w:t> </w:t>
      </w:r>
      <w:r>
        <w:rPr/>
        <w:t>Support</w:t>
      </w:r>
      <w:r>
        <w:rPr>
          <w:spacing w:val="-3"/>
        </w:rPr>
        <w:t> </w:t>
      </w:r>
      <w:r>
        <w:rPr/>
        <w:t>staff.</w:t>
      </w:r>
      <w:r>
        <w:rPr>
          <w:spacing w:val="-2"/>
        </w:rPr>
        <w:t> </w:t>
      </w:r>
      <w:r>
        <w:rPr/>
        <w:t>The</w:t>
      </w:r>
      <w:r>
        <w:rPr>
          <w:spacing w:val="-2"/>
        </w:rPr>
        <w:t> </w:t>
      </w:r>
      <w:r>
        <w:rPr/>
        <w:t>afternoon</w:t>
      </w:r>
      <w:r>
        <w:rPr>
          <w:spacing w:val="-2"/>
        </w:rPr>
        <w:t> </w:t>
      </w:r>
      <w:r>
        <w:rPr/>
        <w:t>shift (13:00-20:00) follows the same composition, ensuring consistent operational coverage. One of the S1-level employees works as an administrative officer from 06:00 to 15:00, handling tasks such as logistics management, batch documentation, and preparation of production reports. Additionally, 1 security guard (with a high school diploma) is scheduled to work from 06:00 to 20:00 to ensure site safety. This staffing arrangement allows for effective management of all production processes using the available human resources.</w:t>
      </w:r>
    </w:p>
    <w:p>
      <w:pPr>
        <w:pStyle w:val="BodyText"/>
        <w:ind w:right="38" w:firstLine="566"/>
      </w:pPr>
      <w:r>
        <w:rPr/>
        <w:t>Operational planning, as reflected in the Gantt chart, shows that the process can run continuously without</w:t>
      </w:r>
      <w:r>
        <w:rPr>
          <w:spacing w:val="-1"/>
        </w:rPr>
        <w:t> </w:t>
      </w:r>
      <w:r>
        <w:rPr/>
        <w:t>interruption.</w:t>
      </w:r>
      <w:r>
        <w:rPr>
          <w:spacing w:val="-1"/>
        </w:rPr>
        <w:t> </w:t>
      </w:r>
      <w:r>
        <w:rPr/>
        <w:t>Furthermore,</w:t>
      </w:r>
      <w:r>
        <w:rPr>
          <w:spacing w:val="-1"/>
        </w:rPr>
        <w:t> </w:t>
      </w:r>
      <w:r>
        <w:rPr/>
        <w:t>this</w:t>
      </w:r>
      <w:r>
        <w:rPr>
          <w:spacing w:val="-1"/>
        </w:rPr>
        <w:t> </w:t>
      </w:r>
      <w:r>
        <w:rPr/>
        <w:t>study</w:t>
      </w:r>
      <w:r>
        <w:rPr>
          <w:spacing w:val="-1"/>
        </w:rPr>
        <w:t> </w:t>
      </w:r>
      <w:r>
        <w:rPr/>
        <w:t>includes</w:t>
      </w:r>
      <w:r>
        <w:rPr>
          <w:spacing w:val="-1"/>
        </w:rPr>
        <w:t> </w:t>
      </w:r>
      <w:r>
        <w:rPr/>
        <w:t>an economic analysis</w:t>
      </w:r>
      <w:r>
        <w:rPr>
          <w:spacing w:val="-1"/>
        </w:rPr>
        <w:t> </w:t>
      </w:r>
      <w:r>
        <w:rPr/>
        <w:t>to assess</w:t>
      </w:r>
      <w:r>
        <w:rPr>
          <w:spacing w:val="-1"/>
        </w:rPr>
        <w:t> </w:t>
      </w:r>
      <w:r>
        <w:rPr/>
        <w:t>the feasibility of heavy-duty bio-grease production. The analysis covers capital investment,</w:t>
      </w:r>
      <w:r>
        <w:rPr>
          <w:spacing w:val="-10"/>
        </w:rPr>
        <w:t> </w:t>
      </w:r>
      <w:r>
        <w:rPr/>
        <w:t>production</w:t>
      </w:r>
      <w:r>
        <w:rPr>
          <w:spacing w:val="-10"/>
        </w:rPr>
        <w:t> </w:t>
      </w:r>
      <w:r>
        <w:rPr/>
        <w:t>costs,</w:t>
      </w:r>
      <w:r>
        <w:rPr>
          <w:spacing w:val="-13"/>
        </w:rPr>
        <w:t> </w:t>
      </w:r>
      <w:r>
        <w:rPr/>
        <w:t>and</w:t>
      </w:r>
      <w:r>
        <w:rPr>
          <w:spacing w:val="-9"/>
        </w:rPr>
        <w:t> </w:t>
      </w:r>
      <w:r>
        <w:rPr/>
        <w:t>profitability,</w:t>
      </w:r>
      <w:r>
        <w:rPr>
          <w:spacing w:val="-13"/>
        </w:rPr>
        <w:t> </w:t>
      </w:r>
      <w:r>
        <w:rPr/>
        <w:t>helping</w:t>
      </w:r>
      <w:r>
        <w:rPr>
          <w:spacing w:val="-11"/>
        </w:rPr>
        <w:t> </w:t>
      </w:r>
      <w:r>
        <w:rPr/>
        <w:t>to determine future prospects for the industry in terms of operational efficiency, cost-effectiveness, and potential for growth.</w:t>
      </w:r>
    </w:p>
    <w:p>
      <w:pPr>
        <w:pStyle w:val="BodyText"/>
        <w:spacing w:before="1"/>
        <w:ind w:right="39" w:firstLine="566"/>
      </w:pPr>
      <w:r>
        <w:rPr/>
        <w:t>The production of bio grease begins with raw material preparation, followed by epoxidation, esterification, saponification, and product collection. Epoxidation is a key functionalization reaction that converts</w:t>
      </w:r>
      <w:r>
        <w:rPr>
          <w:spacing w:val="-13"/>
        </w:rPr>
        <w:t> </w:t>
      </w:r>
      <w:r>
        <w:rPr/>
        <w:t>double</w:t>
      </w:r>
      <w:r>
        <w:rPr>
          <w:spacing w:val="-12"/>
        </w:rPr>
        <w:t> </w:t>
      </w:r>
      <w:r>
        <w:rPr/>
        <w:t>bonds</w:t>
      </w:r>
      <w:r>
        <w:rPr>
          <w:spacing w:val="-13"/>
        </w:rPr>
        <w:t> </w:t>
      </w:r>
      <w:r>
        <w:rPr/>
        <w:t>into</w:t>
      </w:r>
      <w:r>
        <w:rPr>
          <w:spacing w:val="-12"/>
        </w:rPr>
        <w:t> </w:t>
      </w:r>
      <w:r>
        <w:rPr/>
        <w:t>more</w:t>
      </w:r>
      <w:r>
        <w:rPr>
          <w:spacing w:val="-13"/>
        </w:rPr>
        <w:t> </w:t>
      </w:r>
      <w:r>
        <w:rPr/>
        <w:t>stable</w:t>
      </w:r>
      <w:r>
        <w:rPr>
          <w:spacing w:val="-12"/>
        </w:rPr>
        <w:t> </w:t>
      </w:r>
      <w:r>
        <w:rPr/>
        <w:t>functional</w:t>
      </w:r>
      <w:r>
        <w:rPr>
          <w:spacing w:val="-13"/>
        </w:rPr>
        <w:t> </w:t>
      </w:r>
      <w:r>
        <w:rPr/>
        <w:t>groups, enhancing the oxidative stability of vegetable oils (Salimon et al., 2011), providing plasticizing properties (Joseph et al., 2014), coating applications (Derawi &amp; Salimon, 2016), and suitability for high-temperature lubricants</w:t>
      </w:r>
      <w:r>
        <w:rPr>
          <w:spacing w:val="-13"/>
        </w:rPr>
        <w:t> </w:t>
      </w:r>
      <w:r>
        <w:rPr/>
        <w:t>(Lathi</w:t>
      </w:r>
      <w:r>
        <w:rPr>
          <w:spacing w:val="-12"/>
        </w:rPr>
        <w:t> </w:t>
      </w:r>
      <w:r>
        <w:rPr/>
        <w:t>et</w:t>
      </w:r>
      <w:r>
        <w:rPr>
          <w:spacing w:val="-13"/>
        </w:rPr>
        <w:t> </w:t>
      </w:r>
      <w:r>
        <w:rPr/>
        <w:t>al.,</w:t>
      </w:r>
      <w:r>
        <w:rPr>
          <w:spacing w:val="-12"/>
        </w:rPr>
        <w:t> </w:t>
      </w:r>
      <w:r>
        <w:rPr/>
        <w:t>2007).</w:t>
      </w:r>
      <w:r>
        <w:rPr>
          <w:spacing w:val="-13"/>
        </w:rPr>
        <w:t> </w:t>
      </w:r>
      <w:r>
        <w:rPr/>
        <w:t>The</w:t>
      </w:r>
      <w:r>
        <w:rPr>
          <w:spacing w:val="-11"/>
        </w:rPr>
        <w:t> </w:t>
      </w:r>
      <w:r>
        <w:rPr/>
        <w:t>process</w:t>
      </w:r>
      <w:r>
        <w:rPr>
          <w:spacing w:val="-12"/>
        </w:rPr>
        <w:t> </w:t>
      </w:r>
      <w:r>
        <w:rPr/>
        <w:t>produces</w:t>
      </w:r>
      <w:r>
        <w:rPr>
          <w:spacing w:val="-12"/>
        </w:rPr>
        <w:t> </w:t>
      </w:r>
      <w:r>
        <w:rPr/>
        <w:t>more reactive epoxidized oil (Danov et al., 2017), with improved oxidative stability (Nor &amp; Salimon, 2022) and the addition of epoxide groups to the compound (Jalil et al., 2014). This reaction lasts approximately three hours (Nor &amp; Salimon, 2022).</w:t>
      </w:r>
    </w:p>
    <w:p>
      <w:pPr>
        <w:spacing w:line="240" w:lineRule="auto" w:before="0"/>
        <w:rPr>
          <w:sz w:val="20"/>
        </w:rPr>
      </w:pPr>
      <w:r>
        <w:rPr/>
        <w:br w:type="column"/>
      </w:r>
      <w:r>
        <w:rPr>
          <w:sz w:val="20"/>
        </w:rPr>
      </w:r>
    </w:p>
    <w:p>
      <w:pPr>
        <w:pStyle w:val="BodyText"/>
        <w:spacing w:before="80"/>
        <w:ind w:left="0"/>
        <w:jc w:val="left"/>
      </w:pPr>
    </w:p>
    <w:p>
      <w:pPr>
        <w:pStyle w:val="BodyText"/>
        <w:ind w:right="52" w:firstLine="566"/>
      </w:pPr>
      <w:r>
        <w:rPr/>
        <w:t>The esterification process, or palm oil hydroxy oleate (POHO), involves reacting epoxidized oil with organic acids or alcohols to form esters (Ob-eye et al., 2021), enhancing lubrication properties and viscosity (Cohen et al., 1953).</w:t>
      </w:r>
    </w:p>
    <w:p>
      <w:pPr>
        <w:pStyle w:val="BodyText"/>
        <w:ind w:right="50" w:firstLine="566"/>
      </w:pPr>
      <w:r>
        <w:rPr/>
        <w:t>This esterification process produces esters that possess crucial lubrication properties such as improved viscosity, which enables the formation of a stable lubricating</w:t>
      </w:r>
      <w:r>
        <w:rPr>
          <w:spacing w:val="-13"/>
        </w:rPr>
        <w:t> </w:t>
      </w:r>
      <w:r>
        <w:rPr/>
        <w:t>film</w:t>
      </w:r>
      <w:r>
        <w:rPr>
          <w:spacing w:val="-12"/>
        </w:rPr>
        <w:t> </w:t>
      </w:r>
      <w:r>
        <w:rPr/>
        <w:t>on</w:t>
      </w:r>
      <w:r>
        <w:rPr>
          <w:spacing w:val="-13"/>
        </w:rPr>
        <w:t> </w:t>
      </w:r>
      <w:r>
        <w:rPr/>
        <w:t>metal</w:t>
      </w:r>
      <w:r>
        <w:rPr>
          <w:spacing w:val="-12"/>
        </w:rPr>
        <w:t> </w:t>
      </w:r>
      <w:r>
        <w:rPr/>
        <w:t>surfaces.</w:t>
      </w:r>
      <w:r>
        <w:rPr>
          <w:spacing w:val="-13"/>
        </w:rPr>
        <w:t> </w:t>
      </w:r>
      <w:r>
        <w:rPr/>
        <w:t>This</w:t>
      </w:r>
      <w:r>
        <w:rPr>
          <w:spacing w:val="-12"/>
        </w:rPr>
        <w:t> </w:t>
      </w:r>
      <w:r>
        <w:rPr/>
        <w:t>strong</w:t>
      </w:r>
      <w:r>
        <w:rPr>
          <w:spacing w:val="-13"/>
        </w:rPr>
        <w:t> </w:t>
      </w:r>
      <w:r>
        <w:rPr/>
        <w:t>lubricating film reduces direct metal-to-metal contact, thereby minimizing wear and extending the lifespan of machine components. Additionally, these esters enhance thermal stability and oxidation resistance, allowing the lubricant to perform effectively at high temperatures and slowing degradation caused by oxidation. These properties also contribute to reduced friction between moving surfaces, which can improve energy efficiency and decrease heat generation during machine operation.</w:t>
      </w:r>
    </w:p>
    <w:p>
      <w:pPr>
        <w:pStyle w:val="BodyText"/>
        <w:ind w:right="50" w:firstLine="566"/>
      </w:pPr>
      <w:r>
        <w:rPr/>
        <w:t>The resulting ester-based oil exhibits improved lubricant characteristics (Annisa &amp; Widayat, 2018), producing SAE-40 estolide base oil through epoxidation and esterification (Kurre &amp; Yadav, 2023). This process takes approximately five hours, as shown in Nor &amp; Salimon (2022), which recorded a reaction time of 4.96 </w:t>
      </w:r>
      <w:r>
        <w:rPr>
          <w:spacing w:val="-2"/>
        </w:rPr>
        <w:t>hours.</w:t>
      </w:r>
    </w:p>
    <w:p>
      <w:pPr>
        <w:pStyle w:val="BodyText"/>
        <w:ind w:right="51" w:firstLine="566"/>
      </w:pPr>
      <w:r>
        <w:rPr/>
        <w:t>Saponification follows, reacting fatty acids with alkali to form thickening agents or soap (Saleem et al., 2024).</w:t>
      </w:r>
      <w:r>
        <w:rPr>
          <w:spacing w:val="-13"/>
        </w:rPr>
        <w:t> </w:t>
      </w:r>
      <w:r>
        <w:rPr/>
        <w:t>The</w:t>
      </w:r>
      <w:r>
        <w:rPr>
          <w:spacing w:val="-12"/>
        </w:rPr>
        <w:t> </w:t>
      </w:r>
      <w:r>
        <w:rPr/>
        <w:t>previously</w:t>
      </w:r>
      <w:r>
        <w:rPr>
          <w:spacing w:val="-13"/>
        </w:rPr>
        <w:t> </w:t>
      </w:r>
      <w:r>
        <w:rPr/>
        <w:t>obtained</w:t>
      </w:r>
      <w:r>
        <w:rPr>
          <w:spacing w:val="-12"/>
        </w:rPr>
        <w:t> </w:t>
      </w:r>
      <w:r>
        <w:rPr/>
        <w:t>ester</w:t>
      </w:r>
      <w:r>
        <w:rPr>
          <w:spacing w:val="-13"/>
        </w:rPr>
        <w:t> </w:t>
      </w:r>
      <w:r>
        <w:rPr/>
        <w:t>undergoes</w:t>
      </w:r>
      <w:r>
        <w:rPr>
          <w:spacing w:val="-12"/>
        </w:rPr>
        <w:t> </w:t>
      </w:r>
      <w:r>
        <w:rPr/>
        <w:t>a</w:t>
      </w:r>
      <w:r>
        <w:rPr>
          <w:spacing w:val="-13"/>
        </w:rPr>
        <w:t> </w:t>
      </w:r>
      <w:r>
        <w:rPr/>
        <w:t>reaction with</w:t>
      </w:r>
      <w:r>
        <w:rPr>
          <w:spacing w:val="-4"/>
        </w:rPr>
        <w:t> </w:t>
      </w:r>
      <w:r>
        <w:rPr/>
        <w:t>strong</w:t>
      </w:r>
      <w:r>
        <w:rPr>
          <w:spacing w:val="-4"/>
        </w:rPr>
        <w:t> </w:t>
      </w:r>
      <w:r>
        <w:rPr/>
        <w:t>bases</w:t>
      </w:r>
      <w:r>
        <w:rPr>
          <w:spacing w:val="-6"/>
        </w:rPr>
        <w:t> </w:t>
      </w:r>
      <w:r>
        <w:rPr/>
        <w:t>to</w:t>
      </w:r>
      <w:r>
        <w:rPr>
          <w:spacing w:val="-7"/>
        </w:rPr>
        <w:t> </w:t>
      </w:r>
      <w:r>
        <w:rPr/>
        <w:t>produce</w:t>
      </w:r>
      <w:r>
        <w:rPr>
          <w:spacing w:val="-5"/>
        </w:rPr>
        <w:t> </w:t>
      </w:r>
      <w:r>
        <w:rPr/>
        <w:t>soap</w:t>
      </w:r>
      <w:r>
        <w:rPr>
          <w:spacing w:val="-4"/>
        </w:rPr>
        <w:t> </w:t>
      </w:r>
      <w:r>
        <w:rPr/>
        <w:t>(Agrawal</w:t>
      </w:r>
      <w:r>
        <w:rPr>
          <w:spacing w:val="-6"/>
        </w:rPr>
        <w:t> </w:t>
      </w:r>
      <w:r>
        <w:rPr/>
        <w:t>et</w:t>
      </w:r>
      <w:r>
        <w:rPr>
          <w:spacing w:val="-6"/>
        </w:rPr>
        <w:t> </w:t>
      </w:r>
      <w:r>
        <w:rPr/>
        <w:t>al.,</w:t>
      </w:r>
      <w:r>
        <w:rPr>
          <w:spacing w:val="-4"/>
        </w:rPr>
        <w:t> </w:t>
      </w:r>
      <w:r>
        <w:rPr/>
        <w:t>2022), serving as a thickener in bio grease (Boner, 1937). This process takes approximately three hours.</w:t>
      </w:r>
    </w:p>
    <w:p>
      <w:pPr>
        <w:pStyle w:val="BodyText"/>
        <w:ind w:right="50" w:firstLine="566"/>
      </w:pPr>
      <w:r>
        <w:rPr/>
        <w:t>In the product collection stage, the thickener is mixed with estolide-based SAE-40 oil, modified to achieve the desired consistency and stability. The resulting heavy-duty Bio grease Calcium Sulfo-Ole is a high-performance, environmentally friendly, and biodegradable lubricant.</w:t>
      </w:r>
    </w:p>
    <w:p>
      <w:pPr>
        <w:pStyle w:val="BodyText"/>
        <w:spacing w:before="10"/>
        <w:ind w:left="0"/>
        <w:jc w:val="left"/>
      </w:pPr>
    </w:p>
    <w:p>
      <w:pPr>
        <w:pStyle w:val="Heading1"/>
        <w:numPr>
          <w:ilvl w:val="1"/>
          <w:numId w:val="2"/>
        </w:numPr>
        <w:tabs>
          <w:tab w:pos="690" w:val="left" w:leader="none"/>
        </w:tabs>
        <w:spacing w:line="240" w:lineRule="auto" w:before="0" w:after="0"/>
        <w:ind w:left="690" w:right="0" w:hanging="352"/>
        <w:jc w:val="both"/>
      </w:pPr>
      <w:r>
        <w:rPr/>
        <w:t>Economic</w:t>
      </w:r>
      <w:r>
        <w:rPr>
          <w:spacing w:val="-8"/>
        </w:rPr>
        <w:t> </w:t>
      </w:r>
      <w:r>
        <w:rPr>
          <w:spacing w:val="-2"/>
        </w:rPr>
        <w:t>Analysis</w:t>
      </w:r>
    </w:p>
    <w:p>
      <w:pPr>
        <w:pStyle w:val="BodyText"/>
        <w:spacing w:before="1"/>
        <w:ind w:right="50" w:firstLine="566"/>
      </w:pPr>
      <w:r>
        <w:rPr/>
        <w:t>In the economic analysis, the initial investment represents the costs incurred at the establishment of the plant or business. Capital investment consists of two components: fixed capital and working capital (Peters et al., 1991; Turton et al., 2009). Fixed capital refers to the initial</w:t>
      </w:r>
      <w:r>
        <w:rPr>
          <w:spacing w:val="-8"/>
        </w:rPr>
        <w:t> </w:t>
      </w:r>
      <w:r>
        <w:rPr/>
        <w:t>costs</w:t>
      </w:r>
      <w:r>
        <w:rPr>
          <w:spacing w:val="-8"/>
        </w:rPr>
        <w:t> </w:t>
      </w:r>
      <w:r>
        <w:rPr/>
        <w:t>of</w:t>
      </w:r>
      <w:r>
        <w:rPr>
          <w:spacing w:val="-7"/>
        </w:rPr>
        <w:t> </w:t>
      </w:r>
      <w:r>
        <w:rPr/>
        <w:t>setting</w:t>
      </w:r>
      <w:r>
        <w:rPr>
          <w:spacing w:val="-6"/>
        </w:rPr>
        <w:t> </w:t>
      </w:r>
      <w:r>
        <w:rPr/>
        <w:t>up</w:t>
      </w:r>
      <w:r>
        <w:rPr>
          <w:spacing w:val="-6"/>
        </w:rPr>
        <w:t> </w:t>
      </w:r>
      <w:r>
        <w:rPr/>
        <w:t>the</w:t>
      </w:r>
      <w:r>
        <w:rPr>
          <w:spacing w:val="-9"/>
        </w:rPr>
        <w:t> </w:t>
      </w:r>
      <w:r>
        <w:rPr/>
        <w:t>production</w:t>
      </w:r>
      <w:r>
        <w:rPr>
          <w:spacing w:val="-6"/>
        </w:rPr>
        <w:t> </w:t>
      </w:r>
      <w:r>
        <w:rPr/>
        <w:t>layout,</w:t>
      </w:r>
      <w:r>
        <w:rPr>
          <w:spacing w:val="-7"/>
        </w:rPr>
        <w:t> </w:t>
      </w:r>
      <w:r>
        <w:rPr/>
        <w:t>including the purchase and installation of equipment. Meanwhile, working</w:t>
      </w:r>
      <w:r>
        <w:rPr>
          <w:spacing w:val="-13"/>
        </w:rPr>
        <w:t> </w:t>
      </w:r>
      <w:r>
        <w:rPr/>
        <w:t>capital</w:t>
      </w:r>
      <w:r>
        <w:rPr>
          <w:spacing w:val="-12"/>
        </w:rPr>
        <w:t> </w:t>
      </w:r>
      <w:r>
        <w:rPr/>
        <w:t>is</w:t>
      </w:r>
      <w:r>
        <w:rPr>
          <w:spacing w:val="-13"/>
        </w:rPr>
        <w:t> </w:t>
      </w:r>
      <w:r>
        <w:rPr/>
        <w:t>required</w:t>
      </w:r>
      <w:r>
        <w:rPr>
          <w:spacing w:val="-12"/>
        </w:rPr>
        <w:t> </w:t>
      </w:r>
      <w:r>
        <w:rPr/>
        <w:t>on</w:t>
      </w:r>
      <w:r>
        <w:rPr>
          <w:spacing w:val="-13"/>
        </w:rPr>
        <w:t> </w:t>
      </w:r>
      <w:r>
        <w:rPr/>
        <w:t>an</w:t>
      </w:r>
      <w:r>
        <w:rPr>
          <w:spacing w:val="-12"/>
        </w:rPr>
        <w:t> </w:t>
      </w:r>
      <w:r>
        <w:rPr/>
        <w:t>ongoing</w:t>
      </w:r>
      <w:r>
        <w:rPr>
          <w:spacing w:val="-13"/>
        </w:rPr>
        <w:t> </w:t>
      </w:r>
      <w:r>
        <w:rPr/>
        <w:t>basis</w:t>
      </w:r>
      <w:r>
        <w:rPr>
          <w:spacing w:val="-12"/>
        </w:rPr>
        <w:t> </w:t>
      </w:r>
      <w:r>
        <w:rPr/>
        <w:t>to</w:t>
      </w:r>
      <w:r>
        <w:rPr>
          <w:spacing w:val="-13"/>
        </w:rPr>
        <w:t> </w:t>
      </w:r>
      <w:r>
        <w:rPr/>
        <w:t>support production, covering expenses such as raw materials, electricity, and water. Fixed capital includes the procurement and installation of equipment, construction of production facilities, laboratory space for storage and sample</w:t>
      </w:r>
      <w:r>
        <w:rPr>
          <w:spacing w:val="-13"/>
        </w:rPr>
        <w:t> </w:t>
      </w:r>
      <w:r>
        <w:rPr/>
        <w:t>testing,</w:t>
      </w:r>
      <w:r>
        <w:rPr>
          <w:spacing w:val="-12"/>
        </w:rPr>
        <w:t> </w:t>
      </w:r>
      <w:r>
        <w:rPr/>
        <w:t>and</w:t>
      </w:r>
      <w:r>
        <w:rPr>
          <w:spacing w:val="-13"/>
        </w:rPr>
        <w:t> </w:t>
      </w:r>
      <w:r>
        <w:rPr/>
        <w:t>a</w:t>
      </w:r>
      <w:r>
        <w:rPr>
          <w:spacing w:val="-12"/>
        </w:rPr>
        <w:t> </w:t>
      </w:r>
      <w:r>
        <w:rPr/>
        <w:t>safe</w:t>
      </w:r>
      <w:r>
        <w:rPr>
          <w:spacing w:val="-13"/>
        </w:rPr>
        <w:t> </w:t>
      </w:r>
      <w:r>
        <w:rPr/>
        <w:t>waste</w:t>
      </w:r>
      <w:r>
        <w:rPr>
          <w:spacing w:val="-12"/>
        </w:rPr>
        <w:t> </w:t>
      </w:r>
      <w:r>
        <w:rPr/>
        <w:t>disposal</w:t>
      </w:r>
      <w:r>
        <w:rPr>
          <w:spacing w:val="-12"/>
        </w:rPr>
        <w:t> </w:t>
      </w:r>
      <w:r>
        <w:rPr/>
        <w:t>site.</w:t>
      </w:r>
      <w:r>
        <w:rPr>
          <w:spacing w:val="-12"/>
        </w:rPr>
        <w:t> </w:t>
      </w:r>
      <w:r>
        <w:rPr/>
        <w:t>Direct</w:t>
      </w:r>
      <w:r>
        <w:rPr>
          <w:spacing w:val="-13"/>
        </w:rPr>
        <w:t> </w:t>
      </w:r>
      <w:r>
        <w:rPr/>
        <w:t>costs cover these components, while indirect costs include reserves</w:t>
      </w:r>
      <w:r>
        <w:rPr>
          <w:spacing w:val="-7"/>
        </w:rPr>
        <w:t> </w:t>
      </w:r>
      <w:r>
        <w:rPr/>
        <w:t>for</w:t>
      </w:r>
      <w:r>
        <w:rPr>
          <w:spacing w:val="-6"/>
        </w:rPr>
        <w:t> </w:t>
      </w:r>
      <w:r>
        <w:rPr/>
        <w:t>equipment</w:t>
      </w:r>
      <w:r>
        <w:rPr>
          <w:spacing w:val="-7"/>
        </w:rPr>
        <w:t> </w:t>
      </w:r>
      <w:r>
        <w:rPr/>
        <w:t>maintenance.</w:t>
      </w:r>
      <w:r>
        <w:rPr>
          <w:spacing w:val="-6"/>
        </w:rPr>
        <w:t> </w:t>
      </w:r>
      <w:r>
        <w:rPr/>
        <w:t>Electricity</w:t>
      </w:r>
      <w:r>
        <w:rPr>
          <w:spacing w:val="-5"/>
        </w:rPr>
        <w:t> </w:t>
      </w:r>
      <w:r>
        <w:rPr/>
        <w:t>costs</w:t>
      </w:r>
      <w:r>
        <w:rPr>
          <w:spacing w:val="-7"/>
        </w:rPr>
        <w:t> </w:t>
      </w:r>
      <w:r>
        <w:rPr/>
        <w:t>for the</w:t>
      </w:r>
      <w:r>
        <w:rPr>
          <w:spacing w:val="16"/>
        </w:rPr>
        <w:t> </w:t>
      </w:r>
      <w:r>
        <w:rPr/>
        <w:t>pilot-scale</w:t>
      </w:r>
      <w:r>
        <w:rPr>
          <w:spacing w:val="16"/>
        </w:rPr>
        <w:t> </w:t>
      </w:r>
      <w:r>
        <w:rPr/>
        <w:t>operation</w:t>
      </w:r>
      <w:r>
        <w:rPr>
          <w:spacing w:val="14"/>
        </w:rPr>
        <w:t> </w:t>
      </w:r>
      <w:r>
        <w:rPr/>
        <w:t>(categorized</w:t>
      </w:r>
      <w:r>
        <w:rPr>
          <w:spacing w:val="18"/>
        </w:rPr>
        <w:t> </w:t>
      </w:r>
      <w:r>
        <w:rPr/>
        <w:t>as</w:t>
      </w:r>
      <w:r>
        <w:rPr>
          <w:spacing w:val="15"/>
        </w:rPr>
        <w:t> </w:t>
      </w:r>
      <w:r>
        <w:rPr/>
        <w:t>a</w:t>
      </w:r>
      <w:r>
        <w:rPr>
          <w:spacing w:val="14"/>
        </w:rPr>
        <w:t> </w:t>
      </w:r>
      <w:r>
        <w:rPr/>
        <w:t>business)</w:t>
      </w:r>
      <w:r>
        <w:rPr>
          <w:spacing w:val="16"/>
        </w:rPr>
        <w:t> </w:t>
      </w:r>
      <w:r>
        <w:rPr>
          <w:spacing w:val="-5"/>
        </w:rPr>
        <w:t>are</w:t>
      </w:r>
    </w:p>
    <w:p>
      <w:pPr>
        <w:pStyle w:val="BodyText"/>
        <w:spacing w:after="0"/>
        <w:sectPr>
          <w:pgSz w:w="12240" w:h="15840"/>
          <w:pgMar w:header="851" w:footer="1027" w:top="1160" w:bottom="1220" w:left="1080" w:right="1080"/>
          <w:cols w:num="2" w:equalWidth="0">
            <w:col w:w="4946" w:space="179"/>
            <w:col w:w="4955"/>
          </w:cols>
        </w:sectPr>
      </w:pPr>
    </w:p>
    <w:p>
      <w:pPr>
        <w:pStyle w:val="BodyText"/>
        <w:spacing w:before="219"/>
        <w:ind w:left="0"/>
        <w:jc w:val="left"/>
      </w:pPr>
    </w:p>
    <w:p>
      <w:pPr>
        <w:pStyle w:val="BodyText"/>
        <w:spacing w:after="0"/>
        <w:jc w:val="left"/>
        <w:sectPr>
          <w:pgSz w:w="12240" w:h="15840"/>
          <w:pgMar w:header="851" w:footer="1027" w:top="1160" w:bottom="1220" w:left="1080" w:right="1080"/>
        </w:sectPr>
      </w:pPr>
    </w:p>
    <w:p>
      <w:pPr>
        <w:pStyle w:val="BodyText"/>
        <w:spacing w:before="91"/>
        <w:ind w:right="38"/>
      </w:pPr>
      <w:r>
        <w:rPr/>
        <w:t>assumed MSMEs standards. According to government regulations, business electricity tariffs require a power supply</w:t>
      </w:r>
      <w:r>
        <w:rPr>
          <w:spacing w:val="-6"/>
        </w:rPr>
        <w:t> </w:t>
      </w:r>
      <w:r>
        <w:rPr/>
        <w:t>of</w:t>
      </w:r>
      <w:r>
        <w:rPr>
          <w:spacing w:val="-7"/>
        </w:rPr>
        <w:t> </w:t>
      </w:r>
      <w:r>
        <w:rPr/>
        <w:t>&gt;</w:t>
      </w:r>
      <w:r>
        <w:rPr>
          <w:spacing w:val="-5"/>
        </w:rPr>
        <w:t> </w:t>
      </w:r>
      <w:r>
        <w:rPr/>
        <w:t>200</w:t>
      </w:r>
      <w:r>
        <w:rPr>
          <w:spacing w:val="-4"/>
        </w:rPr>
        <w:t> </w:t>
      </w:r>
      <w:r>
        <w:rPr/>
        <w:t>kVA,</w:t>
      </w:r>
      <w:r>
        <w:rPr>
          <w:spacing w:val="-6"/>
        </w:rPr>
        <w:t> </w:t>
      </w:r>
      <w:r>
        <w:rPr/>
        <w:t>with</w:t>
      </w:r>
      <w:r>
        <w:rPr>
          <w:spacing w:val="-5"/>
        </w:rPr>
        <w:t> </w:t>
      </w:r>
      <w:r>
        <w:rPr/>
        <w:t>a</w:t>
      </w:r>
      <w:r>
        <w:rPr>
          <w:spacing w:val="-7"/>
        </w:rPr>
        <w:t> </w:t>
      </w:r>
      <w:r>
        <w:rPr/>
        <w:t>rate</w:t>
      </w:r>
      <w:r>
        <w:rPr>
          <w:spacing w:val="-5"/>
        </w:rPr>
        <w:t> </w:t>
      </w:r>
      <w:r>
        <w:rPr/>
        <w:t>of</w:t>
      </w:r>
      <w:r>
        <w:rPr>
          <w:spacing w:val="-5"/>
        </w:rPr>
        <w:t> </w:t>
      </w:r>
      <w:r>
        <w:rPr/>
        <w:t>Rp1,035.78</w:t>
      </w:r>
      <w:r>
        <w:rPr>
          <w:spacing w:val="-5"/>
        </w:rPr>
        <w:t> </w:t>
      </w:r>
      <w:r>
        <w:rPr/>
        <w:t>per</w:t>
      </w:r>
      <w:r>
        <w:rPr>
          <w:spacing w:val="-5"/>
        </w:rPr>
        <w:t> kWh</w:t>
      </w:r>
    </w:p>
    <w:p>
      <w:pPr>
        <w:pStyle w:val="BodyText"/>
        <w:spacing w:before="91"/>
        <w:ind w:right="53" w:firstLine="568"/>
      </w:pPr>
      <w:r>
        <w:rPr/>
        <w:br w:type="column"/>
      </w:r>
      <w:r>
        <w:rPr/>
        <w:t>ROI can be calculated by dividing the annual profit</w:t>
      </w:r>
      <w:r>
        <w:rPr>
          <w:spacing w:val="-3"/>
        </w:rPr>
        <w:t> </w:t>
      </w:r>
      <w:r>
        <w:rPr/>
        <w:t>from</w:t>
      </w:r>
      <w:r>
        <w:rPr>
          <w:spacing w:val="-2"/>
        </w:rPr>
        <w:t> </w:t>
      </w:r>
      <w:r>
        <w:rPr/>
        <w:t>sales</w:t>
      </w:r>
      <w:r>
        <w:rPr>
          <w:spacing w:val="-1"/>
        </w:rPr>
        <w:t> </w:t>
      </w:r>
      <w:r>
        <w:rPr/>
        <w:t>by the initial</w:t>
      </w:r>
      <w:r>
        <w:rPr>
          <w:spacing w:val="-1"/>
        </w:rPr>
        <w:t> </w:t>
      </w:r>
      <w:r>
        <w:rPr/>
        <w:t>capital. The formula used in Equation (4).</w:t>
      </w:r>
    </w:p>
    <w:p>
      <w:pPr>
        <w:pStyle w:val="BodyText"/>
        <w:spacing w:after="0"/>
        <w:sectPr>
          <w:type w:val="continuous"/>
          <w:pgSz w:w="12240" w:h="15840"/>
          <w:pgMar w:header="851" w:footer="1027" w:top="640" w:bottom="1180" w:left="1080" w:right="1080"/>
          <w:cols w:num="2" w:equalWidth="0">
            <w:col w:w="4939" w:space="753"/>
            <w:col w:w="4388"/>
          </w:cols>
        </w:sectPr>
      </w:pPr>
    </w:p>
    <w:p>
      <w:pPr>
        <w:pStyle w:val="BodyText"/>
        <w:ind w:right="44"/>
      </w:pPr>
      <w:r>
        <w:rPr/>
        <w:t>(Ministry of Energy and Mineral Resources of the Republic of Indonesia, 2016).</w:t>
      </w:r>
    </w:p>
    <w:p>
      <w:pPr>
        <w:pStyle w:val="BodyText"/>
        <w:ind w:right="38" w:firstLine="566"/>
      </w:pPr>
      <w:r>
        <w:rPr/>
        <w:t>Next, the production costs in this study consist of manufacturing costs and general costs. Manufacturing costs include all operational expenses in the production process, such as raw materials, electricity, water, employee</w:t>
      </w:r>
      <w:r>
        <w:rPr>
          <w:spacing w:val="73"/>
        </w:rPr>
        <w:t>  </w:t>
      </w:r>
      <w:r>
        <w:rPr/>
        <w:t>salaries,</w:t>
      </w:r>
      <w:r>
        <w:rPr>
          <w:spacing w:val="74"/>
        </w:rPr>
        <w:t>  </w:t>
      </w:r>
      <w:r>
        <w:rPr/>
        <w:t>packaging</w:t>
      </w:r>
      <w:r>
        <w:rPr>
          <w:spacing w:val="75"/>
        </w:rPr>
        <w:t>  </w:t>
      </w:r>
      <w:r>
        <w:rPr/>
        <w:t>costs,</w:t>
      </w:r>
      <w:r>
        <w:rPr>
          <w:spacing w:val="74"/>
        </w:rPr>
        <w:t>  </w:t>
      </w:r>
      <w:r>
        <w:rPr>
          <w:spacing w:val="-2"/>
        </w:rPr>
        <w:t>equipment</w:t>
      </w:r>
    </w:p>
    <w:p>
      <w:pPr>
        <w:spacing w:line="163" w:lineRule="exact" w:before="0"/>
        <w:ind w:left="1454" w:right="0" w:firstLine="0"/>
        <w:jc w:val="center"/>
        <w:rPr>
          <w:rFonts w:ascii="Cambria Math"/>
          <w:sz w:val="20"/>
        </w:rPr>
      </w:pPr>
      <w:r>
        <w:rPr/>
        <w:br w:type="column"/>
      </w:r>
      <w:r>
        <w:rPr>
          <w:rFonts w:ascii="Cambria Math"/>
          <w:spacing w:val="-10"/>
          <w:sz w:val="20"/>
        </w:rPr>
        <w:t>P</w:t>
      </w:r>
    </w:p>
    <w:p>
      <w:pPr>
        <w:pStyle w:val="BodyText"/>
        <w:spacing w:line="144" w:lineRule="exact"/>
        <w:ind w:left="1454" w:right="931"/>
        <w:jc w:val="center"/>
        <w:rPr>
          <w:rFonts w:ascii="Cambria Math"/>
        </w:rPr>
      </w:pPr>
      <w:r>
        <w:rPr>
          <w:rFonts w:ascii="Cambria Math"/>
        </w:rPr>
        <mc:AlternateContent>
          <mc:Choice Requires="wps">
            <w:drawing>
              <wp:anchor distT="0" distB="0" distL="0" distR="0" allowOverlap="1" layoutInCell="1" locked="0" behindDoc="0" simplePos="0" relativeHeight="15732224">
                <wp:simplePos x="0" y="0"/>
                <wp:positionH relativeFrom="page">
                  <wp:posOffset>5781421</wp:posOffset>
                </wp:positionH>
                <wp:positionV relativeFrom="paragraph">
                  <wp:posOffset>55373</wp:posOffset>
                </wp:positionV>
                <wp:extent cx="187960" cy="762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87960" cy="7620"/>
                        </a:xfrm>
                        <a:custGeom>
                          <a:avLst/>
                          <a:gdLst/>
                          <a:ahLst/>
                          <a:cxnLst/>
                          <a:rect l="l" t="t" r="r" b="b"/>
                          <a:pathLst>
                            <a:path w="187960" h="7620">
                              <a:moveTo>
                                <a:pt x="187451" y="0"/>
                              </a:moveTo>
                              <a:lnTo>
                                <a:pt x="0" y="0"/>
                              </a:lnTo>
                              <a:lnTo>
                                <a:pt x="0" y="7620"/>
                              </a:lnTo>
                              <a:lnTo>
                                <a:pt x="187451" y="7620"/>
                              </a:lnTo>
                              <a:lnTo>
                                <a:pt x="187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5.230011pt;margin-top:4.360113pt;width:14.76pt;height:.600010pt;mso-position-horizontal-relative:page;mso-position-vertical-relative:paragraph;z-index:15732224" id="docshape21" filled="true" fillcolor="#000000" stroked="false">
                <v:fill type="solid"/>
                <w10:wrap type="none"/>
              </v:rect>
            </w:pict>
          </mc:Fallback>
        </mc:AlternateContent>
      </w:r>
      <w:r>
        <w:rPr>
          <w:rFonts w:ascii="Cambria Math"/>
        </w:rPr>
        <w:t>ROI</w:t>
      </w:r>
      <w:r>
        <w:rPr>
          <w:rFonts w:ascii="Cambria Math"/>
          <w:spacing w:val="8"/>
        </w:rPr>
        <w:t> </w:t>
      </w:r>
      <w:r>
        <w:rPr>
          <w:rFonts w:ascii="Cambria Math"/>
          <w:spacing w:val="-10"/>
        </w:rPr>
        <w:t>=</w:t>
      </w:r>
    </w:p>
    <w:p>
      <w:pPr>
        <w:pStyle w:val="BodyText"/>
        <w:spacing w:line="184" w:lineRule="exact"/>
        <w:ind w:left="1454"/>
        <w:jc w:val="center"/>
        <w:rPr>
          <w:rFonts w:ascii="Cambria Math"/>
        </w:rPr>
      </w:pPr>
      <w:r>
        <w:rPr>
          <w:rFonts w:ascii="Cambria Math"/>
          <w:spacing w:val="-5"/>
        </w:rPr>
        <w:t>TCI</w:t>
      </w:r>
    </w:p>
    <w:p>
      <w:pPr>
        <w:pStyle w:val="BodyText"/>
        <w:spacing w:before="186"/>
        <w:ind w:left="905"/>
        <w:jc w:val="left"/>
      </w:pPr>
      <w:r>
        <w:rPr/>
        <w:t>where</w:t>
      </w:r>
      <w:r>
        <w:rPr>
          <w:spacing w:val="-6"/>
        </w:rPr>
        <w:t> </w:t>
      </w:r>
      <w:r>
        <w:rPr/>
        <w:t>P</w:t>
      </w:r>
      <w:r>
        <w:rPr>
          <w:spacing w:val="-7"/>
        </w:rPr>
        <w:t> </w:t>
      </w:r>
      <w:r>
        <w:rPr/>
        <w:t>represents</w:t>
      </w:r>
      <w:r>
        <w:rPr>
          <w:spacing w:val="-7"/>
        </w:rPr>
        <w:t> </w:t>
      </w:r>
      <w:r>
        <w:rPr/>
        <w:t>gross</w:t>
      </w:r>
      <w:r>
        <w:rPr>
          <w:spacing w:val="-7"/>
        </w:rPr>
        <w:t> </w:t>
      </w:r>
      <w:r>
        <w:rPr/>
        <w:t>profit</w:t>
      </w:r>
      <w:r>
        <w:rPr>
          <w:spacing w:val="-7"/>
        </w:rPr>
        <w:t> </w:t>
      </w:r>
      <w:r>
        <w:rPr/>
        <w:t>and</w:t>
      </w:r>
      <w:r>
        <w:rPr>
          <w:spacing w:val="-5"/>
        </w:rPr>
        <w:t> </w:t>
      </w:r>
      <w:r>
        <w:rPr/>
        <w:t>TCI</w:t>
      </w:r>
      <w:r>
        <w:rPr>
          <w:spacing w:val="-6"/>
        </w:rPr>
        <w:t> </w:t>
      </w:r>
      <w:r>
        <w:rPr/>
        <w:t>stands for Total Capital Investment</w:t>
      </w:r>
    </w:p>
    <w:p>
      <w:pPr>
        <w:pStyle w:val="BodyText"/>
        <w:spacing w:before="1"/>
        <w:ind w:left="0"/>
        <w:jc w:val="left"/>
      </w:pPr>
    </w:p>
    <w:p>
      <w:pPr>
        <w:pStyle w:val="ListParagraph"/>
        <w:numPr>
          <w:ilvl w:val="0"/>
          <w:numId w:val="3"/>
        </w:numPr>
        <w:tabs>
          <w:tab w:pos="905" w:val="left" w:leader="none"/>
        </w:tabs>
        <w:spacing w:line="240" w:lineRule="auto" w:before="0" w:after="0"/>
        <w:ind w:left="905" w:right="0" w:hanging="567"/>
        <w:jc w:val="left"/>
        <w:rPr>
          <w:sz w:val="20"/>
        </w:rPr>
      </w:pPr>
      <w:r>
        <w:rPr>
          <w:sz w:val="20"/>
        </w:rPr>
        <w:t>Payback</w:t>
      </w:r>
      <w:r>
        <w:rPr>
          <w:spacing w:val="-5"/>
          <w:sz w:val="20"/>
        </w:rPr>
        <w:t> </w:t>
      </w:r>
      <w:r>
        <w:rPr>
          <w:sz w:val="20"/>
        </w:rPr>
        <w:t>Period</w:t>
      </w:r>
      <w:r>
        <w:rPr>
          <w:spacing w:val="-5"/>
          <w:sz w:val="20"/>
        </w:rPr>
        <w:t> </w:t>
      </w:r>
      <w:r>
        <w:rPr>
          <w:spacing w:val="-4"/>
          <w:sz w:val="20"/>
        </w:rPr>
        <w:t>(PP)</w:t>
      </w:r>
    </w:p>
    <w:p>
      <w:pPr>
        <w:spacing w:before="114"/>
        <w:ind w:left="0" w:right="0" w:firstLine="0"/>
        <w:jc w:val="left"/>
        <w:rPr>
          <w:sz w:val="20"/>
        </w:rPr>
      </w:pPr>
      <w:r>
        <w:rPr/>
        <w:br w:type="column"/>
      </w:r>
      <w:r>
        <w:rPr>
          <w:spacing w:val="-5"/>
          <w:sz w:val="20"/>
        </w:rPr>
        <w:t>(4)</w:t>
      </w:r>
    </w:p>
    <w:p>
      <w:pPr>
        <w:spacing w:after="0"/>
        <w:jc w:val="left"/>
        <w:rPr>
          <w:sz w:val="20"/>
        </w:rPr>
        <w:sectPr>
          <w:type w:val="continuous"/>
          <w:pgSz w:w="12240" w:h="15840"/>
          <w:pgMar w:header="851" w:footer="1027" w:top="640" w:bottom="1180" w:left="1080" w:right="1080"/>
          <w:cols w:num="3" w:equalWidth="0">
            <w:col w:w="4945" w:space="180"/>
            <w:col w:w="4641" w:space="30"/>
            <w:col w:w="284"/>
          </w:cols>
        </w:sectPr>
      </w:pPr>
    </w:p>
    <w:p>
      <w:pPr>
        <w:pStyle w:val="BodyText"/>
        <w:ind w:right="38"/>
      </w:pPr>
      <w:r>
        <w:rPr/>
        <w:t>maintenance, and patent fees. Meanwhile, general costs </w:t>
      </w:r>
      <w:r>
        <w:rPr>
          <w:spacing w:val="-2"/>
        </w:rPr>
        <w:t>cover non-production expenses, including administration, </w:t>
      </w:r>
      <w:r>
        <w:rPr/>
        <w:t>marketing, legal consulting, and occupational safety and health (OSH) expenses for employees.</w:t>
      </w:r>
    </w:p>
    <w:p>
      <w:pPr>
        <w:pStyle w:val="BodyText"/>
        <w:spacing w:line="226" w:lineRule="exact"/>
        <w:ind w:left="905"/>
      </w:pPr>
      <w:r>
        <w:rPr/>
        <w:t>In</w:t>
      </w:r>
      <w:r>
        <w:rPr>
          <w:spacing w:val="76"/>
          <w:w w:val="150"/>
        </w:rPr>
        <w:t>  </w:t>
      </w:r>
      <w:r>
        <w:rPr/>
        <w:t>profitability</w:t>
      </w:r>
      <w:r>
        <w:rPr>
          <w:spacing w:val="76"/>
          <w:w w:val="150"/>
        </w:rPr>
        <w:t>  </w:t>
      </w:r>
      <w:r>
        <w:rPr/>
        <w:t>analysis,</w:t>
      </w:r>
      <w:r>
        <w:rPr>
          <w:spacing w:val="76"/>
          <w:w w:val="150"/>
        </w:rPr>
        <w:t>  </w:t>
      </w:r>
      <w:r>
        <w:rPr/>
        <w:t>according</w:t>
      </w:r>
      <w:r>
        <w:rPr>
          <w:spacing w:val="76"/>
          <w:w w:val="150"/>
        </w:rPr>
        <w:t>  </w:t>
      </w:r>
      <w:r>
        <w:rPr>
          <w:spacing w:val="-7"/>
        </w:rPr>
        <w:t>to</w:t>
      </w:r>
    </w:p>
    <w:p>
      <w:pPr>
        <w:pStyle w:val="BodyText"/>
        <w:spacing w:line="218" w:lineRule="exact"/>
        <w:ind w:left="907"/>
      </w:pPr>
      <w:r>
        <w:rPr/>
        <w:br w:type="column"/>
      </w:r>
      <w:r>
        <w:rPr/>
        <w:t>PP</w:t>
      </w:r>
      <w:r>
        <w:rPr>
          <w:spacing w:val="60"/>
        </w:rPr>
        <w:t> </w:t>
      </w:r>
      <w:r>
        <w:rPr/>
        <w:t>is</w:t>
      </w:r>
      <w:r>
        <w:rPr>
          <w:spacing w:val="63"/>
        </w:rPr>
        <w:t> </w:t>
      </w:r>
      <w:r>
        <w:rPr/>
        <w:t>the</w:t>
      </w:r>
      <w:r>
        <w:rPr>
          <w:spacing w:val="62"/>
        </w:rPr>
        <w:t> </w:t>
      </w:r>
      <w:r>
        <w:rPr/>
        <w:t>time</w:t>
      </w:r>
      <w:r>
        <w:rPr>
          <w:spacing w:val="62"/>
        </w:rPr>
        <w:t> </w:t>
      </w:r>
      <w:r>
        <w:rPr/>
        <w:t>required</w:t>
      </w:r>
      <w:r>
        <w:rPr>
          <w:spacing w:val="63"/>
        </w:rPr>
        <w:t> </w:t>
      </w:r>
      <w:r>
        <w:rPr/>
        <w:t>to</w:t>
      </w:r>
      <w:r>
        <w:rPr>
          <w:spacing w:val="60"/>
        </w:rPr>
        <w:t> </w:t>
      </w:r>
      <w:r>
        <w:rPr/>
        <w:t>recover</w:t>
      </w:r>
      <w:r>
        <w:rPr>
          <w:spacing w:val="62"/>
        </w:rPr>
        <w:t> </w:t>
      </w:r>
      <w:r>
        <w:rPr>
          <w:spacing w:val="-5"/>
        </w:rPr>
        <w:t>the</w:t>
      </w:r>
    </w:p>
    <w:p>
      <w:pPr>
        <w:pStyle w:val="BodyText"/>
        <w:spacing w:before="1"/>
        <w:ind w:right="50"/>
      </w:pPr>
      <w:r>
        <w:rPr/>
        <w:t>capital of a plant, which can be calculated by dividing</w:t>
      </w:r>
      <w:r>
        <w:rPr>
          <w:spacing w:val="-11"/>
        </w:rPr>
        <w:t> </w:t>
      </w:r>
      <w:r>
        <w:rPr/>
        <w:t>the</w:t>
      </w:r>
      <w:r>
        <w:rPr>
          <w:spacing w:val="-12"/>
        </w:rPr>
        <w:t> </w:t>
      </w:r>
      <w:r>
        <w:rPr/>
        <w:t>capital</w:t>
      </w:r>
      <w:r>
        <w:rPr>
          <w:spacing w:val="-12"/>
        </w:rPr>
        <w:t> </w:t>
      </w:r>
      <w:r>
        <w:rPr/>
        <w:t>by</w:t>
      </w:r>
      <w:r>
        <w:rPr>
          <w:spacing w:val="-11"/>
        </w:rPr>
        <w:t> </w:t>
      </w:r>
      <w:r>
        <w:rPr/>
        <w:t>the</w:t>
      </w:r>
      <w:r>
        <w:rPr>
          <w:spacing w:val="-12"/>
        </w:rPr>
        <w:t> </w:t>
      </w:r>
      <w:r>
        <w:rPr/>
        <w:t>after-tax</w:t>
      </w:r>
      <w:r>
        <w:rPr>
          <w:spacing w:val="-11"/>
        </w:rPr>
        <w:t> </w:t>
      </w:r>
      <w:r>
        <w:rPr/>
        <w:t>cash</w:t>
      </w:r>
      <w:r>
        <w:rPr>
          <w:spacing w:val="-11"/>
        </w:rPr>
        <w:t> </w:t>
      </w:r>
      <w:r>
        <w:rPr/>
        <w:t>flow.</w:t>
      </w:r>
      <w:r>
        <w:rPr>
          <w:spacing w:val="-12"/>
        </w:rPr>
        <w:t> </w:t>
      </w:r>
      <w:r>
        <w:rPr/>
        <w:t>The formula used in Equation (5).</w:t>
      </w:r>
    </w:p>
    <w:p>
      <w:pPr>
        <w:pStyle w:val="BodyText"/>
        <w:spacing w:after="0"/>
        <w:sectPr>
          <w:type w:val="continuous"/>
          <w:pgSz w:w="12240" w:h="15840"/>
          <w:pgMar w:header="851" w:footer="1027" w:top="640" w:bottom="1180" w:left="1080" w:right="1080"/>
          <w:cols w:num="2" w:equalWidth="0">
            <w:col w:w="4939" w:space="752"/>
            <w:col w:w="4389"/>
          </w:cols>
        </w:sectPr>
      </w:pPr>
    </w:p>
    <w:p>
      <w:pPr>
        <w:pStyle w:val="BodyText"/>
        <w:ind w:right="38"/>
      </w:pPr>
      <w:r>
        <w:rPr/>
        <w:t>Abouelkasem et al., (2024), it is used to assess the financial feasibility of the bio grease production plant. Several key indicators used include:</w:t>
      </w:r>
    </w:p>
    <w:p>
      <w:pPr>
        <w:spacing w:line="158" w:lineRule="exact" w:before="0"/>
        <w:ind w:left="919" w:right="0" w:firstLine="0"/>
        <w:jc w:val="left"/>
        <w:rPr>
          <w:rFonts w:ascii="Cambria Math"/>
          <w:sz w:val="20"/>
        </w:rPr>
      </w:pPr>
      <w:r>
        <w:rPr/>
        <w:br w:type="column"/>
      </w:r>
      <w:r>
        <w:rPr>
          <w:rFonts w:ascii="Cambria Math"/>
          <w:spacing w:val="-5"/>
          <w:sz w:val="20"/>
        </w:rPr>
        <w:t>TCI</w:t>
      </w:r>
    </w:p>
    <w:p>
      <w:pPr>
        <w:pStyle w:val="BodyText"/>
        <w:spacing w:line="144" w:lineRule="exact"/>
        <w:jc w:val="left"/>
        <w:rPr>
          <w:rFonts w:ascii="Cambria Math"/>
        </w:rPr>
      </w:pPr>
      <w:r>
        <w:rPr>
          <w:rFonts w:ascii="Cambria Math"/>
        </w:rPr>
        <mc:AlternateContent>
          <mc:Choice Requires="wps">
            <w:drawing>
              <wp:anchor distT="0" distB="0" distL="0" distR="0" allowOverlap="1" layoutInCell="1" locked="0" behindDoc="0" simplePos="0" relativeHeight="15732736">
                <wp:simplePos x="0" y="0"/>
                <wp:positionH relativeFrom="page">
                  <wp:posOffset>5691504</wp:posOffset>
                </wp:positionH>
                <wp:positionV relativeFrom="paragraph">
                  <wp:posOffset>55373</wp:posOffset>
                </wp:positionV>
                <wp:extent cx="307975" cy="762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07975" cy="7620"/>
                        </a:xfrm>
                        <a:custGeom>
                          <a:avLst/>
                          <a:gdLst/>
                          <a:ahLst/>
                          <a:cxnLst/>
                          <a:rect l="l" t="t" r="r" b="b"/>
                          <a:pathLst>
                            <a:path w="307975" h="7620">
                              <a:moveTo>
                                <a:pt x="307848" y="0"/>
                              </a:moveTo>
                              <a:lnTo>
                                <a:pt x="0" y="0"/>
                              </a:lnTo>
                              <a:lnTo>
                                <a:pt x="0" y="7620"/>
                              </a:lnTo>
                              <a:lnTo>
                                <a:pt x="307848" y="7620"/>
                              </a:lnTo>
                              <a:lnTo>
                                <a:pt x="307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8.149994pt;margin-top:4.360126pt;width:24.24pt;height:.600010pt;mso-position-horizontal-relative:page;mso-position-vertical-relative:paragraph;z-index:15732736" id="docshape22" filled="true" fillcolor="#000000" stroked="false">
                <v:fill type="solid"/>
                <w10:wrap type="none"/>
              </v:rect>
            </w:pict>
          </mc:Fallback>
        </mc:AlternateContent>
      </w:r>
      <w:r>
        <w:rPr>
          <w:rFonts w:ascii="Cambria Math"/>
        </w:rPr>
        <w:t>PP</w:t>
      </w:r>
      <w:r>
        <w:rPr>
          <w:rFonts w:ascii="Cambria Math"/>
          <w:spacing w:val="9"/>
        </w:rPr>
        <w:t> </w:t>
      </w:r>
      <w:r>
        <w:rPr>
          <w:rFonts w:ascii="Cambria Math"/>
          <w:spacing w:val="-10"/>
        </w:rPr>
        <w:t>=</w:t>
      </w:r>
    </w:p>
    <w:p>
      <w:pPr>
        <w:pStyle w:val="BodyText"/>
        <w:spacing w:line="184" w:lineRule="exact"/>
        <w:ind w:left="826"/>
        <w:jc w:val="left"/>
        <w:rPr>
          <w:rFonts w:ascii="Cambria Math"/>
        </w:rPr>
      </w:pPr>
      <w:r>
        <w:rPr>
          <w:rFonts w:ascii="Cambria Math"/>
        </w:rPr>
        <w:t>P</w:t>
      </w:r>
      <w:r>
        <w:rPr>
          <w:rFonts w:ascii="Cambria Math"/>
          <w:spacing w:val="-1"/>
        </w:rPr>
        <w:t> </w:t>
      </w:r>
      <w:r>
        <w:rPr>
          <w:rFonts w:ascii="Cambria Math"/>
        </w:rPr>
        <w:t>+ </w:t>
      </w:r>
      <w:r>
        <w:rPr>
          <w:rFonts w:ascii="Cambria Math"/>
          <w:spacing w:val="-10"/>
        </w:rPr>
        <w:t>D</w:t>
      </w:r>
    </w:p>
    <w:p>
      <w:pPr>
        <w:spacing w:before="85"/>
        <w:ind w:left="338" w:right="0" w:firstLine="0"/>
        <w:jc w:val="left"/>
        <w:rPr>
          <w:sz w:val="20"/>
        </w:rPr>
      </w:pPr>
      <w:r>
        <w:rPr/>
        <w:br w:type="column"/>
      </w:r>
      <w:r>
        <w:rPr>
          <w:spacing w:val="-5"/>
          <w:sz w:val="20"/>
        </w:rPr>
        <w:t>(5)</w:t>
      </w:r>
    </w:p>
    <w:p>
      <w:pPr>
        <w:spacing w:after="0"/>
        <w:jc w:val="left"/>
        <w:rPr>
          <w:sz w:val="20"/>
        </w:rPr>
        <w:sectPr>
          <w:type w:val="continuous"/>
          <w:pgSz w:w="12240" w:h="15840"/>
          <w:pgMar w:header="851" w:footer="1027" w:top="640" w:bottom="1180" w:left="1080" w:right="1080"/>
          <w:cols w:num="3" w:equalWidth="0">
            <w:col w:w="4937" w:space="2120"/>
            <w:col w:w="1351" w:space="1049"/>
            <w:col w:w="623"/>
          </w:cols>
        </w:sectPr>
      </w:pPr>
    </w:p>
    <w:p>
      <w:pPr>
        <w:pStyle w:val="ListParagraph"/>
        <w:numPr>
          <w:ilvl w:val="0"/>
          <w:numId w:val="4"/>
        </w:numPr>
        <w:tabs>
          <w:tab w:pos="903" w:val="left" w:leader="none"/>
        </w:tabs>
        <w:spacing w:line="240" w:lineRule="auto" w:before="2" w:after="0"/>
        <w:ind w:left="903" w:right="0" w:hanging="565"/>
        <w:jc w:val="both"/>
        <w:rPr>
          <w:sz w:val="20"/>
        </w:rPr>
      </w:pPr>
      <w:r>
        <w:rPr>
          <w:sz w:val="20"/>
        </w:rPr>
        <w:t>Net</w:t>
      </w:r>
      <w:r>
        <w:rPr>
          <w:spacing w:val="-5"/>
          <w:sz w:val="20"/>
        </w:rPr>
        <w:t> </w:t>
      </w:r>
      <w:r>
        <w:rPr>
          <w:sz w:val="20"/>
        </w:rPr>
        <w:t>Present</w:t>
      </w:r>
      <w:r>
        <w:rPr>
          <w:spacing w:val="-5"/>
          <w:sz w:val="20"/>
        </w:rPr>
        <w:t> </w:t>
      </w:r>
      <w:r>
        <w:rPr>
          <w:sz w:val="20"/>
        </w:rPr>
        <w:t>Value</w:t>
      </w:r>
      <w:r>
        <w:rPr>
          <w:spacing w:val="-4"/>
          <w:sz w:val="20"/>
        </w:rPr>
        <w:t> </w:t>
      </w:r>
      <w:r>
        <w:rPr>
          <w:spacing w:val="-2"/>
          <w:sz w:val="20"/>
        </w:rPr>
        <w:t>(NPV)</w:t>
      </w:r>
    </w:p>
    <w:p>
      <w:pPr>
        <w:pStyle w:val="BodyText"/>
        <w:spacing w:before="1"/>
        <w:ind w:left="905" w:right="38" w:firstLine="568"/>
      </w:pPr>
      <w:r>
        <w:rPr/>
        <w:t>NPV measures the difference between the present</w:t>
      </w:r>
      <w:r>
        <w:rPr>
          <w:spacing w:val="-1"/>
        </w:rPr>
        <w:t> </w:t>
      </w:r>
      <w:r>
        <w:rPr/>
        <w:t>value</w:t>
      </w:r>
      <w:r>
        <w:rPr>
          <w:spacing w:val="-2"/>
        </w:rPr>
        <w:t> </w:t>
      </w:r>
      <w:r>
        <w:rPr/>
        <w:t>of cash</w:t>
      </w:r>
      <w:r>
        <w:rPr>
          <w:spacing w:val="-2"/>
        </w:rPr>
        <w:t> </w:t>
      </w:r>
      <w:r>
        <w:rPr/>
        <w:t>inflows</w:t>
      </w:r>
      <w:r>
        <w:rPr>
          <w:spacing w:val="-4"/>
        </w:rPr>
        <w:t> </w:t>
      </w:r>
      <w:r>
        <w:rPr/>
        <w:t>and</w:t>
      </w:r>
      <w:r>
        <w:rPr>
          <w:spacing w:val="-2"/>
        </w:rPr>
        <w:t> </w:t>
      </w:r>
      <w:r>
        <w:rPr/>
        <w:t>outflows</w:t>
      </w:r>
      <w:r>
        <w:rPr>
          <w:spacing w:val="-1"/>
        </w:rPr>
        <w:t> </w:t>
      </w:r>
      <w:r>
        <w:rPr/>
        <w:t>over</w:t>
      </w:r>
      <w:r>
        <w:rPr>
          <w:spacing w:val="-2"/>
        </w:rPr>
        <w:t> </w:t>
      </w:r>
      <w:r>
        <w:rPr/>
        <w:t>a specific</w:t>
      </w:r>
      <w:r>
        <w:rPr>
          <w:spacing w:val="-1"/>
        </w:rPr>
        <w:t> </w:t>
      </w:r>
      <w:r>
        <w:rPr/>
        <w:t>period.</w:t>
      </w:r>
      <w:r>
        <w:rPr>
          <w:spacing w:val="-3"/>
        </w:rPr>
        <w:t> </w:t>
      </w:r>
      <w:r>
        <w:rPr/>
        <w:t>A</w:t>
      </w:r>
      <w:r>
        <w:rPr>
          <w:spacing w:val="-1"/>
        </w:rPr>
        <w:t> </w:t>
      </w:r>
      <w:r>
        <w:rPr/>
        <w:t>positive</w:t>
      </w:r>
      <w:r>
        <w:rPr>
          <w:spacing w:val="-1"/>
        </w:rPr>
        <w:t> </w:t>
      </w:r>
      <w:r>
        <w:rPr/>
        <w:t>NPV</w:t>
      </w:r>
      <w:r>
        <w:rPr>
          <w:spacing w:val="-2"/>
        </w:rPr>
        <w:t> </w:t>
      </w:r>
      <w:r>
        <w:rPr/>
        <w:t>indicates</w:t>
      </w:r>
      <w:r>
        <w:rPr>
          <w:spacing w:val="-2"/>
        </w:rPr>
        <w:t> </w:t>
      </w:r>
      <w:r>
        <w:rPr/>
        <w:t>that</w:t>
      </w:r>
      <w:r>
        <w:rPr>
          <w:spacing w:val="-1"/>
        </w:rPr>
        <w:t> </w:t>
      </w:r>
      <w:r>
        <w:rPr/>
        <w:t>the plant is profitable and feasible to operate. The formula used to calculate NPV is shown in Equation (1).</w:t>
      </w:r>
    </w:p>
    <w:p>
      <w:pPr>
        <w:pStyle w:val="BodyText"/>
        <w:ind w:left="905"/>
        <w:jc w:val="left"/>
      </w:pPr>
      <w:r>
        <w:rPr/>
        <w:br w:type="column"/>
      </w:r>
      <w:r>
        <w:rPr/>
        <w:t>where TCI is</w:t>
      </w:r>
      <w:r>
        <w:rPr>
          <w:spacing w:val="-1"/>
        </w:rPr>
        <w:t> </w:t>
      </w:r>
      <w:r>
        <w:rPr/>
        <w:t>Total Capital</w:t>
      </w:r>
      <w:r>
        <w:rPr>
          <w:spacing w:val="-1"/>
        </w:rPr>
        <w:t> </w:t>
      </w:r>
      <w:r>
        <w:rPr/>
        <w:t>Investment, P</w:t>
      </w:r>
      <w:r>
        <w:rPr>
          <w:spacing w:val="-1"/>
        </w:rPr>
        <w:t> </w:t>
      </w:r>
      <w:r>
        <w:rPr/>
        <w:t>is</w:t>
      </w:r>
      <w:r>
        <w:rPr>
          <w:spacing w:val="-1"/>
        </w:rPr>
        <w:t> </w:t>
      </w:r>
      <w:r>
        <w:rPr/>
        <w:t>gross profit, and D is depreciation.</w:t>
      </w:r>
    </w:p>
    <w:p>
      <w:pPr>
        <w:pStyle w:val="ListParagraph"/>
        <w:numPr>
          <w:ilvl w:val="0"/>
          <w:numId w:val="3"/>
        </w:numPr>
        <w:tabs>
          <w:tab w:pos="904" w:val="left" w:leader="none"/>
        </w:tabs>
        <w:spacing w:line="240" w:lineRule="auto" w:before="217" w:after="0"/>
        <w:ind w:left="904" w:right="0" w:hanging="566"/>
        <w:jc w:val="both"/>
        <w:rPr>
          <w:sz w:val="20"/>
        </w:rPr>
      </w:pPr>
      <w:r>
        <w:rPr>
          <w:sz w:val="20"/>
        </w:rPr>
        <w:t>Break</w:t>
      </w:r>
      <w:r>
        <w:rPr>
          <w:spacing w:val="-4"/>
          <w:sz w:val="20"/>
        </w:rPr>
        <w:t> </w:t>
      </w:r>
      <w:r>
        <w:rPr>
          <w:sz w:val="20"/>
        </w:rPr>
        <w:t>Even</w:t>
      </w:r>
      <w:r>
        <w:rPr>
          <w:spacing w:val="-3"/>
          <w:sz w:val="20"/>
        </w:rPr>
        <w:t> </w:t>
      </w:r>
      <w:r>
        <w:rPr>
          <w:sz w:val="20"/>
        </w:rPr>
        <w:t>Point</w:t>
      </w:r>
      <w:r>
        <w:rPr>
          <w:spacing w:val="-8"/>
          <w:sz w:val="20"/>
        </w:rPr>
        <w:t> </w:t>
      </w:r>
      <w:r>
        <w:rPr>
          <w:spacing w:val="-4"/>
          <w:sz w:val="20"/>
        </w:rPr>
        <w:t>(BEP)</w:t>
      </w:r>
    </w:p>
    <w:p>
      <w:pPr>
        <w:pStyle w:val="BodyText"/>
        <w:ind w:left="905" w:right="51" w:firstLine="568"/>
      </w:pPr>
      <w:r>
        <w:rPr/>
        <w:t>BEP</w:t>
      </w:r>
      <w:r>
        <w:rPr>
          <w:spacing w:val="-13"/>
        </w:rPr>
        <w:t> </w:t>
      </w:r>
      <w:r>
        <w:rPr/>
        <w:t>is</w:t>
      </w:r>
      <w:r>
        <w:rPr>
          <w:spacing w:val="-12"/>
        </w:rPr>
        <w:t> </w:t>
      </w:r>
      <w:r>
        <w:rPr/>
        <w:t>the</w:t>
      </w:r>
      <w:r>
        <w:rPr>
          <w:spacing w:val="-13"/>
        </w:rPr>
        <w:t> </w:t>
      </w:r>
      <w:r>
        <w:rPr/>
        <w:t>point</w:t>
      </w:r>
      <w:r>
        <w:rPr>
          <w:spacing w:val="-12"/>
        </w:rPr>
        <w:t> </w:t>
      </w:r>
      <w:r>
        <w:rPr/>
        <w:t>where</w:t>
      </w:r>
      <w:r>
        <w:rPr>
          <w:spacing w:val="-13"/>
        </w:rPr>
        <w:t> </w:t>
      </w:r>
      <w:r>
        <w:rPr/>
        <w:t>total</w:t>
      </w:r>
      <w:r>
        <w:rPr>
          <w:spacing w:val="-12"/>
        </w:rPr>
        <w:t> </w:t>
      </w:r>
      <w:r>
        <w:rPr/>
        <w:t>revenue</w:t>
      </w:r>
      <w:r>
        <w:rPr>
          <w:spacing w:val="-13"/>
        </w:rPr>
        <w:t> </w:t>
      </w:r>
      <w:r>
        <w:rPr/>
        <w:t>equals total production costs, resulting in neither profit nor loss. BEP indicates the minimum production or</w:t>
      </w:r>
      <w:r>
        <w:rPr>
          <w:spacing w:val="50"/>
        </w:rPr>
        <w:t> </w:t>
      </w:r>
      <w:r>
        <w:rPr/>
        <w:t>sales</w:t>
      </w:r>
      <w:r>
        <w:rPr>
          <w:spacing w:val="50"/>
        </w:rPr>
        <w:t> </w:t>
      </w:r>
      <w:r>
        <w:rPr/>
        <w:t>volume</w:t>
      </w:r>
      <w:r>
        <w:rPr>
          <w:spacing w:val="51"/>
        </w:rPr>
        <w:t> </w:t>
      </w:r>
      <w:r>
        <w:rPr/>
        <w:t>required</w:t>
      </w:r>
      <w:r>
        <w:rPr>
          <w:spacing w:val="51"/>
        </w:rPr>
        <w:t> </w:t>
      </w:r>
      <w:r>
        <w:rPr/>
        <w:t>to</w:t>
      </w:r>
      <w:r>
        <w:rPr>
          <w:spacing w:val="48"/>
        </w:rPr>
        <w:t> </w:t>
      </w:r>
      <w:r>
        <w:rPr/>
        <w:t>avoid</w:t>
      </w:r>
      <w:r>
        <w:rPr>
          <w:spacing w:val="52"/>
        </w:rPr>
        <w:t> </w:t>
      </w:r>
      <w:r>
        <w:rPr/>
        <w:t>losses.</w:t>
      </w:r>
      <w:r>
        <w:rPr>
          <w:spacing w:val="50"/>
        </w:rPr>
        <w:t> </w:t>
      </w:r>
      <w:r>
        <w:rPr>
          <w:spacing w:val="-5"/>
        </w:rPr>
        <w:t>The</w:t>
      </w:r>
    </w:p>
    <w:p>
      <w:pPr>
        <w:pStyle w:val="BodyText"/>
        <w:spacing w:after="0"/>
        <w:sectPr>
          <w:type w:val="continuous"/>
          <w:pgSz w:w="12240" w:h="15840"/>
          <w:pgMar w:header="851" w:footer="1027" w:top="640" w:bottom="1180" w:left="1080" w:right="1080"/>
          <w:cols w:num="2" w:equalWidth="0">
            <w:col w:w="4940" w:space="185"/>
            <w:col w:w="4955"/>
          </w:cols>
        </w:sectPr>
      </w:pPr>
    </w:p>
    <w:p>
      <w:pPr>
        <w:spacing w:line="123" w:lineRule="exact" w:before="0"/>
        <w:ind w:left="0" w:right="236" w:firstLine="0"/>
        <w:jc w:val="right"/>
        <w:rPr>
          <w:rFonts w:ascii="Cambria Math"/>
          <w:sz w:val="14"/>
        </w:rPr>
      </w:pPr>
      <w:r>
        <w:rPr>
          <w:rFonts w:ascii="Cambria Math"/>
          <w:spacing w:val="-5"/>
          <w:w w:val="105"/>
          <w:sz w:val="14"/>
        </w:rPr>
        <w:t>t=n</w:t>
      </w:r>
    </w:p>
    <w:p>
      <w:pPr>
        <w:spacing w:line="170" w:lineRule="exact" w:before="0"/>
        <w:ind w:left="3085" w:right="0" w:firstLine="0"/>
        <w:jc w:val="left"/>
        <w:rPr>
          <w:rFonts w:ascii="Cambria Math"/>
          <w:position w:val="-3"/>
          <w:sz w:val="14"/>
        </w:rPr>
      </w:pPr>
      <w:r>
        <w:rPr>
          <w:rFonts w:ascii="Cambria Math"/>
          <w:spacing w:val="-5"/>
          <w:sz w:val="20"/>
        </w:rPr>
        <w:t>B</w:t>
      </w:r>
      <w:r>
        <w:rPr>
          <w:rFonts w:ascii="Cambria Math"/>
          <w:spacing w:val="-5"/>
          <w:position w:val="-3"/>
          <w:sz w:val="14"/>
        </w:rPr>
        <w:t>t</w:t>
      </w:r>
    </w:p>
    <w:p>
      <w:pPr>
        <w:pStyle w:val="BodyText"/>
        <w:spacing w:line="102" w:lineRule="exact"/>
        <w:ind w:left="2136"/>
        <w:jc w:val="left"/>
        <w:rPr>
          <w:rFonts w:ascii="Cambria Math" w:hAnsi="Cambria Math"/>
        </w:rPr>
      </w:pPr>
      <w:r>
        <w:rPr>
          <w:rFonts w:ascii="Cambria Math" w:hAnsi="Cambria Math"/>
        </w:rPr>
        <mc:AlternateContent>
          <mc:Choice Requires="wps">
            <w:drawing>
              <wp:anchor distT="0" distB="0" distL="0" distR="0" allowOverlap="1" layoutInCell="1" locked="0" behindDoc="0" simplePos="0" relativeHeight="15730688">
                <wp:simplePos x="0" y="0"/>
                <wp:positionH relativeFrom="page">
                  <wp:posOffset>2632582</wp:posOffset>
                </wp:positionH>
                <wp:positionV relativeFrom="paragraph">
                  <wp:posOffset>46905</wp:posOffset>
                </wp:positionV>
                <wp:extent cx="402590" cy="762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02590" cy="7620"/>
                        </a:xfrm>
                        <a:custGeom>
                          <a:avLst/>
                          <a:gdLst/>
                          <a:ahLst/>
                          <a:cxnLst/>
                          <a:rect l="l" t="t" r="r" b="b"/>
                          <a:pathLst>
                            <a:path w="402590" h="7620">
                              <a:moveTo>
                                <a:pt x="402336" y="0"/>
                              </a:moveTo>
                              <a:lnTo>
                                <a:pt x="0" y="0"/>
                              </a:lnTo>
                              <a:lnTo>
                                <a:pt x="0" y="7620"/>
                              </a:lnTo>
                              <a:lnTo>
                                <a:pt x="402336" y="7620"/>
                              </a:lnTo>
                              <a:lnTo>
                                <a:pt x="4023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7.289993pt;margin-top:3.693383pt;width:31.68pt;height:.600010pt;mso-position-horizontal-relative:page;mso-position-vertical-relative:paragraph;z-index:15730688" id="docshape23" filled="true" fillcolor="#000000" stroked="false">
                <v:fill type="solid"/>
                <w10:wrap type="none"/>
              </v:rect>
            </w:pict>
          </mc:Fallback>
        </mc:AlternateContent>
      </w:r>
      <w:r>
        <w:rPr>
          <w:rFonts w:ascii="Cambria Math" w:hAnsi="Cambria Math"/>
        </w:rPr>
        <w:t>NPV</w:t>
      </w:r>
      <w:r>
        <w:rPr>
          <w:rFonts w:ascii="Cambria Math" w:hAnsi="Cambria Math"/>
          <w:spacing w:val="11"/>
        </w:rPr>
        <w:t> </w:t>
      </w:r>
      <w:r>
        <w:rPr>
          <w:rFonts w:ascii="Cambria Math" w:hAnsi="Cambria Math"/>
        </w:rPr>
        <w:t>=</w:t>
      </w:r>
      <w:r>
        <w:rPr>
          <w:rFonts w:ascii="Cambria Math" w:hAnsi="Cambria Math"/>
          <w:spacing w:val="7"/>
        </w:rPr>
        <w:t> </w:t>
      </w:r>
      <w:r>
        <w:rPr>
          <w:rFonts w:ascii="Cambria Math" w:hAnsi="Cambria Math"/>
          <w:spacing w:val="-10"/>
        </w:rPr>
        <w:t>∑</w:t>
      </w:r>
    </w:p>
    <w:p>
      <w:pPr>
        <w:spacing w:before="85"/>
        <w:ind w:left="11" w:right="0" w:firstLine="0"/>
        <w:jc w:val="left"/>
        <w:rPr>
          <w:rFonts w:ascii="Cambria Math" w:hAnsi="Cambria Math"/>
          <w:position w:val="-3"/>
          <w:sz w:val="14"/>
        </w:rPr>
      </w:pPr>
      <w:r>
        <w:rPr/>
        <w:br w:type="column"/>
      </w:r>
      <w:r>
        <w:rPr>
          <w:rFonts w:ascii="Cambria Math" w:hAnsi="Cambria Math"/>
          <w:w w:val="105"/>
          <w:sz w:val="20"/>
        </w:rPr>
        <w:t>−</w:t>
      </w:r>
      <w:r>
        <w:rPr>
          <w:rFonts w:ascii="Cambria Math" w:hAnsi="Cambria Math"/>
          <w:spacing w:val="-11"/>
          <w:w w:val="105"/>
          <w:sz w:val="20"/>
        </w:rPr>
        <w:t> </w:t>
      </w:r>
      <w:r>
        <w:rPr>
          <w:rFonts w:ascii="Cambria Math" w:hAnsi="Cambria Math"/>
          <w:spacing w:val="-5"/>
          <w:w w:val="105"/>
          <w:sz w:val="20"/>
        </w:rPr>
        <w:t>C</w:t>
      </w:r>
      <w:r>
        <w:rPr>
          <w:rFonts w:ascii="Cambria Math" w:hAnsi="Cambria Math"/>
          <w:spacing w:val="-5"/>
          <w:w w:val="105"/>
          <w:position w:val="-3"/>
          <w:sz w:val="14"/>
        </w:rPr>
        <w:t>t</w:t>
      </w:r>
    </w:p>
    <w:p>
      <w:pPr>
        <w:spacing w:line="172" w:lineRule="exact" w:before="223"/>
        <w:ind w:left="0" w:right="0" w:firstLine="0"/>
        <w:jc w:val="right"/>
        <w:rPr>
          <w:sz w:val="20"/>
        </w:rPr>
      </w:pPr>
      <w:r>
        <w:rPr/>
        <w:br w:type="column"/>
      </w:r>
      <w:r>
        <w:rPr>
          <w:spacing w:val="-5"/>
          <w:sz w:val="20"/>
        </w:rPr>
        <w:t>(1)</w:t>
      </w:r>
    </w:p>
    <w:p>
      <w:pPr>
        <w:pStyle w:val="BodyText"/>
        <w:spacing w:line="230" w:lineRule="exact"/>
        <w:ind w:left="1080" w:right="56"/>
        <w:jc w:val="left"/>
      </w:pPr>
      <w:r>
        <w:rPr/>
        <w:br w:type="column"/>
      </w:r>
      <w:r>
        <w:rPr/>
        <w:t>formula</w:t>
      </w:r>
      <w:r>
        <w:rPr>
          <w:spacing w:val="78"/>
        </w:rPr>
        <w:t> </w:t>
      </w:r>
      <w:r>
        <w:rPr/>
        <w:t>used</w:t>
      </w:r>
      <w:r>
        <w:rPr>
          <w:spacing w:val="80"/>
        </w:rPr>
        <w:t> </w:t>
      </w:r>
      <w:r>
        <w:rPr/>
        <w:t>to</w:t>
      </w:r>
      <w:r>
        <w:rPr>
          <w:spacing w:val="79"/>
        </w:rPr>
        <w:t> </w:t>
      </w:r>
      <w:r>
        <w:rPr/>
        <w:t>calculate</w:t>
      </w:r>
      <w:r>
        <w:rPr>
          <w:spacing w:val="78"/>
        </w:rPr>
        <w:t> </w:t>
      </w:r>
      <w:r>
        <w:rPr/>
        <w:t>BEP</w:t>
      </w:r>
      <w:r>
        <w:rPr>
          <w:spacing w:val="80"/>
        </w:rPr>
        <w:t> </w:t>
      </w:r>
      <w:r>
        <w:rPr/>
        <w:t>is</w:t>
      </w:r>
      <w:r>
        <w:rPr>
          <w:spacing w:val="79"/>
        </w:rPr>
        <w:t> </w:t>
      </w:r>
      <w:r>
        <w:rPr/>
        <w:t>shown</w:t>
      </w:r>
      <w:r>
        <w:rPr>
          <w:spacing w:val="80"/>
        </w:rPr>
        <w:t> </w:t>
      </w:r>
      <w:r>
        <w:rPr/>
        <w:t>in Equation (6).</w:t>
      </w:r>
    </w:p>
    <w:p>
      <w:pPr>
        <w:pStyle w:val="BodyText"/>
        <w:spacing w:after="0" w:line="230" w:lineRule="exact"/>
        <w:jc w:val="left"/>
        <w:sectPr>
          <w:type w:val="continuous"/>
          <w:pgSz w:w="12240" w:h="15840"/>
          <w:pgMar w:header="851" w:footer="1027" w:top="640" w:bottom="1180" w:left="1080" w:right="1080"/>
          <w:cols w:num="4" w:equalWidth="0">
            <w:col w:w="3262" w:space="40"/>
            <w:col w:w="373" w:space="39"/>
            <w:col w:w="1196" w:space="40"/>
            <w:col w:w="5130"/>
          </w:cols>
        </w:sectPr>
      </w:pPr>
    </w:p>
    <w:p>
      <w:pPr>
        <w:spacing w:before="90"/>
        <w:ind w:left="0" w:right="0" w:firstLine="0"/>
        <w:jc w:val="right"/>
        <w:rPr>
          <w:rFonts w:ascii="Cambria Math"/>
          <w:sz w:val="14"/>
        </w:rPr>
      </w:pPr>
      <w:r>
        <w:rPr>
          <w:rFonts w:ascii="Cambria Math"/>
          <w:spacing w:val="-5"/>
          <w:w w:val="105"/>
          <w:sz w:val="14"/>
        </w:rPr>
        <w:t>t=1</w:t>
      </w:r>
    </w:p>
    <w:p>
      <w:pPr>
        <w:pStyle w:val="BodyText"/>
        <w:spacing w:line="148" w:lineRule="exact"/>
        <w:ind w:left="7"/>
        <w:jc w:val="left"/>
        <w:rPr>
          <w:rFonts w:ascii="Cambria Math"/>
          <w:position w:val="1"/>
        </w:rPr>
      </w:pPr>
      <w:r>
        <w:rPr/>
        <w:br w:type="column"/>
      </w:r>
      <w:r>
        <w:rPr>
          <w:rFonts w:ascii="Cambria Math"/>
          <w:position w:val="1"/>
        </w:rPr>
        <w:t>(</w:t>
      </w:r>
      <w:r>
        <w:rPr>
          <w:rFonts w:ascii="Cambria Math"/>
        </w:rPr>
        <w:t>1</w:t>
      </w:r>
      <w:r>
        <w:rPr>
          <w:rFonts w:ascii="Cambria Math"/>
          <w:spacing w:val="1"/>
        </w:rPr>
        <w:t> </w:t>
      </w:r>
      <w:r>
        <w:rPr>
          <w:rFonts w:ascii="Cambria Math"/>
        </w:rPr>
        <w:t>+</w:t>
      </w:r>
      <w:r>
        <w:rPr>
          <w:rFonts w:ascii="Cambria Math"/>
          <w:spacing w:val="-4"/>
        </w:rPr>
        <w:t> </w:t>
      </w:r>
      <w:r>
        <w:rPr>
          <w:rFonts w:ascii="Cambria Math"/>
          <w:spacing w:val="-5"/>
        </w:rPr>
        <w:t>i</w:t>
      </w:r>
      <w:r>
        <w:rPr>
          <w:rFonts w:ascii="Cambria Math"/>
          <w:spacing w:val="-5"/>
          <w:position w:val="1"/>
        </w:rPr>
        <w:t>)</w:t>
      </w:r>
      <w:r>
        <w:rPr>
          <w:rFonts w:ascii="Cambria Math"/>
          <w:spacing w:val="-5"/>
          <w:position w:val="1"/>
          <w:vertAlign w:val="superscript"/>
        </w:rPr>
        <w:t>t</w:t>
      </w:r>
    </w:p>
    <w:p>
      <w:pPr>
        <w:pStyle w:val="BodyText"/>
        <w:spacing w:before="231"/>
        <w:ind w:left="0"/>
        <w:jc w:val="right"/>
      </w:pPr>
      <w:r>
        <w:rPr/>
        <w:br w:type="column"/>
      </w:r>
      <w:r>
        <w:rPr/>
        <w:t>R</w:t>
      </w:r>
      <w:r>
        <w:rPr>
          <w:spacing w:val="-3"/>
        </w:rPr>
        <w:t> </w:t>
      </w:r>
      <w:r>
        <w:rPr/>
        <w:t>=</w:t>
      </w:r>
      <w:r>
        <w:rPr>
          <w:spacing w:val="-1"/>
        </w:rPr>
        <w:t> </w:t>
      </w:r>
      <w:r>
        <w:rPr>
          <w:spacing w:val="-5"/>
        </w:rPr>
        <w:t>TC</w:t>
      </w:r>
    </w:p>
    <w:p>
      <w:pPr>
        <w:spacing w:line="240" w:lineRule="auto" w:before="116"/>
        <w:rPr>
          <w:sz w:val="20"/>
        </w:rPr>
      </w:pPr>
      <w:r>
        <w:rPr/>
        <w:br w:type="column"/>
      </w:r>
      <w:r>
        <w:rPr>
          <w:sz w:val="20"/>
        </w:rPr>
      </w:r>
    </w:p>
    <w:p>
      <w:pPr>
        <w:pStyle w:val="BodyText"/>
        <w:spacing w:line="120" w:lineRule="exact"/>
        <w:ind w:left="0" w:right="42"/>
        <w:jc w:val="right"/>
      </w:pPr>
      <w:r>
        <w:rPr>
          <w:spacing w:val="-5"/>
        </w:rPr>
        <w:t>(6)</w:t>
      </w:r>
    </w:p>
    <w:p>
      <w:pPr>
        <w:pStyle w:val="BodyText"/>
        <w:spacing w:after="0" w:line="120" w:lineRule="exact"/>
        <w:jc w:val="right"/>
        <w:sectPr>
          <w:type w:val="continuous"/>
          <w:pgSz w:w="12240" w:h="15840"/>
          <w:pgMar w:header="851" w:footer="1027" w:top="640" w:bottom="1180" w:left="1080" w:right="1080"/>
          <w:cols w:num="4" w:equalWidth="0">
            <w:col w:w="3019" w:space="40"/>
            <w:col w:w="673" w:space="1045"/>
            <w:col w:w="3380" w:space="40"/>
            <w:col w:w="1883"/>
          </w:cols>
        </w:sectPr>
      </w:pPr>
    </w:p>
    <w:p>
      <w:pPr>
        <w:pStyle w:val="BodyText"/>
        <w:ind w:left="905" w:right="42"/>
      </w:pPr>
      <w:r>
        <w:rPr/>
        <w:t>where Bt represents the benefit per year, Ct also denotes</w:t>
      </w:r>
      <w:r>
        <w:rPr>
          <w:spacing w:val="-13"/>
        </w:rPr>
        <w:t> </w:t>
      </w:r>
      <w:r>
        <w:rPr/>
        <w:t>the</w:t>
      </w:r>
      <w:r>
        <w:rPr>
          <w:spacing w:val="-12"/>
        </w:rPr>
        <w:t> </w:t>
      </w:r>
      <w:r>
        <w:rPr/>
        <w:t>cost</w:t>
      </w:r>
      <w:r>
        <w:rPr>
          <w:spacing w:val="-13"/>
        </w:rPr>
        <w:t> </w:t>
      </w:r>
      <w:r>
        <w:rPr/>
        <w:t>per</w:t>
      </w:r>
      <w:r>
        <w:rPr>
          <w:spacing w:val="-12"/>
        </w:rPr>
        <w:t> </w:t>
      </w:r>
      <w:r>
        <w:rPr/>
        <w:t>year,</w:t>
      </w:r>
      <w:r>
        <w:rPr>
          <w:spacing w:val="-13"/>
        </w:rPr>
        <w:t> </w:t>
      </w:r>
      <w:r>
        <w:rPr/>
        <w:t>t</w:t>
      </w:r>
      <w:r>
        <w:rPr>
          <w:spacing w:val="-12"/>
        </w:rPr>
        <w:t> </w:t>
      </w:r>
      <w:r>
        <w:rPr/>
        <w:t>refers</w:t>
      </w:r>
      <w:r>
        <w:rPr>
          <w:spacing w:val="-13"/>
        </w:rPr>
        <w:t> </w:t>
      </w:r>
      <w:r>
        <w:rPr/>
        <w:t>to</w:t>
      </w:r>
      <w:r>
        <w:rPr>
          <w:spacing w:val="-12"/>
        </w:rPr>
        <w:t> </w:t>
      </w:r>
      <w:r>
        <w:rPr/>
        <w:t>the</w:t>
      </w:r>
      <w:r>
        <w:rPr>
          <w:spacing w:val="-13"/>
        </w:rPr>
        <w:t> </w:t>
      </w:r>
      <w:r>
        <w:rPr/>
        <w:t>time</w:t>
      </w:r>
      <w:r>
        <w:rPr>
          <w:spacing w:val="-12"/>
        </w:rPr>
        <w:t> </w:t>
      </w:r>
      <w:r>
        <w:rPr/>
        <w:t>period (1,2,3,...), n is the total number of years, and i represents the interest rate.</w:t>
      </w:r>
    </w:p>
    <w:p>
      <w:pPr>
        <w:pStyle w:val="BodyText"/>
        <w:spacing w:before="36"/>
        <w:ind w:left="0"/>
        <w:jc w:val="left"/>
      </w:pPr>
    </w:p>
    <w:p>
      <w:pPr>
        <w:pStyle w:val="ListParagraph"/>
        <w:numPr>
          <w:ilvl w:val="0"/>
          <w:numId w:val="4"/>
        </w:numPr>
        <w:tabs>
          <w:tab w:pos="903" w:val="left" w:leader="none"/>
        </w:tabs>
        <w:spacing w:line="240" w:lineRule="auto" w:before="0" w:after="0"/>
        <w:ind w:left="903" w:right="0" w:hanging="565"/>
        <w:jc w:val="both"/>
        <w:rPr>
          <w:sz w:val="20"/>
        </w:rPr>
      </w:pPr>
      <w:r>
        <w:rPr>
          <w:sz w:val="20"/>
        </w:rPr>
        <w:t>Internal</w:t>
      </w:r>
      <w:r>
        <w:rPr>
          <w:spacing w:val="-4"/>
          <w:sz w:val="20"/>
        </w:rPr>
        <w:t> </w:t>
      </w:r>
      <w:r>
        <w:rPr>
          <w:sz w:val="20"/>
        </w:rPr>
        <w:t>Rate</w:t>
      </w:r>
      <w:r>
        <w:rPr>
          <w:spacing w:val="-4"/>
          <w:sz w:val="20"/>
        </w:rPr>
        <w:t> </w:t>
      </w:r>
      <w:r>
        <w:rPr>
          <w:sz w:val="20"/>
        </w:rPr>
        <w:t>of</w:t>
      </w:r>
      <w:r>
        <w:rPr>
          <w:spacing w:val="-4"/>
          <w:sz w:val="20"/>
        </w:rPr>
        <w:t> </w:t>
      </w:r>
      <w:r>
        <w:rPr>
          <w:sz w:val="20"/>
        </w:rPr>
        <w:t>Return</w:t>
      </w:r>
      <w:r>
        <w:rPr>
          <w:spacing w:val="-4"/>
          <w:sz w:val="20"/>
        </w:rPr>
        <w:t> </w:t>
      </w:r>
      <w:r>
        <w:rPr>
          <w:spacing w:val="-2"/>
          <w:sz w:val="20"/>
        </w:rPr>
        <w:t>(IRR)</w:t>
      </w:r>
    </w:p>
    <w:p>
      <w:pPr>
        <w:pStyle w:val="BodyText"/>
        <w:spacing w:before="1"/>
        <w:ind w:left="905" w:right="38" w:firstLine="568"/>
      </w:pPr>
      <w:r>
        <w:rPr/>
        <w:t>IRR is the discount rate that makes the NPV</w:t>
      </w:r>
      <w:r>
        <w:rPr>
          <w:spacing w:val="-9"/>
        </w:rPr>
        <w:t> </w:t>
      </w:r>
      <w:r>
        <w:rPr/>
        <w:t>equal</w:t>
      </w:r>
      <w:r>
        <w:rPr>
          <w:spacing w:val="-9"/>
        </w:rPr>
        <w:t> </w:t>
      </w:r>
      <w:r>
        <w:rPr/>
        <w:t>to</w:t>
      </w:r>
      <w:r>
        <w:rPr>
          <w:spacing w:val="-9"/>
        </w:rPr>
        <w:t> </w:t>
      </w:r>
      <w:r>
        <w:rPr/>
        <w:t>zero.</w:t>
      </w:r>
      <w:r>
        <w:rPr>
          <w:spacing w:val="-9"/>
        </w:rPr>
        <w:t> </w:t>
      </w:r>
      <w:r>
        <w:rPr/>
        <w:t>An</w:t>
      </w:r>
      <w:r>
        <w:rPr>
          <w:spacing w:val="-10"/>
        </w:rPr>
        <w:t> </w:t>
      </w:r>
      <w:r>
        <w:rPr/>
        <w:t>IRR</w:t>
      </w:r>
      <w:r>
        <w:rPr>
          <w:spacing w:val="-10"/>
        </w:rPr>
        <w:t> </w:t>
      </w:r>
      <w:r>
        <w:rPr/>
        <w:t>higher</w:t>
      </w:r>
      <w:r>
        <w:rPr>
          <w:spacing w:val="-9"/>
        </w:rPr>
        <w:t> </w:t>
      </w:r>
      <w:r>
        <w:rPr/>
        <w:t>than</w:t>
      </w:r>
      <w:r>
        <w:rPr>
          <w:spacing w:val="-9"/>
        </w:rPr>
        <w:t> </w:t>
      </w:r>
      <w:r>
        <w:rPr/>
        <w:t>the</w:t>
      </w:r>
      <w:r>
        <w:rPr>
          <w:spacing w:val="-11"/>
        </w:rPr>
        <w:t> </w:t>
      </w:r>
      <w:r>
        <w:rPr/>
        <w:t>cost</w:t>
      </w:r>
      <w:r>
        <w:rPr>
          <w:spacing w:val="-9"/>
        </w:rPr>
        <w:t> </w:t>
      </w:r>
      <w:r>
        <w:rPr/>
        <w:t>of capital indicates that the plant is profitable. The formula used to calculate IRR is shown in Equation (2), with the interest rate determined in Equation (3).</w:t>
      </w:r>
    </w:p>
    <w:p>
      <w:pPr>
        <w:pStyle w:val="BodyText"/>
        <w:spacing w:line="226" w:lineRule="exact"/>
        <w:ind w:left="2432"/>
        <w:jc w:val="left"/>
      </w:pPr>
      <w:r>
        <w:rPr/>
        <w:br w:type="column"/>
      </w:r>
      <w:r>
        <w:rPr/>
        <w:t>rQ</w:t>
      </w:r>
      <w:r>
        <w:rPr>
          <w:spacing w:val="-2"/>
        </w:rPr>
        <w:t> </w:t>
      </w:r>
      <w:r>
        <w:rPr/>
        <w:t>=</w:t>
      </w:r>
      <w:r>
        <w:rPr>
          <w:spacing w:val="-2"/>
        </w:rPr>
        <w:t> </w:t>
      </w:r>
      <w:r>
        <w:rPr/>
        <w:t>FC</w:t>
      </w:r>
      <w:r>
        <w:rPr>
          <w:spacing w:val="-3"/>
        </w:rPr>
        <w:t> </w:t>
      </w:r>
      <w:r>
        <w:rPr/>
        <w:t>+</w:t>
      </w:r>
      <w:r>
        <w:rPr>
          <w:spacing w:val="-1"/>
        </w:rPr>
        <w:t> </w:t>
      </w:r>
      <w:r>
        <w:rPr>
          <w:spacing w:val="-5"/>
        </w:rPr>
        <w:t>vQ</w:t>
      </w:r>
    </w:p>
    <w:p>
      <w:pPr>
        <w:pStyle w:val="BodyText"/>
        <w:spacing w:before="228"/>
        <w:ind w:left="905" w:right="52"/>
      </w:pPr>
      <w:r>
        <w:rPr/>
        <w:t>where</w:t>
      </w:r>
      <w:r>
        <w:rPr>
          <w:spacing w:val="-9"/>
        </w:rPr>
        <w:t> </w:t>
      </w:r>
      <w:r>
        <w:rPr/>
        <w:t>R</w:t>
      </w:r>
      <w:r>
        <w:rPr>
          <w:spacing w:val="-11"/>
        </w:rPr>
        <w:t> </w:t>
      </w:r>
      <w:r>
        <w:rPr/>
        <w:t>represents</w:t>
      </w:r>
      <w:r>
        <w:rPr>
          <w:spacing w:val="-11"/>
        </w:rPr>
        <w:t> </w:t>
      </w:r>
      <w:r>
        <w:rPr/>
        <w:t>revenue,</w:t>
      </w:r>
      <w:r>
        <w:rPr>
          <w:spacing w:val="-11"/>
        </w:rPr>
        <w:t> </w:t>
      </w:r>
      <w:r>
        <w:rPr/>
        <w:t>TC</w:t>
      </w:r>
      <w:r>
        <w:rPr>
          <w:spacing w:val="-11"/>
        </w:rPr>
        <w:t> </w:t>
      </w:r>
      <w:r>
        <w:rPr/>
        <w:t>is</w:t>
      </w:r>
      <w:r>
        <w:rPr>
          <w:spacing w:val="-11"/>
        </w:rPr>
        <w:t> </w:t>
      </w:r>
      <w:r>
        <w:rPr/>
        <w:t>the</w:t>
      </w:r>
      <w:r>
        <w:rPr>
          <w:spacing w:val="-9"/>
        </w:rPr>
        <w:t> </w:t>
      </w:r>
      <w:r>
        <w:rPr/>
        <w:t>total</w:t>
      </w:r>
      <w:r>
        <w:rPr>
          <w:spacing w:val="-10"/>
        </w:rPr>
        <w:t> </w:t>
      </w:r>
      <w:r>
        <w:rPr/>
        <w:t>cost</w:t>
      </w:r>
      <w:r>
        <w:rPr>
          <w:spacing w:val="-10"/>
        </w:rPr>
        <w:t> </w:t>
      </w:r>
      <w:r>
        <w:rPr/>
        <w:t>or total production cost, FC</w:t>
      </w:r>
      <w:r>
        <w:rPr>
          <w:spacing w:val="-1"/>
        </w:rPr>
        <w:t> </w:t>
      </w:r>
      <w:r>
        <w:rPr/>
        <w:t>is the fixed cost, r is the price per unit, and v is the variable cost per unit.</w:t>
      </w:r>
    </w:p>
    <w:p>
      <w:pPr>
        <w:pStyle w:val="BodyText"/>
        <w:spacing w:before="1"/>
        <w:ind w:left="905" w:right="54" w:firstLine="568"/>
      </w:pPr>
      <w:r>
        <w:rPr/>
        <w:t>The BEP percentage is determined by the intersection point of the total cost and revenue </w:t>
      </w:r>
      <w:r>
        <w:rPr>
          <w:spacing w:val="-2"/>
        </w:rPr>
        <w:t>graph.</w:t>
      </w:r>
    </w:p>
    <w:p>
      <w:pPr>
        <w:pStyle w:val="BodyText"/>
        <w:ind w:left="0"/>
        <w:jc w:val="left"/>
      </w:pPr>
    </w:p>
    <w:p>
      <w:pPr>
        <w:pStyle w:val="Heading1"/>
        <w:numPr>
          <w:ilvl w:val="0"/>
          <w:numId w:val="1"/>
        </w:numPr>
        <w:tabs>
          <w:tab w:pos="539" w:val="left" w:leader="none"/>
        </w:tabs>
        <w:spacing w:line="240" w:lineRule="auto" w:before="0" w:after="0"/>
        <w:ind w:left="539" w:right="0" w:hanging="201"/>
        <w:jc w:val="left"/>
      </w:pPr>
      <w:r>
        <w:rPr/>
        <w:t>Results</w:t>
      </w:r>
      <w:r>
        <w:rPr>
          <w:spacing w:val="-7"/>
        </w:rPr>
        <w:t> </w:t>
      </w:r>
      <w:r>
        <w:rPr/>
        <w:t>and</w:t>
      </w:r>
      <w:r>
        <w:rPr>
          <w:spacing w:val="-6"/>
        </w:rPr>
        <w:t> </w:t>
      </w:r>
      <w:r>
        <w:rPr>
          <w:spacing w:val="-2"/>
        </w:rPr>
        <w:t>Discussion</w:t>
      </w:r>
    </w:p>
    <w:p>
      <w:pPr>
        <w:pStyle w:val="ListParagraph"/>
        <w:numPr>
          <w:ilvl w:val="1"/>
          <w:numId w:val="1"/>
        </w:numPr>
        <w:tabs>
          <w:tab w:pos="639" w:val="left" w:leader="none"/>
        </w:tabs>
        <w:spacing w:line="240" w:lineRule="auto" w:before="1" w:after="0"/>
        <w:ind w:left="639" w:right="0" w:hanging="301"/>
        <w:jc w:val="left"/>
        <w:rPr>
          <w:b/>
          <w:sz w:val="20"/>
        </w:rPr>
      </w:pPr>
      <w:r>
        <w:rPr>
          <w:b/>
          <w:sz w:val="20"/>
        </w:rPr>
        <w:t>Heavy-duty</w:t>
      </w:r>
      <w:r>
        <w:rPr>
          <w:b/>
          <w:spacing w:val="-8"/>
          <w:sz w:val="20"/>
        </w:rPr>
        <w:t> </w:t>
      </w:r>
      <w:r>
        <w:rPr>
          <w:b/>
          <w:sz w:val="20"/>
        </w:rPr>
        <w:t>Bio</w:t>
      </w:r>
      <w:r>
        <w:rPr>
          <w:b/>
          <w:spacing w:val="-9"/>
          <w:sz w:val="20"/>
        </w:rPr>
        <w:t> </w:t>
      </w:r>
      <w:r>
        <w:rPr>
          <w:b/>
          <w:sz w:val="20"/>
        </w:rPr>
        <w:t>grease</w:t>
      </w:r>
      <w:r>
        <w:rPr>
          <w:b/>
          <w:spacing w:val="-10"/>
          <w:sz w:val="20"/>
        </w:rPr>
        <w:t> </w:t>
      </w:r>
      <w:r>
        <w:rPr>
          <w:b/>
          <w:sz w:val="20"/>
        </w:rPr>
        <w:t>Manufacturing</w:t>
      </w:r>
      <w:r>
        <w:rPr>
          <w:b/>
          <w:spacing w:val="-8"/>
          <w:sz w:val="20"/>
        </w:rPr>
        <w:t> </w:t>
      </w:r>
      <w:r>
        <w:rPr>
          <w:b/>
          <w:spacing w:val="-2"/>
          <w:sz w:val="20"/>
        </w:rPr>
        <w:t>Process</w:t>
      </w:r>
    </w:p>
    <w:p>
      <w:pPr>
        <w:pStyle w:val="BodyText"/>
        <w:ind w:firstLine="566"/>
        <w:jc w:val="left"/>
      </w:pPr>
      <w:r>
        <w:rPr/>
        <w:t>In</w:t>
      </w:r>
      <w:r>
        <w:rPr>
          <w:spacing w:val="40"/>
        </w:rPr>
        <w:t> </w:t>
      </w:r>
      <w:r>
        <w:rPr/>
        <w:t>the</w:t>
      </w:r>
      <w:r>
        <w:rPr>
          <w:spacing w:val="40"/>
        </w:rPr>
        <w:t> </w:t>
      </w:r>
      <w:r>
        <w:rPr/>
        <w:t>raw</w:t>
      </w:r>
      <w:r>
        <w:rPr>
          <w:spacing w:val="40"/>
        </w:rPr>
        <w:t> </w:t>
      </w:r>
      <w:r>
        <w:rPr/>
        <w:t>material</w:t>
      </w:r>
      <w:r>
        <w:rPr>
          <w:spacing w:val="40"/>
        </w:rPr>
        <w:t> </w:t>
      </w:r>
      <w:r>
        <w:rPr/>
        <w:t>preparation</w:t>
      </w:r>
      <w:r>
        <w:rPr>
          <w:spacing w:val="40"/>
        </w:rPr>
        <w:t> </w:t>
      </w:r>
      <w:r>
        <w:rPr/>
        <w:t>stage,</w:t>
      </w:r>
      <w:r>
        <w:rPr>
          <w:spacing w:val="40"/>
        </w:rPr>
        <w:t> </w:t>
      </w:r>
      <w:r>
        <w:rPr/>
        <w:t>refined bleached</w:t>
      </w:r>
      <w:r>
        <w:rPr>
          <w:spacing w:val="67"/>
        </w:rPr>
        <w:t> </w:t>
      </w:r>
      <w:r>
        <w:rPr/>
        <w:t>deodorized</w:t>
      </w:r>
      <w:r>
        <w:rPr>
          <w:spacing w:val="66"/>
        </w:rPr>
        <w:t> </w:t>
      </w:r>
      <w:r>
        <w:rPr/>
        <w:t>palm</w:t>
      </w:r>
      <w:r>
        <w:rPr>
          <w:spacing w:val="64"/>
        </w:rPr>
        <w:t> </w:t>
      </w:r>
      <w:r>
        <w:rPr/>
        <w:t>oil</w:t>
      </w:r>
      <w:r>
        <w:rPr>
          <w:spacing w:val="66"/>
        </w:rPr>
        <w:t> </w:t>
      </w:r>
      <w:r>
        <w:rPr/>
        <w:t>(RBDPO)</w:t>
      </w:r>
      <w:r>
        <w:rPr>
          <w:spacing w:val="66"/>
        </w:rPr>
        <w:t> </w:t>
      </w:r>
      <w:r>
        <w:rPr/>
        <w:t>with</w:t>
      </w:r>
      <w:r>
        <w:rPr>
          <w:spacing w:val="67"/>
        </w:rPr>
        <w:t> </w:t>
      </w:r>
      <w:r>
        <w:rPr>
          <w:spacing w:val="-4"/>
        </w:rPr>
        <w:t>100%</w:t>
      </w:r>
    </w:p>
    <w:p>
      <w:pPr>
        <w:pStyle w:val="BodyText"/>
        <w:spacing w:after="0"/>
        <w:jc w:val="left"/>
        <w:sectPr>
          <w:type w:val="continuous"/>
          <w:pgSz w:w="12240" w:h="15840"/>
          <w:pgMar w:header="851" w:footer="1027" w:top="640" w:bottom="1180" w:left="1080" w:right="1080"/>
          <w:cols w:num="2" w:equalWidth="0">
            <w:col w:w="4943" w:space="182"/>
            <w:col w:w="4955"/>
          </w:cols>
        </w:sectPr>
      </w:pPr>
    </w:p>
    <w:p>
      <w:pPr>
        <w:spacing w:line="127" w:lineRule="exact" w:before="21"/>
        <w:ind w:left="0" w:right="236" w:firstLine="0"/>
        <w:jc w:val="right"/>
        <w:rPr>
          <w:rFonts w:ascii="Cambria Math"/>
          <w:sz w:val="14"/>
        </w:rPr>
      </w:pPr>
      <w:r>
        <w:rPr>
          <w:rFonts w:ascii="Cambria Math"/>
          <w:spacing w:val="-5"/>
          <w:w w:val="105"/>
          <w:sz w:val="14"/>
        </w:rPr>
        <w:t>t=n</w:t>
      </w:r>
    </w:p>
    <w:p>
      <w:pPr>
        <w:spacing w:line="170" w:lineRule="exact" w:before="0"/>
        <w:ind w:left="2040" w:right="0" w:firstLine="0"/>
        <w:jc w:val="left"/>
        <w:rPr>
          <w:rFonts w:ascii="Cambria Math"/>
          <w:position w:val="-3"/>
          <w:sz w:val="14"/>
        </w:rPr>
      </w:pPr>
      <w:r>
        <w:rPr>
          <w:rFonts w:ascii="Cambria Math"/>
          <w:spacing w:val="-5"/>
          <w:sz w:val="20"/>
        </w:rPr>
        <w:t>B</w:t>
      </w:r>
      <w:r>
        <w:rPr>
          <w:rFonts w:ascii="Cambria Math"/>
          <w:spacing w:val="-5"/>
          <w:position w:val="-3"/>
          <w:sz w:val="14"/>
        </w:rPr>
        <w:t>t</w:t>
      </w:r>
    </w:p>
    <w:p>
      <w:pPr>
        <w:pStyle w:val="BodyText"/>
        <w:spacing w:line="102" w:lineRule="exact"/>
        <w:ind w:left="1150"/>
        <w:jc w:val="left"/>
        <w:rPr>
          <w:rFonts w:ascii="Cambria Math" w:hAnsi="Cambria Math"/>
        </w:rPr>
      </w:pPr>
      <w:r>
        <w:rPr>
          <w:rFonts w:ascii="Cambria Math" w:hAnsi="Cambria Math"/>
        </w:rPr>
        <mc:AlternateContent>
          <mc:Choice Requires="wps">
            <w:drawing>
              <wp:anchor distT="0" distB="0" distL="0" distR="0" allowOverlap="1" layoutInCell="1" locked="0" behindDoc="0" simplePos="0" relativeHeight="15731200">
                <wp:simplePos x="0" y="0"/>
                <wp:positionH relativeFrom="page">
                  <wp:posOffset>1969261</wp:posOffset>
                </wp:positionH>
                <wp:positionV relativeFrom="paragraph">
                  <wp:posOffset>47112</wp:posOffset>
                </wp:positionV>
                <wp:extent cx="402590" cy="762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02590" cy="7620"/>
                        </a:xfrm>
                        <a:custGeom>
                          <a:avLst/>
                          <a:gdLst/>
                          <a:ahLst/>
                          <a:cxnLst/>
                          <a:rect l="l" t="t" r="r" b="b"/>
                          <a:pathLst>
                            <a:path w="402590" h="7620">
                              <a:moveTo>
                                <a:pt x="402336" y="0"/>
                              </a:moveTo>
                              <a:lnTo>
                                <a:pt x="0" y="0"/>
                              </a:lnTo>
                              <a:lnTo>
                                <a:pt x="0" y="7619"/>
                              </a:lnTo>
                              <a:lnTo>
                                <a:pt x="402336" y="7619"/>
                              </a:lnTo>
                              <a:lnTo>
                                <a:pt x="4023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5.059998pt;margin-top:3.709681pt;width:31.68pt;height:.599980pt;mso-position-horizontal-relative:page;mso-position-vertical-relative:paragraph;z-index:15731200" id="docshape24" filled="true" fillcolor="#000000" stroked="false">
                <v:fill type="solid"/>
                <w10:wrap type="none"/>
              </v:rect>
            </w:pict>
          </mc:Fallback>
        </mc:AlternateContent>
      </w:r>
      <w:r>
        <w:rPr>
          <w:rFonts w:ascii="Cambria Math" w:hAnsi="Cambria Math"/>
        </w:rPr>
        <w:t>IRR</w:t>
      </w:r>
      <w:r>
        <w:rPr>
          <w:rFonts w:ascii="Cambria Math" w:hAnsi="Cambria Math"/>
          <w:spacing w:val="9"/>
        </w:rPr>
        <w:t> </w:t>
      </w:r>
      <w:r>
        <w:rPr>
          <w:rFonts w:ascii="Cambria Math" w:hAnsi="Cambria Math"/>
        </w:rPr>
        <w:t>=</w:t>
      </w:r>
      <w:r>
        <w:rPr>
          <w:rFonts w:ascii="Cambria Math" w:hAnsi="Cambria Math"/>
          <w:spacing w:val="9"/>
        </w:rPr>
        <w:t> </w:t>
      </w:r>
      <w:r>
        <w:rPr>
          <w:rFonts w:ascii="Cambria Math" w:hAnsi="Cambria Math"/>
          <w:spacing w:val="-10"/>
        </w:rPr>
        <w:t>∑</w:t>
      </w:r>
    </w:p>
    <w:p>
      <w:pPr>
        <w:tabs>
          <w:tab w:pos="2414" w:val="left" w:leader="none"/>
        </w:tabs>
        <w:spacing w:line="314" w:lineRule="exact" w:before="106"/>
        <w:ind w:left="11" w:right="0" w:firstLine="0"/>
        <w:jc w:val="left"/>
        <w:rPr>
          <w:sz w:val="20"/>
        </w:rPr>
      </w:pPr>
      <w:r>
        <w:rPr/>
        <w:br w:type="column"/>
      </w:r>
      <w:r>
        <w:rPr>
          <w:rFonts w:ascii="Cambria Math" w:hAnsi="Cambria Math"/>
          <w:position w:val="16"/>
          <w:sz w:val="20"/>
        </w:rPr>
        <w:t>−</w:t>
      </w:r>
      <w:r>
        <w:rPr>
          <w:rFonts w:ascii="Cambria Math" w:hAnsi="Cambria Math"/>
          <w:spacing w:val="1"/>
          <w:position w:val="16"/>
          <w:sz w:val="20"/>
        </w:rPr>
        <w:t> </w:t>
      </w:r>
      <w:r>
        <w:rPr>
          <w:rFonts w:ascii="Cambria Math" w:hAnsi="Cambria Math"/>
          <w:position w:val="16"/>
          <w:sz w:val="20"/>
        </w:rPr>
        <w:t>C</w:t>
      </w:r>
      <w:r>
        <w:rPr>
          <w:rFonts w:ascii="Cambria Math" w:hAnsi="Cambria Math"/>
          <w:position w:val="12"/>
          <w:sz w:val="14"/>
        </w:rPr>
        <w:t>t</w:t>
      </w:r>
      <w:r>
        <w:rPr>
          <w:rFonts w:ascii="Cambria Math" w:hAnsi="Cambria Math"/>
          <w:spacing w:val="51"/>
          <w:position w:val="12"/>
          <w:sz w:val="14"/>
        </w:rPr>
        <w:t> </w:t>
      </w:r>
      <w:r>
        <w:rPr>
          <w:rFonts w:ascii="Cambria Math" w:hAnsi="Cambria Math"/>
          <w:sz w:val="20"/>
        </w:rPr>
        <w:t>=</w:t>
      </w:r>
      <w:r>
        <w:rPr>
          <w:rFonts w:ascii="Cambria Math" w:hAnsi="Cambria Math"/>
          <w:spacing w:val="12"/>
          <w:sz w:val="20"/>
        </w:rPr>
        <w:t> </w:t>
      </w:r>
      <w:r>
        <w:rPr>
          <w:rFonts w:ascii="Cambria Math" w:hAnsi="Cambria Math"/>
          <w:spacing w:val="-10"/>
          <w:sz w:val="20"/>
        </w:rPr>
        <w:t>0</w:t>
      </w:r>
      <w:r>
        <w:rPr>
          <w:rFonts w:ascii="Cambria Math" w:hAnsi="Cambria Math"/>
          <w:sz w:val="20"/>
        </w:rPr>
        <w:tab/>
      </w:r>
      <w:r>
        <w:rPr>
          <w:spacing w:val="-5"/>
          <w:sz w:val="20"/>
        </w:rPr>
        <w:t>(2)</w:t>
      </w:r>
    </w:p>
    <w:p>
      <w:pPr>
        <w:pStyle w:val="BodyText"/>
        <w:ind w:left="518"/>
        <w:jc w:val="left"/>
      </w:pPr>
      <w:r>
        <w:rPr/>
        <w:br w:type="column"/>
      </w:r>
      <w:r>
        <w:rPr/>
        <w:t>purity</w:t>
      </w:r>
      <w:r>
        <w:rPr>
          <w:spacing w:val="39"/>
        </w:rPr>
        <w:t> </w:t>
      </w:r>
      <w:r>
        <w:rPr/>
        <w:t>is</w:t>
      </w:r>
      <w:r>
        <w:rPr>
          <w:spacing w:val="37"/>
        </w:rPr>
        <w:t> </w:t>
      </w:r>
      <w:r>
        <w:rPr/>
        <w:t>used</w:t>
      </w:r>
      <w:r>
        <w:rPr>
          <w:spacing w:val="39"/>
        </w:rPr>
        <w:t> </w:t>
      </w:r>
      <w:r>
        <w:rPr/>
        <w:t>as</w:t>
      </w:r>
      <w:r>
        <w:rPr>
          <w:spacing w:val="38"/>
        </w:rPr>
        <w:t> </w:t>
      </w:r>
      <w:r>
        <w:rPr/>
        <w:t>the</w:t>
      </w:r>
      <w:r>
        <w:rPr>
          <w:spacing w:val="38"/>
        </w:rPr>
        <w:t> </w:t>
      </w:r>
      <w:r>
        <w:rPr/>
        <w:t>main</w:t>
      </w:r>
      <w:r>
        <w:rPr>
          <w:spacing w:val="39"/>
        </w:rPr>
        <w:t> </w:t>
      </w:r>
      <w:r>
        <w:rPr/>
        <w:t>feedstock.</w:t>
      </w:r>
      <w:r>
        <w:rPr>
          <w:spacing w:val="38"/>
        </w:rPr>
        <w:t> </w:t>
      </w:r>
      <w:r>
        <w:rPr/>
        <w:t>Technical-grade formic</w:t>
      </w:r>
      <w:r>
        <w:rPr>
          <w:spacing w:val="-7"/>
        </w:rPr>
        <w:t> </w:t>
      </w:r>
      <w:r>
        <w:rPr/>
        <w:t>acid</w:t>
      </w:r>
      <w:r>
        <w:rPr>
          <w:spacing w:val="-9"/>
        </w:rPr>
        <w:t> </w:t>
      </w:r>
      <w:r>
        <w:rPr/>
        <w:t>(90%</w:t>
      </w:r>
      <w:r>
        <w:rPr>
          <w:spacing w:val="-8"/>
        </w:rPr>
        <w:t> </w:t>
      </w:r>
      <w:r>
        <w:rPr/>
        <w:t>purity)</w:t>
      </w:r>
      <w:r>
        <w:rPr>
          <w:spacing w:val="-6"/>
        </w:rPr>
        <w:t> </w:t>
      </w:r>
      <w:r>
        <w:rPr/>
        <w:t>and</w:t>
      </w:r>
      <w:r>
        <w:rPr>
          <w:spacing w:val="-9"/>
        </w:rPr>
        <w:t> </w:t>
      </w:r>
      <w:r>
        <w:rPr/>
        <w:t>hydrogen</w:t>
      </w:r>
      <w:r>
        <w:rPr>
          <w:spacing w:val="-8"/>
        </w:rPr>
        <w:t> </w:t>
      </w:r>
      <w:r>
        <w:rPr/>
        <w:t>peroxide</w:t>
      </w:r>
      <w:r>
        <w:rPr>
          <w:spacing w:val="-6"/>
        </w:rPr>
        <w:t> </w:t>
      </w:r>
      <w:r>
        <w:rPr>
          <w:spacing w:val="-2"/>
        </w:rPr>
        <w:t>solution</w:t>
      </w:r>
    </w:p>
    <w:p>
      <w:pPr>
        <w:pStyle w:val="BodyText"/>
        <w:spacing w:after="0"/>
        <w:jc w:val="left"/>
        <w:sectPr>
          <w:type w:val="continuous"/>
          <w:pgSz w:w="12240" w:h="15840"/>
          <w:pgMar w:header="851" w:footer="1027" w:top="640" w:bottom="1180" w:left="1080" w:right="1080"/>
          <w:cols w:num="3" w:equalWidth="0">
            <w:col w:w="2218" w:space="40"/>
            <w:col w:w="2649" w:space="39"/>
            <w:col w:w="5134"/>
          </w:cols>
        </w:sectPr>
      </w:pPr>
    </w:p>
    <w:p>
      <w:pPr>
        <w:spacing w:before="115"/>
        <w:ind w:left="0" w:right="0" w:firstLine="0"/>
        <w:jc w:val="right"/>
        <w:rPr>
          <w:rFonts w:ascii="Cambria Math"/>
          <w:sz w:val="14"/>
        </w:rPr>
      </w:pPr>
      <w:r>
        <w:rPr>
          <w:rFonts w:ascii="Cambria Math"/>
          <w:spacing w:val="-5"/>
          <w:w w:val="105"/>
          <w:sz w:val="14"/>
        </w:rPr>
        <w:t>t=1</w:t>
      </w:r>
    </w:p>
    <w:p>
      <w:pPr>
        <w:spacing w:line="169" w:lineRule="exact" w:before="115"/>
        <w:ind w:left="1150" w:right="0" w:firstLine="0"/>
        <w:jc w:val="left"/>
        <w:rPr>
          <w:rFonts w:ascii="Cambria Math"/>
          <w:sz w:val="20"/>
        </w:rPr>
      </w:pPr>
      <w:r>
        <w:rPr>
          <w:rFonts w:ascii="Cambria Math"/>
          <w:sz w:val="20"/>
        </w:rPr>
        <mc:AlternateContent>
          <mc:Choice Requires="wps">
            <w:drawing>
              <wp:anchor distT="0" distB="0" distL="0" distR="0" allowOverlap="1" layoutInCell="1" locked="0" behindDoc="0" simplePos="0" relativeHeight="15731712">
                <wp:simplePos x="0" y="0"/>
                <wp:positionH relativeFrom="page">
                  <wp:posOffset>1906777</wp:posOffset>
                </wp:positionH>
                <wp:positionV relativeFrom="paragraph">
                  <wp:posOffset>154471</wp:posOffset>
                </wp:positionV>
                <wp:extent cx="710565" cy="762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710565" cy="7620"/>
                        </a:xfrm>
                        <a:custGeom>
                          <a:avLst/>
                          <a:gdLst/>
                          <a:ahLst/>
                          <a:cxnLst/>
                          <a:rect l="l" t="t" r="r" b="b"/>
                          <a:pathLst>
                            <a:path w="710565" h="7620">
                              <a:moveTo>
                                <a:pt x="710488" y="0"/>
                              </a:moveTo>
                              <a:lnTo>
                                <a:pt x="0" y="0"/>
                              </a:lnTo>
                              <a:lnTo>
                                <a:pt x="0" y="7619"/>
                              </a:lnTo>
                              <a:lnTo>
                                <a:pt x="710488" y="7619"/>
                              </a:lnTo>
                              <a:lnTo>
                                <a:pt x="710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139999pt;margin-top:12.163073pt;width:55.944pt;height:.599980pt;mso-position-horizontal-relative:page;mso-position-vertical-relative:paragraph;z-index:15731712" id="docshape25" filled="true" fillcolor="#000000" stroked="false">
                <v:fill type="solid"/>
                <w10:wrap type="none"/>
              </v:rect>
            </w:pict>
          </mc:Fallback>
        </mc:AlternateContent>
      </w:r>
      <w:r>
        <w:rPr>
          <w:rFonts w:ascii="Cambria Math"/>
          <w:w w:val="105"/>
          <w:sz w:val="20"/>
        </w:rPr>
        <w:t>i</w:t>
      </w:r>
      <w:r>
        <w:rPr>
          <w:rFonts w:ascii="Cambria Math"/>
          <w:spacing w:val="-3"/>
          <w:w w:val="105"/>
          <w:sz w:val="20"/>
        </w:rPr>
        <w:t> </w:t>
      </w:r>
      <w:r>
        <w:rPr>
          <w:rFonts w:ascii="Cambria Math"/>
          <w:w w:val="105"/>
          <w:sz w:val="20"/>
        </w:rPr>
        <w:t>=</w:t>
      </w:r>
      <w:r>
        <w:rPr>
          <w:rFonts w:ascii="Cambria Math"/>
          <w:spacing w:val="-1"/>
          <w:w w:val="105"/>
          <w:sz w:val="20"/>
        </w:rPr>
        <w:t> </w:t>
      </w:r>
      <w:r>
        <w:rPr>
          <w:rFonts w:ascii="Cambria Math"/>
          <w:w w:val="105"/>
          <w:sz w:val="20"/>
        </w:rPr>
        <w:t>DF</w:t>
      </w:r>
      <w:r>
        <w:rPr>
          <w:rFonts w:ascii="Cambria Math"/>
          <w:w w:val="105"/>
          <w:position w:val="-3"/>
          <w:sz w:val="14"/>
        </w:rPr>
        <w:t>1 </w:t>
      </w:r>
      <w:r>
        <w:rPr>
          <w:rFonts w:ascii="Cambria Math"/>
          <w:spacing w:val="-10"/>
          <w:w w:val="105"/>
          <w:sz w:val="20"/>
        </w:rPr>
        <w:t>(</w:t>
      </w:r>
    </w:p>
    <w:p>
      <w:pPr>
        <w:pStyle w:val="BodyText"/>
        <w:spacing w:line="173" w:lineRule="exact"/>
        <w:ind w:left="6"/>
        <w:jc w:val="left"/>
        <w:rPr>
          <w:rFonts w:ascii="Cambria Math"/>
          <w:position w:val="1"/>
        </w:rPr>
      </w:pPr>
      <w:r>
        <w:rPr/>
        <w:br w:type="column"/>
      </w:r>
      <w:r>
        <w:rPr>
          <w:rFonts w:ascii="Cambria Math"/>
          <w:position w:val="1"/>
        </w:rPr>
        <w:t>(</w:t>
      </w:r>
      <w:r>
        <w:rPr>
          <w:rFonts w:ascii="Cambria Math"/>
        </w:rPr>
        <w:t>1</w:t>
      </w:r>
      <w:r>
        <w:rPr>
          <w:rFonts w:ascii="Cambria Math"/>
          <w:spacing w:val="1"/>
        </w:rPr>
        <w:t> </w:t>
      </w:r>
      <w:r>
        <w:rPr>
          <w:rFonts w:ascii="Cambria Math"/>
        </w:rPr>
        <w:t>+</w:t>
      </w:r>
      <w:r>
        <w:rPr>
          <w:rFonts w:ascii="Cambria Math"/>
          <w:spacing w:val="-4"/>
        </w:rPr>
        <w:t> </w:t>
      </w:r>
      <w:r>
        <w:rPr>
          <w:rFonts w:ascii="Cambria Math"/>
          <w:spacing w:val="-5"/>
        </w:rPr>
        <w:t>i</w:t>
      </w:r>
      <w:r>
        <w:rPr>
          <w:rFonts w:ascii="Cambria Math"/>
          <w:spacing w:val="-5"/>
          <w:position w:val="1"/>
        </w:rPr>
        <w:t>)</w:t>
      </w:r>
      <w:r>
        <w:rPr>
          <w:rFonts w:ascii="Cambria Math"/>
          <w:spacing w:val="-5"/>
          <w:position w:val="1"/>
          <w:vertAlign w:val="superscript"/>
        </w:rPr>
        <w:t>t</w:t>
      </w:r>
    </w:p>
    <w:p>
      <w:pPr>
        <w:spacing w:before="68"/>
        <w:ind w:left="249" w:right="0" w:firstLine="0"/>
        <w:jc w:val="left"/>
        <w:rPr>
          <w:rFonts w:ascii="Cambria Math"/>
          <w:position w:val="-3"/>
          <w:sz w:val="14"/>
        </w:rPr>
      </w:pPr>
      <w:r>
        <w:rPr>
          <w:rFonts w:ascii="Cambria Math"/>
          <w:spacing w:val="-9"/>
          <w:sz w:val="20"/>
        </w:rPr>
        <w:t>NPV</w:t>
      </w:r>
      <w:r>
        <w:rPr>
          <w:rFonts w:ascii="Cambria Math"/>
          <w:spacing w:val="-9"/>
          <w:position w:val="-3"/>
          <w:sz w:val="14"/>
        </w:rPr>
        <w:t>1</w:t>
      </w:r>
    </w:p>
    <w:p>
      <w:pPr>
        <w:spacing w:line="240" w:lineRule="auto" w:before="162"/>
        <w:rPr>
          <w:rFonts w:ascii="Cambria Math"/>
          <w:sz w:val="20"/>
        </w:rPr>
      </w:pPr>
      <w:r>
        <w:rPr/>
        <w:br w:type="column"/>
      </w:r>
      <w:r>
        <w:rPr>
          <w:rFonts w:ascii="Cambria Math"/>
          <w:sz w:val="20"/>
        </w:rPr>
      </w:r>
    </w:p>
    <w:p>
      <w:pPr>
        <w:pStyle w:val="BodyText"/>
        <w:tabs>
          <w:tab w:pos="1939" w:val="left" w:leader="none"/>
        </w:tabs>
        <w:spacing w:line="167" w:lineRule="exact"/>
        <w:ind w:left="309"/>
        <w:jc w:val="left"/>
      </w:pPr>
      <w:r>
        <w:rPr>
          <w:rFonts w:ascii="Cambria Math" w:hAnsi="Cambria Math"/>
          <w:position w:val="1"/>
        </w:rPr>
        <w:t>)</w:t>
      </w:r>
      <w:r>
        <w:rPr>
          <w:rFonts w:ascii="Cambria Math" w:hAnsi="Cambria Math"/>
          <w:spacing w:val="-6"/>
          <w:position w:val="1"/>
        </w:rPr>
        <w:t> </w:t>
      </w:r>
      <w:r>
        <w:rPr>
          <w:rFonts w:ascii="Cambria Math" w:hAnsi="Cambria Math"/>
          <w:position w:val="1"/>
        </w:rPr>
        <w:t>(DF</w:t>
      </w:r>
      <w:r>
        <w:rPr>
          <w:rFonts w:ascii="Cambria Math" w:hAnsi="Cambria Math"/>
          <w:position w:val="1"/>
          <w:vertAlign w:val="subscript"/>
        </w:rPr>
        <w:t>2</w:t>
      </w:r>
      <w:r>
        <w:rPr>
          <w:rFonts w:ascii="Cambria Math" w:hAnsi="Cambria Math"/>
          <w:spacing w:val="15"/>
          <w:position w:val="1"/>
          <w:vertAlign w:val="baseline"/>
        </w:rPr>
        <w:t> </w:t>
      </w:r>
      <w:r>
        <w:rPr>
          <w:rFonts w:ascii="Cambria Math" w:hAnsi="Cambria Math"/>
          <w:position w:val="1"/>
          <w:vertAlign w:val="baseline"/>
        </w:rPr>
        <w:t>−</w:t>
      </w:r>
      <w:r>
        <w:rPr>
          <w:rFonts w:ascii="Cambria Math" w:hAnsi="Cambria Math"/>
          <w:spacing w:val="8"/>
          <w:position w:val="1"/>
          <w:vertAlign w:val="baseline"/>
        </w:rPr>
        <w:t> </w:t>
      </w:r>
      <w:r>
        <w:rPr>
          <w:rFonts w:ascii="Cambria Math" w:hAnsi="Cambria Math"/>
          <w:spacing w:val="-4"/>
          <w:position w:val="1"/>
          <w:vertAlign w:val="baseline"/>
        </w:rPr>
        <w:t>DF</w:t>
      </w:r>
      <w:r>
        <w:rPr>
          <w:rFonts w:ascii="Cambria Math" w:hAnsi="Cambria Math"/>
          <w:spacing w:val="-4"/>
          <w:position w:val="1"/>
          <w:vertAlign w:val="subscript"/>
        </w:rPr>
        <w:t>1</w:t>
      </w:r>
      <w:r>
        <w:rPr>
          <w:rFonts w:ascii="Cambria Math" w:hAnsi="Cambria Math"/>
          <w:spacing w:val="-4"/>
          <w:position w:val="1"/>
          <w:vertAlign w:val="baseline"/>
        </w:rPr>
        <w:t>)</w:t>
      </w:r>
      <w:r>
        <w:rPr>
          <w:rFonts w:ascii="Cambria Math" w:hAnsi="Cambria Math"/>
          <w:position w:val="1"/>
          <w:vertAlign w:val="baseline"/>
        </w:rPr>
        <w:tab/>
      </w:r>
      <w:r>
        <w:rPr>
          <w:spacing w:val="-5"/>
          <w:vertAlign w:val="baseline"/>
        </w:rPr>
        <w:t>(3)</w:t>
      </w:r>
    </w:p>
    <w:p>
      <w:pPr>
        <w:pStyle w:val="BodyText"/>
        <w:spacing w:line="230" w:lineRule="exact"/>
        <w:ind w:left="518" w:right="47"/>
      </w:pPr>
      <w:r>
        <w:rPr/>
        <w:br w:type="column"/>
      </w:r>
      <w:r>
        <w:rPr/>
        <w:t>(50%</w:t>
      </w:r>
      <w:r>
        <w:rPr>
          <w:spacing w:val="-7"/>
        </w:rPr>
        <w:t> </w:t>
      </w:r>
      <w:r>
        <w:rPr/>
        <w:t>purity)</w:t>
      </w:r>
      <w:r>
        <w:rPr>
          <w:spacing w:val="-8"/>
        </w:rPr>
        <w:t> </w:t>
      </w:r>
      <w:r>
        <w:rPr/>
        <w:t>are</w:t>
      </w:r>
      <w:r>
        <w:rPr>
          <w:spacing w:val="-8"/>
        </w:rPr>
        <w:t> </w:t>
      </w:r>
      <w:r>
        <w:rPr/>
        <w:t>prepared</w:t>
      </w:r>
      <w:r>
        <w:rPr>
          <w:spacing w:val="-7"/>
        </w:rPr>
        <w:t> </w:t>
      </w:r>
      <w:r>
        <w:rPr/>
        <w:t>as</w:t>
      </w:r>
      <w:r>
        <w:rPr>
          <w:spacing w:val="-7"/>
        </w:rPr>
        <w:t> </w:t>
      </w:r>
      <w:r>
        <w:rPr/>
        <w:t>oxidizing</w:t>
      </w:r>
      <w:r>
        <w:rPr>
          <w:spacing w:val="-5"/>
        </w:rPr>
        <w:t> </w:t>
      </w:r>
      <w:r>
        <w:rPr/>
        <w:t>agents.</w:t>
      </w:r>
      <w:r>
        <w:rPr>
          <w:spacing w:val="-6"/>
        </w:rPr>
        <w:t> </w:t>
      </w:r>
      <w:r>
        <w:rPr/>
        <w:t>Oleic acid (epoxidized)</w:t>
      </w:r>
      <w:r>
        <w:rPr>
          <w:spacing w:val="-9"/>
        </w:rPr>
        <w:t> </w:t>
      </w:r>
      <w:r>
        <w:rPr/>
        <w:t>with</w:t>
      </w:r>
      <w:r>
        <w:rPr>
          <w:spacing w:val="-11"/>
        </w:rPr>
        <w:t> </w:t>
      </w:r>
      <w:r>
        <w:rPr/>
        <w:t>high</w:t>
      </w:r>
      <w:r>
        <w:rPr>
          <w:spacing w:val="-11"/>
        </w:rPr>
        <w:t> </w:t>
      </w:r>
      <w:r>
        <w:rPr/>
        <w:t>reactivity,</w:t>
      </w:r>
      <w:r>
        <w:rPr>
          <w:spacing w:val="-9"/>
        </w:rPr>
        <w:t> </w:t>
      </w:r>
      <w:r>
        <w:rPr/>
        <w:t>p-Toluenesulfonic</w:t>
      </w:r>
      <w:r>
        <w:rPr>
          <w:spacing w:val="-9"/>
        </w:rPr>
        <w:t> </w:t>
      </w:r>
      <w:r>
        <w:rPr/>
        <w:t>acid </w:t>
      </w:r>
      <w:r>
        <w:rPr>
          <w:spacing w:val="-2"/>
        </w:rPr>
        <w:t>(p-TSA,</w:t>
      </w:r>
      <w:r>
        <w:rPr>
          <w:spacing w:val="-7"/>
        </w:rPr>
        <w:t> </w:t>
      </w:r>
      <w:r>
        <w:rPr>
          <w:spacing w:val="-2"/>
        </w:rPr>
        <w:t>97%</w:t>
      </w:r>
      <w:r>
        <w:rPr>
          <w:spacing w:val="-7"/>
        </w:rPr>
        <w:t> </w:t>
      </w:r>
      <w:r>
        <w:rPr>
          <w:spacing w:val="-2"/>
        </w:rPr>
        <w:t>purity)</w:t>
      </w:r>
      <w:r>
        <w:rPr>
          <w:spacing w:val="-5"/>
        </w:rPr>
        <w:t> </w:t>
      </w:r>
      <w:r>
        <w:rPr>
          <w:spacing w:val="-2"/>
        </w:rPr>
        <w:t>as</w:t>
      </w:r>
      <w:r>
        <w:rPr>
          <w:spacing w:val="-7"/>
        </w:rPr>
        <w:t> </w:t>
      </w:r>
      <w:r>
        <w:rPr>
          <w:spacing w:val="-2"/>
        </w:rPr>
        <w:t>a</w:t>
      </w:r>
      <w:r>
        <w:rPr>
          <w:spacing w:val="-7"/>
        </w:rPr>
        <w:t> </w:t>
      </w:r>
      <w:r>
        <w:rPr>
          <w:spacing w:val="-2"/>
        </w:rPr>
        <w:t>catalyst,</w:t>
      </w:r>
      <w:r>
        <w:rPr>
          <w:spacing w:val="-6"/>
        </w:rPr>
        <w:t> </w:t>
      </w:r>
      <w:r>
        <w:rPr>
          <w:spacing w:val="-2"/>
        </w:rPr>
        <w:t>and</w:t>
      </w:r>
      <w:r>
        <w:rPr>
          <w:spacing w:val="-6"/>
        </w:rPr>
        <w:t> </w:t>
      </w:r>
      <w:r>
        <w:rPr>
          <w:spacing w:val="-2"/>
        </w:rPr>
        <w:t>other</w:t>
      </w:r>
      <w:r>
        <w:rPr>
          <w:spacing w:val="-5"/>
        </w:rPr>
        <w:t> </w:t>
      </w:r>
      <w:r>
        <w:rPr>
          <w:spacing w:val="-2"/>
        </w:rPr>
        <w:t>reagents</w:t>
      </w:r>
      <w:r>
        <w:rPr>
          <w:spacing w:val="-8"/>
        </w:rPr>
        <w:t> </w:t>
      </w:r>
      <w:r>
        <w:rPr>
          <w:spacing w:val="-4"/>
        </w:rPr>
        <w:t>such</w:t>
      </w:r>
    </w:p>
    <w:p>
      <w:pPr>
        <w:pStyle w:val="BodyText"/>
        <w:spacing w:after="0" w:line="230" w:lineRule="exact"/>
        <w:sectPr>
          <w:type w:val="continuous"/>
          <w:pgSz w:w="12240" w:h="15840"/>
          <w:pgMar w:header="851" w:footer="1027" w:top="640" w:bottom="1180" w:left="1080" w:right="1080"/>
          <w:cols w:num="4" w:equalWidth="0">
            <w:col w:w="1975" w:space="40"/>
            <w:col w:w="678" w:space="39"/>
            <w:col w:w="2174" w:space="40"/>
            <w:col w:w="5134"/>
          </w:cols>
        </w:sectPr>
      </w:pPr>
    </w:p>
    <w:p>
      <w:pPr>
        <w:spacing w:line="36" w:lineRule="auto" w:before="0"/>
        <w:ind w:left="15" w:right="0" w:firstLine="0"/>
        <w:jc w:val="center"/>
        <w:rPr>
          <w:rFonts w:ascii="Cambria Math" w:hAnsi="Cambria Math"/>
          <w:position w:val="-3"/>
          <w:sz w:val="14"/>
        </w:rPr>
      </w:pPr>
      <w:r>
        <w:rPr>
          <w:rFonts w:ascii="Cambria Math" w:hAnsi="Cambria Math"/>
          <w:sz w:val="20"/>
        </w:rPr>
        <w:t>NPV</w:t>
      </w:r>
      <w:r>
        <w:rPr>
          <w:rFonts w:ascii="Cambria Math" w:hAnsi="Cambria Math"/>
          <w:position w:val="-3"/>
          <w:sz w:val="14"/>
        </w:rPr>
        <w:t>1</w:t>
      </w:r>
      <w:r>
        <w:rPr>
          <w:rFonts w:ascii="Cambria Math" w:hAnsi="Cambria Math"/>
          <w:spacing w:val="8"/>
          <w:position w:val="-3"/>
          <w:sz w:val="14"/>
        </w:rPr>
        <w:t> </w:t>
      </w:r>
      <w:r>
        <w:rPr>
          <w:rFonts w:ascii="Cambria Math" w:hAnsi="Cambria Math"/>
          <w:sz w:val="20"/>
        </w:rPr>
        <w:t>−</w:t>
      </w:r>
      <w:r>
        <w:rPr>
          <w:rFonts w:ascii="Cambria Math" w:hAnsi="Cambria Math"/>
          <w:spacing w:val="-10"/>
          <w:sz w:val="20"/>
        </w:rPr>
        <w:t> </w:t>
      </w:r>
      <w:r>
        <w:rPr>
          <w:rFonts w:ascii="Cambria Math" w:hAnsi="Cambria Math"/>
          <w:spacing w:val="-4"/>
          <w:sz w:val="20"/>
        </w:rPr>
        <w:t>NPV</w:t>
      </w:r>
      <w:r>
        <w:rPr>
          <w:rFonts w:ascii="Cambria Math" w:hAnsi="Cambria Math"/>
          <w:spacing w:val="-4"/>
          <w:position w:val="-3"/>
          <w:sz w:val="14"/>
        </w:rPr>
        <w:t>2</w:t>
      </w:r>
    </w:p>
    <w:p>
      <w:pPr>
        <w:pStyle w:val="BodyText"/>
        <w:spacing w:line="235" w:lineRule="auto" w:before="190"/>
        <w:ind w:left="905" w:right="38"/>
        <w:rPr>
          <w:position w:val="2"/>
        </w:rPr>
      </w:pPr>
      <w:r>
        <w:rPr>
          <w:position w:val="2"/>
        </w:rPr>
        <w:t>where DF</w:t>
      </w:r>
      <w:r>
        <w:rPr>
          <w:sz w:val="13"/>
        </w:rPr>
        <w:t>1</w:t>
      </w:r>
      <w:r>
        <w:rPr>
          <w:spacing w:val="29"/>
          <w:sz w:val="13"/>
        </w:rPr>
        <w:t> </w:t>
      </w:r>
      <w:r>
        <w:rPr>
          <w:position w:val="2"/>
        </w:rPr>
        <w:t>is the discount factor that results in a positive NPV, DF</w:t>
      </w:r>
      <w:r>
        <w:rPr>
          <w:sz w:val="13"/>
        </w:rPr>
        <w:t>2</w:t>
      </w:r>
      <w:r>
        <w:rPr>
          <w:spacing w:val="40"/>
          <w:sz w:val="13"/>
        </w:rPr>
        <w:t> </w:t>
      </w:r>
      <w:r>
        <w:rPr>
          <w:position w:val="2"/>
        </w:rPr>
        <w:t>is the discount factor that results in a negative NPV, NPV</w:t>
      </w:r>
      <w:r>
        <w:rPr>
          <w:sz w:val="13"/>
        </w:rPr>
        <w:t>1</w:t>
      </w:r>
      <w:r>
        <w:rPr>
          <w:spacing w:val="40"/>
          <w:sz w:val="13"/>
        </w:rPr>
        <w:t> </w:t>
      </w:r>
      <w:r>
        <w:rPr>
          <w:position w:val="2"/>
        </w:rPr>
        <w:t>is the NPV at DF</w:t>
      </w:r>
      <w:r>
        <w:rPr>
          <w:sz w:val="13"/>
        </w:rPr>
        <w:t>1</w:t>
      </w:r>
      <w:r>
        <w:rPr>
          <w:position w:val="2"/>
        </w:rPr>
        <w:t>, and NPV</w:t>
      </w:r>
      <w:r>
        <w:rPr>
          <w:sz w:val="13"/>
        </w:rPr>
        <w:t>2</w:t>
      </w:r>
      <w:r>
        <w:rPr>
          <w:spacing w:val="37"/>
          <w:sz w:val="13"/>
        </w:rPr>
        <w:t> </w:t>
      </w:r>
      <w:r>
        <w:rPr>
          <w:position w:val="2"/>
        </w:rPr>
        <w:t>is the NPV at DF</w:t>
      </w:r>
      <w:r>
        <w:rPr>
          <w:sz w:val="13"/>
        </w:rPr>
        <w:t>2</w:t>
      </w:r>
      <w:r>
        <w:rPr>
          <w:position w:val="2"/>
        </w:rPr>
        <w:t>.</w:t>
      </w:r>
    </w:p>
    <w:p>
      <w:pPr>
        <w:pStyle w:val="ListParagraph"/>
        <w:numPr>
          <w:ilvl w:val="0"/>
          <w:numId w:val="4"/>
        </w:numPr>
        <w:tabs>
          <w:tab w:pos="905" w:val="left" w:leader="none"/>
        </w:tabs>
        <w:spacing w:line="240" w:lineRule="auto" w:before="225" w:after="0"/>
        <w:ind w:left="905" w:right="0" w:hanging="567"/>
        <w:jc w:val="left"/>
        <w:rPr>
          <w:sz w:val="20"/>
        </w:rPr>
      </w:pPr>
      <w:r>
        <w:rPr>
          <w:sz w:val="20"/>
        </w:rPr>
        <w:t>Return</w:t>
      </w:r>
      <w:r>
        <w:rPr>
          <w:spacing w:val="-5"/>
          <w:sz w:val="20"/>
        </w:rPr>
        <w:t> </w:t>
      </w:r>
      <w:r>
        <w:rPr>
          <w:sz w:val="20"/>
        </w:rPr>
        <w:t>On</w:t>
      </w:r>
      <w:r>
        <w:rPr>
          <w:spacing w:val="-5"/>
          <w:sz w:val="20"/>
        </w:rPr>
        <w:t> </w:t>
      </w:r>
      <w:r>
        <w:rPr>
          <w:sz w:val="20"/>
        </w:rPr>
        <w:t>Investment</w:t>
      </w:r>
      <w:r>
        <w:rPr>
          <w:spacing w:val="-6"/>
          <w:sz w:val="20"/>
        </w:rPr>
        <w:t> </w:t>
      </w:r>
      <w:r>
        <w:rPr>
          <w:spacing w:val="-4"/>
          <w:sz w:val="20"/>
        </w:rPr>
        <w:t>(ROI)</w:t>
      </w:r>
    </w:p>
    <w:p>
      <w:pPr>
        <w:pStyle w:val="BodyText"/>
        <w:spacing w:before="1"/>
        <w:ind w:right="51"/>
      </w:pPr>
      <w:r>
        <w:rPr/>
        <w:br w:type="column"/>
      </w:r>
      <w:r>
        <w:rPr/>
        <w:t>as technical-grade acetic acid (96%), LABSA (100% purity), calcium hydroxide (96% purity, pH 12.6), calcium carbonate (98% purity), and Butylated Hydroxytoluene (BHT, food-grade antioxidant) are also prepared and verified for specification compliance prior to the reaction steps. All reactions are conducted under ambient pressure.</w:t>
      </w:r>
    </w:p>
    <w:p>
      <w:pPr>
        <w:pStyle w:val="BodyText"/>
        <w:spacing w:after="0"/>
        <w:sectPr>
          <w:type w:val="continuous"/>
          <w:pgSz w:w="12240" w:h="15840"/>
          <w:pgMar w:header="851" w:footer="1027" w:top="640" w:bottom="1180" w:left="1080" w:right="1080"/>
          <w:cols w:num="2" w:equalWidth="0">
            <w:col w:w="4941" w:space="184"/>
            <w:col w:w="4955"/>
          </w:cols>
        </w:sectPr>
      </w:pPr>
    </w:p>
    <w:p>
      <w:pPr>
        <w:pStyle w:val="BodyText"/>
        <w:spacing w:before="219"/>
        <w:ind w:left="0"/>
        <w:jc w:val="left"/>
      </w:pPr>
    </w:p>
    <w:p>
      <w:pPr>
        <w:pStyle w:val="BodyText"/>
        <w:spacing w:after="0"/>
        <w:jc w:val="left"/>
        <w:sectPr>
          <w:pgSz w:w="12240" w:h="15840"/>
          <w:pgMar w:header="851" w:footer="1027" w:top="1160" w:bottom="1220" w:left="1080" w:right="1080"/>
        </w:sectPr>
      </w:pPr>
    </w:p>
    <w:p>
      <w:pPr>
        <w:pStyle w:val="BodyText"/>
        <w:spacing w:before="91"/>
        <w:ind w:right="41" w:firstLine="566"/>
      </w:pPr>
      <w:r>
        <w:rPr/>
        <w:t>The bio grease manufacturing process involves a series of batch-operated equipment units specifically designed for pilot-scale production. The process begins with the epoxidation reactor, which consists of a stainless-steel vessel equipped with a gear motor, motor coupling joint connectors, insert bearing shaft supports, and a turbine-type agitator. Heat control during the exothermic reaction is managed using a 16 mm x 6 m helical tube heat exchanger, integrated externally. The reactor operates under ambient pressure and maintains a temperature range of 50-60°C for approximately 4.5 hours. A booster pump is used for circulation, and raw materials are initially prepared in an HDPE feed tank connected to the system.</w:t>
      </w:r>
    </w:p>
    <w:p>
      <w:pPr>
        <w:pStyle w:val="BodyText"/>
        <w:ind w:right="42" w:firstLine="566"/>
      </w:pPr>
      <w:r>
        <w:rPr/>
        <w:t>In the epoxidation process (Ju et al., 2020), palm oil reacts with peracid to form epoxide groups at the </w:t>
      </w:r>
      <w:r>
        <w:rPr>
          <w:spacing w:val="-2"/>
        </w:rPr>
        <w:t>double</w:t>
      </w:r>
      <w:r>
        <w:rPr>
          <w:spacing w:val="-9"/>
        </w:rPr>
        <w:t> </w:t>
      </w:r>
      <w:r>
        <w:rPr>
          <w:spacing w:val="-2"/>
        </w:rPr>
        <w:t>bonds</w:t>
      </w:r>
      <w:r>
        <w:rPr>
          <w:spacing w:val="-8"/>
        </w:rPr>
        <w:t> </w:t>
      </w:r>
      <w:r>
        <w:rPr>
          <w:spacing w:val="-2"/>
        </w:rPr>
        <w:t>of</w:t>
      </w:r>
      <w:r>
        <w:rPr>
          <w:spacing w:val="-5"/>
        </w:rPr>
        <w:t> </w:t>
      </w:r>
      <w:r>
        <w:rPr>
          <w:spacing w:val="-2"/>
        </w:rPr>
        <w:t>fatty</w:t>
      </w:r>
      <w:r>
        <w:rPr>
          <w:spacing w:val="-5"/>
        </w:rPr>
        <w:t> </w:t>
      </w:r>
      <w:r>
        <w:rPr>
          <w:spacing w:val="-2"/>
        </w:rPr>
        <w:t>acids.</w:t>
      </w:r>
      <w:r>
        <w:rPr>
          <w:spacing w:val="-3"/>
        </w:rPr>
        <w:t> </w:t>
      </w:r>
      <w:r>
        <w:rPr>
          <w:spacing w:val="-2"/>
        </w:rPr>
        <w:t>The</w:t>
      </w:r>
      <w:r>
        <w:rPr>
          <w:spacing w:val="-7"/>
        </w:rPr>
        <w:t> </w:t>
      </w:r>
      <w:r>
        <w:rPr>
          <w:spacing w:val="-2"/>
        </w:rPr>
        <w:t>raw</w:t>
      </w:r>
      <w:r>
        <w:rPr>
          <w:spacing w:val="-7"/>
        </w:rPr>
        <w:t> </w:t>
      </w:r>
      <w:r>
        <w:rPr>
          <w:spacing w:val="-2"/>
        </w:rPr>
        <w:t>material</w:t>
      </w:r>
      <w:r>
        <w:rPr>
          <w:spacing w:val="-7"/>
        </w:rPr>
        <w:t> </w:t>
      </w:r>
      <w:r>
        <w:rPr>
          <w:spacing w:val="-2"/>
        </w:rPr>
        <w:t>ratio</w:t>
      </w:r>
      <w:r>
        <w:rPr>
          <w:spacing w:val="-5"/>
        </w:rPr>
        <w:t> </w:t>
      </w:r>
      <w:r>
        <w:rPr>
          <w:spacing w:val="-2"/>
        </w:rPr>
        <w:t>is</w:t>
      </w:r>
      <w:r>
        <w:rPr>
          <w:spacing w:val="-8"/>
        </w:rPr>
        <w:t> </w:t>
      </w:r>
      <w:r>
        <w:rPr>
          <w:spacing w:val="-2"/>
        </w:rPr>
        <w:t>palm </w:t>
      </w:r>
      <w:r>
        <w:rPr/>
        <w:t>oil,</w:t>
      </w:r>
      <w:r>
        <w:rPr>
          <w:spacing w:val="-13"/>
        </w:rPr>
        <w:t> </w:t>
      </w:r>
      <w:r>
        <w:rPr/>
        <w:t>formic</w:t>
      </w:r>
      <w:r>
        <w:rPr>
          <w:spacing w:val="-12"/>
        </w:rPr>
        <w:t> </w:t>
      </w:r>
      <w:r>
        <w:rPr/>
        <w:t>acid,</w:t>
      </w:r>
      <w:r>
        <w:rPr>
          <w:spacing w:val="-13"/>
        </w:rPr>
        <w:t> </w:t>
      </w:r>
      <w:r>
        <w:rPr/>
        <w:t>and</w:t>
      </w:r>
      <w:r>
        <w:rPr>
          <w:spacing w:val="-12"/>
        </w:rPr>
        <w:t> </w:t>
      </w:r>
      <w:r>
        <w:rPr/>
        <w:t>hydrogen</w:t>
      </w:r>
      <w:r>
        <w:rPr>
          <w:spacing w:val="-13"/>
        </w:rPr>
        <w:t> </w:t>
      </w:r>
      <w:r>
        <w:rPr/>
        <w:t>peroxide</w:t>
      </w:r>
      <w:r>
        <w:rPr>
          <w:spacing w:val="-12"/>
        </w:rPr>
        <w:t> </w:t>
      </w:r>
      <w:r>
        <w:rPr/>
        <w:t>in</w:t>
      </w:r>
      <w:r>
        <w:rPr>
          <w:spacing w:val="-13"/>
        </w:rPr>
        <w:t> </w:t>
      </w:r>
      <w:r>
        <w:rPr/>
        <w:t>a</w:t>
      </w:r>
      <w:r>
        <w:rPr>
          <w:spacing w:val="-12"/>
        </w:rPr>
        <w:t> </w:t>
      </w:r>
      <w:r>
        <w:rPr/>
        <w:t>1:3.6:3</w:t>
      </w:r>
      <w:r>
        <w:rPr>
          <w:spacing w:val="-13"/>
        </w:rPr>
        <w:t> </w:t>
      </w:r>
      <w:r>
        <w:rPr/>
        <w:t>molar ratio (Sukirno &amp; Fajar, 2024). The reaction proceeds for approximately 4.5</w:t>
      </w:r>
      <w:r>
        <w:rPr>
          <w:spacing w:val="-2"/>
        </w:rPr>
        <w:t> </w:t>
      </w:r>
      <w:r>
        <w:rPr/>
        <w:t>hours, using external water cooling to manage exothermic heat in the reactor. The product is epoxidized</w:t>
      </w:r>
      <w:r>
        <w:rPr>
          <w:spacing w:val="-6"/>
        </w:rPr>
        <w:t> </w:t>
      </w:r>
      <w:r>
        <w:rPr/>
        <w:t>palm</w:t>
      </w:r>
      <w:r>
        <w:rPr>
          <w:spacing w:val="-6"/>
        </w:rPr>
        <w:t> </w:t>
      </w:r>
      <w:r>
        <w:rPr/>
        <w:t>oil,</w:t>
      </w:r>
      <w:r>
        <w:rPr>
          <w:spacing w:val="-6"/>
        </w:rPr>
        <w:t> </w:t>
      </w:r>
      <w:r>
        <w:rPr/>
        <w:t>a</w:t>
      </w:r>
      <w:r>
        <w:rPr>
          <w:spacing w:val="-6"/>
        </w:rPr>
        <w:t> </w:t>
      </w:r>
      <w:r>
        <w:rPr/>
        <w:t>functional</w:t>
      </w:r>
      <w:r>
        <w:rPr>
          <w:spacing w:val="-6"/>
        </w:rPr>
        <w:t> </w:t>
      </w:r>
      <w:r>
        <w:rPr/>
        <w:t>intermediate</w:t>
      </w:r>
      <w:r>
        <w:rPr>
          <w:spacing w:val="-6"/>
        </w:rPr>
        <w:t> </w:t>
      </w:r>
      <w:r>
        <w:rPr/>
        <w:t>for</w:t>
      </w:r>
      <w:r>
        <w:rPr>
          <w:spacing w:val="-7"/>
        </w:rPr>
        <w:t> </w:t>
      </w:r>
      <w:r>
        <w:rPr/>
        <w:t>further </w:t>
      </w:r>
      <w:r>
        <w:rPr>
          <w:spacing w:val="-2"/>
        </w:rPr>
        <w:t>reactions.</w:t>
      </w:r>
    </w:p>
    <w:p>
      <w:pPr>
        <w:pStyle w:val="BodyText"/>
        <w:spacing w:before="1"/>
        <w:ind w:right="45" w:firstLine="566"/>
      </w:pPr>
      <w:r>
        <w:rPr/>
        <w:t>Following epoxidation, the product is transferred to the esterification reactor, which is structurally similar to the epoxidation unit but includes additional heating components,</w:t>
      </w:r>
      <w:r>
        <w:rPr>
          <w:spacing w:val="-1"/>
        </w:rPr>
        <w:t> </w:t>
      </w:r>
      <w:r>
        <w:rPr/>
        <w:t>such as</w:t>
      </w:r>
      <w:r>
        <w:rPr>
          <w:spacing w:val="-2"/>
        </w:rPr>
        <w:t> </w:t>
      </w:r>
      <w:r>
        <w:rPr/>
        <w:t>a</w:t>
      </w:r>
      <w:r>
        <w:rPr>
          <w:spacing w:val="-1"/>
        </w:rPr>
        <w:t> </w:t>
      </w:r>
      <w:r>
        <w:rPr/>
        <w:t>tubular</w:t>
      </w:r>
      <w:r>
        <w:rPr>
          <w:spacing w:val="-3"/>
        </w:rPr>
        <w:t> </w:t>
      </w:r>
      <w:r>
        <w:rPr/>
        <w:t>heater,</w:t>
      </w:r>
      <w:r>
        <w:rPr>
          <w:spacing w:val="-1"/>
        </w:rPr>
        <w:t> </w:t>
      </w:r>
      <w:r>
        <w:rPr/>
        <w:t>thermocouple,</w:t>
      </w:r>
      <w:r>
        <w:rPr>
          <w:spacing w:val="-3"/>
        </w:rPr>
        <w:t> </w:t>
      </w:r>
      <w:r>
        <w:rPr/>
        <w:t>and temperature controller to achieve higher temperatures between</w:t>
      </w:r>
      <w:r>
        <w:rPr>
          <w:spacing w:val="-6"/>
        </w:rPr>
        <w:t> </w:t>
      </w:r>
      <w:r>
        <w:rPr/>
        <w:t>100–120°C.</w:t>
      </w:r>
      <w:r>
        <w:rPr>
          <w:spacing w:val="-7"/>
        </w:rPr>
        <w:t> </w:t>
      </w:r>
      <w:r>
        <w:rPr/>
        <w:t>This</w:t>
      </w:r>
      <w:r>
        <w:rPr>
          <w:spacing w:val="-8"/>
        </w:rPr>
        <w:t> </w:t>
      </w:r>
      <w:r>
        <w:rPr/>
        <w:t>reactor</w:t>
      </w:r>
      <w:r>
        <w:rPr>
          <w:spacing w:val="-7"/>
        </w:rPr>
        <w:t> </w:t>
      </w:r>
      <w:r>
        <w:rPr/>
        <w:t>is</w:t>
      </w:r>
      <w:r>
        <w:rPr>
          <w:spacing w:val="-8"/>
        </w:rPr>
        <w:t> </w:t>
      </w:r>
      <w:r>
        <w:rPr/>
        <w:t>also</w:t>
      </w:r>
      <w:r>
        <w:rPr>
          <w:spacing w:val="-7"/>
        </w:rPr>
        <w:t> </w:t>
      </w:r>
      <w:r>
        <w:rPr/>
        <w:t>equipped</w:t>
      </w:r>
      <w:r>
        <w:rPr>
          <w:spacing w:val="-6"/>
        </w:rPr>
        <w:t> </w:t>
      </w:r>
      <w:r>
        <w:rPr/>
        <w:t>with</w:t>
      </w:r>
      <w:r>
        <w:rPr>
          <w:spacing w:val="-7"/>
        </w:rPr>
        <w:t> </w:t>
      </w:r>
      <w:r>
        <w:rPr/>
        <w:t>a gear motor with speed control and a turbine agitator to ensure uniform mixing. The esterification reaction typically lasts about five hours under atmospheric </w:t>
      </w:r>
      <w:r>
        <w:rPr>
          <w:spacing w:val="-2"/>
        </w:rPr>
        <w:t>pressure.</w:t>
      </w:r>
    </w:p>
    <w:p>
      <w:pPr>
        <w:pStyle w:val="BodyText"/>
        <w:ind w:right="41" w:firstLine="566"/>
      </w:pPr>
      <w:r>
        <w:rPr/>
        <w:t>Several HDPE holding tanks are integrated between</w:t>
      </w:r>
      <w:r>
        <w:rPr>
          <w:spacing w:val="-13"/>
        </w:rPr>
        <w:t> </w:t>
      </w:r>
      <w:r>
        <w:rPr/>
        <w:t>major</w:t>
      </w:r>
      <w:r>
        <w:rPr>
          <w:spacing w:val="-12"/>
        </w:rPr>
        <w:t> </w:t>
      </w:r>
      <w:r>
        <w:rPr/>
        <w:t>process</w:t>
      </w:r>
      <w:r>
        <w:rPr>
          <w:spacing w:val="-13"/>
        </w:rPr>
        <w:t> </w:t>
      </w:r>
      <w:r>
        <w:rPr/>
        <w:t>steps</w:t>
      </w:r>
      <w:r>
        <w:rPr>
          <w:spacing w:val="-12"/>
        </w:rPr>
        <w:t> </w:t>
      </w:r>
      <w:r>
        <w:rPr/>
        <w:t>(labeled</w:t>
      </w:r>
      <w:r>
        <w:rPr>
          <w:spacing w:val="-13"/>
        </w:rPr>
        <w:t> </w:t>
      </w:r>
      <w:r>
        <w:rPr/>
        <w:t>as</w:t>
      </w:r>
      <w:r>
        <w:rPr>
          <w:spacing w:val="-12"/>
        </w:rPr>
        <w:t> </w:t>
      </w:r>
      <w:r>
        <w:rPr/>
        <w:t>Tanks</w:t>
      </w:r>
      <w:r>
        <w:rPr>
          <w:spacing w:val="-13"/>
        </w:rPr>
        <w:t> </w:t>
      </w:r>
      <w:r>
        <w:rPr/>
        <w:t>1,</w:t>
      </w:r>
      <w:r>
        <w:rPr>
          <w:spacing w:val="-12"/>
        </w:rPr>
        <w:t> </w:t>
      </w:r>
      <w:r>
        <w:rPr/>
        <w:t>2,</w:t>
      </w:r>
      <w:r>
        <w:rPr>
          <w:spacing w:val="-13"/>
        </w:rPr>
        <w:t> </w:t>
      </w:r>
      <w:r>
        <w:rPr/>
        <w:t>3,</w:t>
      </w:r>
      <w:r>
        <w:rPr>
          <w:spacing w:val="-12"/>
        </w:rPr>
        <w:t> </w:t>
      </w:r>
      <w:r>
        <w:rPr/>
        <w:t>and 4), each fitted with ball valves for material flow control. These tanks are used for intermediate product storage, settling, or washing processes as needed.</w:t>
      </w:r>
    </w:p>
    <w:p>
      <w:pPr>
        <w:pStyle w:val="BodyText"/>
        <w:ind w:right="40" w:firstLine="566"/>
      </w:pPr>
      <w:r>
        <w:rPr/>
        <w:t>The estolide is then reacted with two thickening agents: Complex Calcium Oleate (Ca-Oleate) and Over based Calcium Sulfonate (Ca-Sulfonate). The base oil to thickener</w:t>
      </w:r>
      <w:r>
        <w:rPr>
          <w:spacing w:val="-11"/>
        </w:rPr>
        <w:t> </w:t>
      </w:r>
      <w:r>
        <w:rPr/>
        <w:t>ratio</w:t>
      </w:r>
      <w:r>
        <w:rPr>
          <w:spacing w:val="-11"/>
        </w:rPr>
        <w:t> </w:t>
      </w:r>
      <w:r>
        <w:rPr/>
        <w:t>is</w:t>
      </w:r>
      <w:r>
        <w:rPr>
          <w:spacing w:val="-13"/>
        </w:rPr>
        <w:t> </w:t>
      </w:r>
      <w:r>
        <w:rPr/>
        <w:t>75:25,</w:t>
      </w:r>
      <w:r>
        <w:rPr>
          <w:spacing w:val="-11"/>
        </w:rPr>
        <w:t> </w:t>
      </w:r>
      <w:r>
        <w:rPr/>
        <w:t>while</w:t>
      </w:r>
      <w:r>
        <w:rPr>
          <w:spacing w:val="-12"/>
        </w:rPr>
        <w:t> </w:t>
      </w:r>
      <w:r>
        <w:rPr/>
        <w:t>the</w:t>
      </w:r>
      <w:r>
        <w:rPr>
          <w:spacing w:val="-12"/>
        </w:rPr>
        <w:t> </w:t>
      </w:r>
      <w:r>
        <w:rPr/>
        <w:t>thickener</w:t>
      </w:r>
      <w:r>
        <w:rPr>
          <w:spacing w:val="-11"/>
        </w:rPr>
        <w:t> </w:t>
      </w:r>
      <w:r>
        <w:rPr/>
        <w:t>ratio</w:t>
      </w:r>
      <w:r>
        <w:rPr>
          <w:spacing w:val="-11"/>
        </w:rPr>
        <w:t> </w:t>
      </w:r>
      <w:r>
        <w:rPr/>
        <w:t>between Ca-Sulfonate and Ca-Oleate Complex is 10:90. According to Povkha et al. (2015), grease typically consists of 80-90% base oil and 10–20% thickening agent, with variations depending on the specific formulation and application.</w:t>
      </w:r>
    </w:p>
    <w:p>
      <w:pPr>
        <w:pStyle w:val="BodyText"/>
        <w:ind w:right="38" w:firstLine="566"/>
      </w:pPr>
      <w:r>
        <w:rPr/>
        <w:t>For</w:t>
      </w:r>
      <w:r>
        <w:rPr>
          <w:spacing w:val="-3"/>
        </w:rPr>
        <w:t> </w:t>
      </w:r>
      <w:r>
        <w:rPr/>
        <w:t>saponification,</w:t>
      </w:r>
      <w:r>
        <w:rPr>
          <w:spacing w:val="-5"/>
        </w:rPr>
        <w:t> </w:t>
      </w:r>
      <w:r>
        <w:rPr/>
        <w:t>a</w:t>
      </w:r>
      <w:r>
        <w:rPr>
          <w:spacing w:val="-3"/>
        </w:rPr>
        <w:t> </w:t>
      </w:r>
      <w:r>
        <w:rPr/>
        <w:t>separate</w:t>
      </w:r>
      <w:r>
        <w:rPr>
          <w:spacing w:val="-5"/>
        </w:rPr>
        <w:t> </w:t>
      </w:r>
      <w:r>
        <w:rPr/>
        <w:t>stainless</w:t>
      </w:r>
      <w:r>
        <w:rPr>
          <w:spacing w:val="-3"/>
        </w:rPr>
        <w:t> </w:t>
      </w:r>
      <w:r>
        <w:rPr/>
        <w:t>steel</w:t>
      </w:r>
      <w:r>
        <w:rPr>
          <w:spacing w:val="-3"/>
        </w:rPr>
        <w:t> </w:t>
      </w:r>
      <w:r>
        <w:rPr/>
        <w:t>batch reactor is employed, specifically built for alkaline reactions. It is equipped with multiple motors and speed controllers to drive both turbine and anchor-type agitators, ensuring proper mixing of viscous soap- forming components. The reactor includes integrated heaters, thermocouples, a temperature</w:t>
      </w:r>
      <w:r>
        <w:rPr>
          <w:spacing w:val="-1"/>
        </w:rPr>
        <w:t> </w:t>
      </w:r>
      <w:r>
        <w:rPr/>
        <w:t>control panel, and a</w:t>
      </w:r>
      <w:r>
        <w:rPr>
          <w:spacing w:val="12"/>
        </w:rPr>
        <w:t> </w:t>
      </w:r>
      <w:r>
        <w:rPr/>
        <w:t>dedicated</w:t>
      </w:r>
      <w:r>
        <w:rPr>
          <w:spacing w:val="13"/>
        </w:rPr>
        <w:t> </w:t>
      </w:r>
      <w:r>
        <w:rPr/>
        <w:t>control</w:t>
      </w:r>
      <w:r>
        <w:rPr>
          <w:spacing w:val="12"/>
        </w:rPr>
        <w:t> </w:t>
      </w:r>
      <w:r>
        <w:rPr/>
        <w:t>box.</w:t>
      </w:r>
      <w:r>
        <w:rPr>
          <w:spacing w:val="13"/>
        </w:rPr>
        <w:t> </w:t>
      </w:r>
      <w:r>
        <w:rPr/>
        <w:t>The</w:t>
      </w:r>
      <w:r>
        <w:rPr>
          <w:spacing w:val="10"/>
        </w:rPr>
        <w:t> </w:t>
      </w:r>
      <w:r>
        <w:rPr/>
        <w:t>reaction</w:t>
      </w:r>
      <w:r>
        <w:rPr>
          <w:spacing w:val="13"/>
        </w:rPr>
        <w:t> </w:t>
      </w:r>
      <w:r>
        <w:rPr/>
        <w:t>typically</w:t>
      </w:r>
      <w:r>
        <w:rPr>
          <w:spacing w:val="14"/>
        </w:rPr>
        <w:t> </w:t>
      </w:r>
      <w:r>
        <w:rPr>
          <w:spacing w:val="-2"/>
        </w:rPr>
        <w:t>operates</w:t>
      </w:r>
    </w:p>
    <w:p>
      <w:pPr>
        <w:pStyle w:val="BodyText"/>
        <w:spacing w:before="91"/>
        <w:ind w:right="54"/>
      </w:pPr>
      <w:r>
        <w:rPr/>
        <w:br w:type="column"/>
      </w:r>
      <w:r>
        <w:rPr/>
        <w:t>at</w:t>
      </w:r>
      <w:r>
        <w:rPr>
          <w:spacing w:val="-5"/>
        </w:rPr>
        <w:t> </w:t>
      </w:r>
      <w:r>
        <w:rPr/>
        <w:t>70–90°C</w:t>
      </w:r>
      <w:r>
        <w:rPr>
          <w:spacing w:val="-7"/>
        </w:rPr>
        <w:t> </w:t>
      </w:r>
      <w:r>
        <w:rPr/>
        <w:t>and</w:t>
      </w:r>
      <w:r>
        <w:rPr>
          <w:spacing w:val="-4"/>
        </w:rPr>
        <w:t> </w:t>
      </w:r>
      <w:r>
        <w:rPr/>
        <w:t>lasts</w:t>
      </w:r>
      <w:r>
        <w:rPr>
          <w:spacing w:val="-6"/>
        </w:rPr>
        <w:t> </w:t>
      </w:r>
      <w:r>
        <w:rPr/>
        <w:t>for</w:t>
      </w:r>
      <w:r>
        <w:rPr>
          <w:spacing w:val="-7"/>
        </w:rPr>
        <w:t> </w:t>
      </w:r>
      <w:r>
        <w:rPr/>
        <w:t>about</w:t>
      </w:r>
      <w:r>
        <w:rPr>
          <w:spacing w:val="-7"/>
        </w:rPr>
        <w:t> </w:t>
      </w:r>
      <w:r>
        <w:rPr/>
        <w:t>three</w:t>
      </w:r>
      <w:r>
        <w:rPr>
          <w:spacing w:val="-7"/>
        </w:rPr>
        <w:t> </w:t>
      </w:r>
      <w:r>
        <w:rPr/>
        <w:t>hours</w:t>
      </w:r>
      <w:r>
        <w:rPr>
          <w:spacing w:val="-7"/>
        </w:rPr>
        <w:t> </w:t>
      </w:r>
      <w:r>
        <w:rPr/>
        <w:t>under</w:t>
      </w:r>
      <w:r>
        <w:rPr>
          <w:spacing w:val="-6"/>
        </w:rPr>
        <w:t> </w:t>
      </w:r>
      <w:r>
        <w:rPr/>
        <w:t>ambient </w:t>
      </w:r>
      <w:r>
        <w:rPr>
          <w:spacing w:val="-2"/>
        </w:rPr>
        <w:t>pressure.</w:t>
      </w:r>
    </w:p>
    <w:p>
      <w:pPr>
        <w:pStyle w:val="BodyText"/>
        <w:ind w:right="53" w:firstLine="566"/>
      </w:pPr>
      <w:r>
        <w:rPr/>
        <w:t>The final stage involves a cooling and homogenization batch reactor, which has a similar configuration</w:t>
      </w:r>
      <w:r>
        <w:rPr>
          <w:spacing w:val="-7"/>
        </w:rPr>
        <w:t> </w:t>
      </w:r>
      <w:r>
        <w:rPr/>
        <w:t>to</w:t>
      </w:r>
      <w:r>
        <w:rPr>
          <w:spacing w:val="-5"/>
        </w:rPr>
        <w:t> </w:t>
      </w:r>
      <w:r>
        <w:rPr/>
        <w:t>the</w:t>
      </w:r>
      <w:r>
        <w:rPr>
          <w:spacing w:val="-6"/>
        </w:rPr>
        <w:t> </w:t>
      </w:r>
      <w:r>
        <w:rPr/>
        <w:t>saponification</w:t>
      </w:r>
      <w:r>
        <w:rPr>
          <w:spacing w:val="-5"/>
        </w:rPr>
        <w:t> </w:t>
      </w:r>
      <w:r>
        <w:rPr/>
        <w:t>unit.</w:t>
      </w:r>
      <w:r>
        <w:rPr>
          <w:spacing w:val="-6"/>
        </w:rPr>
        <w:t> </w:t>
      </w:r>
      <w:r>
        <w:rPr/>
        <w:t>It</w:t>
      </w:r>
      <w:r>
        <w:rPr>
          <w:spacing w:val="-9"/>
        </w:rPr>
        <w:t> </w:t>
      </w:r>
      <w:r>
        <w:rPr/>
        <w:t>is</w:t>
      </w:r>
      <w:r>
        <w:rPr>
          <w:spacing w:val="-7"/>
        </w:rPr>
        <w:t> </w:t>
      </w:r>
      <w:r>
        <w:rPr/>
        <w:t>designed</w:t>
      </w:r>
      <w:r>
        <w:rPr>
          <w:spacing w:val="-7"/>
        </w:rPr>
        <w:t> </w:t>
      </w:r>
      <w:r>
        <w:rPr/>
        <w:t>for post-reaction blending and viscosity adjustment. This unit also includes multiple agitation systems and temperature controllers to ensure uniform consistency throughout the bio grease matrix. Cooling is carried out naturally or via external water circulation.</w:t>
      </w:r>
    </w:p>
    <w:p>
      <w:pPr>
        <w:pStyle w:val="BodyText"/>
        <w:ind w:right="50" w:firstLine="566"/>
      </w:pPr>
      <w:r>
        <w:rPr/>
        <w:t>Altogether,</w:t>
      </w:r>
      <w:r>
        <w:rPr>
          <w:spacing w:val="-6"/>
        </w:rPr>
        <w:t> </w:t>
      </w:r>
      <w:r>
        <w:rPr/>
        <w:t>the</w:t>
      </w:r>
      <w:r>
        <w:rPr>
          <w:spacing w:val="-7"/>
        </w:rPr>
        <w:t> </w:t>
      </w:r>
      <w:r>
        <w:rPr/>
        <w:t>production</w:t>
      </w:r>
      <w:r>
        <w:rPr>
          <w:spacing w:val="-5"/>
        </w:rPr>
        <w:t> </w:t>
      </w:r>
      <w:r>
        <w:rPr/>
        <w:t>system</w:t>
      </w:r>
      <w:r>
        <w:rPr>
          <w:spacing w:val="-5"/>
        </w:rPr>
        <w:t> </w:t>
      </w:r>
      <w:r>
        <w:rPr/>
        <w:t>is</w:t>
      </w:r>
      <w:r>
        <w:rPr>
          <w:spacing w:val="-6"/>
        </w:rPr>
        <w:t> </w:t>
      </w:r>
      <w:r>
        <w:rPr/>
        <w:t>arranged</w:t>
      </w:r>
      <w:r>
        <w:rPr>
          <w:spacing w:val="-5"/>
        </w:rPr>
        <w:t> </w:t>
      </w:r>
      <w:r>
        <w:rPr/>
        <w:t>in</w:t>
      </w:r>
      <w:r>
        <w:rPr>
          <w:spacing w:val="-7"/>
        </w:rPr>
        <w:t> </w:t>
      </w:r>
      <w:r>
        <w:rPr/>
        <w:t>a semi-continuous, serial layout, with each unit operating batch-wise but coordinated throughout the day to maintain efficient workflow. The equipment design ensures scalability, ease of control, and suitability for small-to-medium enterprises (SMEs) or pilot production </w:t>
      </w:r>
      <w:r>
        <w:rPr>
          <w:spacing w:val="-2"/>
        </w:rPr>
        <w:t>environments.</w:t>
      </w:r>
    </w:p>
    <w:p>
      <w:pPr>
        <w:pStyle w:val="Heading1"/>
        <w:numPr>
          <w:ilvl w:val="1"/>
          <w:numId w:val="1"/>
        </w:numPr>
        <w:tabs>
          <w:tab w:pos="639" w:val="left" w:leader="none"/>
        </w:tabs>
        <w:spacing w:line="240" w:lineRule="auto" w:before="228" w:after="0"/>
        <w:ind w:left="639" w:right="0" w:hanging="301"/>
        <w:jc w:val="both"/>
      </w:pPr>
      <w:r>
        <w:rPr/>
        <w:t>Bio</w:t>
      </w:r>
      <w:r>
        <w:rPr>
          <w:spacing w:val="-6"/>
        </w:rPr>
        <w:t> </w:t>
      </w:r>
      <w:r>
        <w:rPr/>
        <w:t>grease</w:t>
      </w:r>
      <w:r>
        <w:rPr>
          <w:spacing w:val="-7"/>
        </w:rPr>
        <w:t> </w:t>
      </w:r>
      <w:r>
        <w:rPr/>
        <w:t>Production</w:t>
      </w:r>
      <w:r>
        <w:rPr>
          <w:spacing w:val="-7"/>
        </w:rPr>
        <w:t> </w:t>
      </w:r>
      <w:r>
        <w:rPr>
          <w:spacing w:val="-2"/>
        </w:rPr>
        <w:t>Reactor</w:t>
      </w:r>
    </w:p>
    <w:p>
      <w:pPr>
        <w:pStyle w:val="BodyText"/>
        <w:spacing w:before="1"/>
        <w:ind w:right="48" w:firstLine="566"/>
      </w:pPr>
      <w:r>
        <w:rPr/>
        <w:t>The</w:t>
      </w:r>
      <w:r>
        <w:rPr>
          <w:spacing w:val="-4"/>
        </w:rPr>
        <w:t> </w:t>
      </w:r>
      <w:r>
        <w:rPr/>
        <w:t>design</w:t>
      </w:r>
      <w:r>
        <w:rPr>
          <w:spacing w:val="-3"/>
        </w:rPr>
        <w:t> </w:t>
      </w:r>
      <w:r>
        <w:rPr/>
        <w:t>and</w:t>
      </w:r>
      <w:r>
        <w:rPr>
          <w:spacing w:val="-3"/>
        </w:rPr>
        <w:t> </w:t>
      </w:r>
      <w:r>
        <w:rPr/>
        <w:t>validation</w:t>
      </w:r>
      <w:r>
        <w:rPr>
          <w:spacing w:val="-3"/>
        </w:rPr>
        <w:t> </w:t>
      </w:r>
      <w:r>
        <w:rPr/>
        <w:t>of</w:t>
      </w:r>
      <w:r>
        <w:rPr>
          <w:spacing w:val="-4"/>
        </w:rPr>
        <w:t> </w:t>
      </w:r>
      <w:r>
        <w:rPr/>
        <w:t>the</w:t>
      </w:r>
      <w:r>
        <w:rPr>
          <w:spacing w:val="-4"/>
        </w:rPr>
        <w:t> </w:t>
      </w:r>
      <w:r>
        <w:rPr/>
        <w:t>reactor</w:t>
      </w:r>
      <w:r>
        <w:rPr>
          <w:spacing w:val="-4"/>
        </w:rPr>
        <w:t> </w:t>
      </w:r>
      <w:r>
        <w:rPr/>
        <w:t>are</w:t>
      </w:r>
      <w:r>
        <w:rPr>
          <w:spacing w:val="-4"/>
        </w:rPr>
        <w:t> </w:t>
      </w:r>
      <w:r>
        <w:rPr/>
        <w:t>based on equipment developed by the National Research and Innovation Agency (BRIN) which is divided into two stages. The First stage involves epoxidation and esterification processes using modified reactor as illustrated in Figure 1.</w:t>
      </w:r>
    </w:p>
    <w:p>
      <w:pPr>
        <w:pStyle w:val="BodyText"/>
        <w:ind w:left="0"/>
        <w:jc w:val="left"/>
      </w:pPr>
    </w:p>
    <w:p>
      <w:pPr>
        <w:pStyle w:val="BodyText"/>
        <w:ind w:left="0"/>
        <w:jc w:val="left"/>
      </w:pPr>
    </w:p>
    <w:p>
      <w:pPr>
        <w:pStyle w:val="BodyText"/>
        <w:spacing w:before="48"/>
        <w:ind w:left="0"/>
        <w:jc w:val="left"/>
      </w:pPr>
    </w:p>
    <w:p>
      <w:pPr>
        <w:spacing w:line="290" w:lineRule="auto" w:before="1"/>
        <w:ind w:left="2408" w:right="1449" w:firstLine="0"/>
        <w:jc w:val="left"/>
        <w:rPr>
          <w:sz w:val="16"/>
        </w:rPr>
      </w:pPr>
      <w:r>
        <w:rPr>
          <w:sz w:val="16"/>
        </w:rPr>
        <mc:AlternateContent>
          <mc:Choice Requires="wps">
            <w:drawing>
              <wp:anchor distT="0" distB="0" distL="0" distR="0" allowOverlap="1" layoutInCell="1" locked="0" behindDoc="1" simplePos="0" relativeHeight="487203328">
                <wp:simplePos x="0" y="0"/>
                <wp:positionH relativeFrom="page">
                  <wp:posOffset>4581454</wp:posOffset>
                </wp:positionH>
                <wp:positionV relativeFrom="paragraph">
                  <wp:posOffset>-205735</wp:posOffset>
                </wp:positionV>
                <wp:extent cx="1120140" cy="166179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120140" cy="1661795"/>
                          <a:chExt cx="1120140" cy="1661795"/>
                        </a:xfrm>
                      </wpg:grpSpPr>
                      <pic:pic>
                        <pic:nvPicPr>
                          <pic:cNvPr id="28" name="Image 28" descr="PHOTO-2025-06-25-12-24-28 2"/>
                          <pic:cNvPicPr/>
                        </pic:nvPicPr>
                        <pic:blipFill>
                          <a:blip r:embed="rId11" cstate="print"/>
                          <a:stretch>
                            <a:fillRect/>
                          </a:stretch>
                        </pic:blipFill>
                        <pic:spPr>
                          <a:xfrm>
                            <a:off x="0" y="0"/>
                            <a:ext cx="1057345" cy="1661724"/>
                          </a:xfrm>
                          <a:prstGeom prst="rect">
                            <a:avLst/>
                          </a:prstGeom>
                        </pic:spPr>
                      </pic:pic>
                      <wps:wsp>
                        <wps:cNvPr id="29" name="Graphic 29"/>
                        <wps:cNvSpPr/>
                        <wps:spPr>
                          <a:xfrm>
                            <a:off x="857320" y="221995"/>
                            <a:ext cx="257810" cy="1372870"/>
                          </a:xfrm>
                          <a:custGeom>
                            <a:avLst/>
                            <a:gdLst/>
                            <a:ahLst/>
                            <a:cxnLst/>
                            <a:rect l="l" t="t" r="r" b="b"/>
                            <a:pathLst>
                              <a:path w="257810" h="1372870">
                                <a:moveTo>
                                  <a:pt x="257810" y="0"/>
                                </a:moveTo>
                                <a:lnTo>
                                  <a:pt x="0" y="0"/>
                                </a:lnTo>
                                <a:lnTo>
                                  <a:pt x="0" y="1372869"/>
                                </a:lnTo>
                                <a:lnTo>
                                  <a:pt x="257810" y="1372869"/>
                                </a:lnTo>
                                <a:lnTo>
                                  <a:pt x="257810"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857320" y="221995"/>
                            <a:ext cx="257810" cy="1372870"/>
                          </a:xfrm>
                          <a:custGeom>
                            <a:avLst/>
                            <a:gdLst/>
                            <a:ahLst/>
                            <a:cxnLst/>
                            <a:rect l="l" t="t" r="r" b="b"/>
                            <a:pathLst>
                              <a:path w="257810" h="1372870">
                                <a:moveTo>
                                  <a:pt x="0" y="1372869"/>
                                </a:moveTo>
                                <a:lnTo>
                                  <a:pt x="257810" y="1372869"/>
                                </a:lnTo>
                                <a:lnTo>
                                  <a:pt x="257810" y="0"/>
                                </a:lnTo>
                                <a:lnTo>
                                  <a:pt x="0" y="0"/>
                                </a:lnTo>
                                <a:lnTo>
                                  <a:pt x="0" y="1372869"/>
                                </a:lnTo>
                                <a:close/>
                              </a:path>
                            </a:pathLst>
                          </a:custGeom>
                          <a:ln w="9525">
                            <a:solidFill>
                              <a:srgbClr val="FFFFFF"/>
                            </a:solidFill>
                            <a:prstDash val="solid"/>
                          </a:ln>
                        </wps:spPr>
                        <wps:bodyPr wrap="square" lIns="0" tIns="0" rIns="0" bIns="0" rtlCol="0">
                          <a:prstTxWarp prst="textNoShape">
                            <a:avLst/>
                          </a:prstTxWarp>
                          <a:noAutofit/>
                        </wps:bodyPr>
                      </wps:wsp>
                      <wps:wsp>
                        <wps:cNvPr id="31" name="Graphic 31"/>
                        <wps:cNvSpPr/>
                        <wps:spPr>
                          <a:xfrm>
                            <a:off x="304870" y="1418336"/>
                            <a:ext cx="553085" cy="1270"/>
                          </a:xfrm>
                          <a:custGeom>
                            <a:avLst/>
                            <a:gdLst/>
                            <a:ahLst/>
                            <a:cxnLst/>
                            <a:rect l="l" t="t" r="r" b="b"/>
                            <a:pathLst>
                              <a:path w="553085" h="635">
                                <a:moveTo>
                                  <a:pt x="553085" y="0"/>
                                </a:moveTo>
                                <a:lnTo>
                                  <a:pt x="0" y="635"/>
                                </a:lnTo>
                              </a:path>
                            </a:pathLst>
                          </a:custGeom>
                          <a:ln w="3175">
                            <a:solidFill>
                              <a:srgbClr val="5A5A5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0.744446pt;margin-top:-16.199629pt;width:88.2pt;height:130.85pt;mso-position-horizontal-relative:page;mso-position-vertical-relative:paragraph;z-index:-16113152" id="docshapegroup26" coordorigin="7215,-324" coordsize="1764,2617">
                <v:shape style="position:absolute;left:7214;top:-324;width:1666;height:2617" type="#_x0000_t75" id="docshape27" alt="PHOTO-2025-06-25-12-24-28 2" stroked="false">
                  <v:imagedata r:id="rId11" o:title=""/>
                </v:shape>
                <v:rect style="position:absolute;left:8565;top:25;width:406;height:2162" id="docshape28" filled="true" fillcolor="#ffffff" stroked="false">
                  <v:fill type="solid"/>
                </v:rect>
                <v:rect style="position:absolute;left:8565;top:25;width:406;height:2162" id="docshape29" filled="false" stroked="true" strokeweight=".75pt" strokecolor="#ffffff">
                  <v:stroke dashstyle="solid"/>
                </v:rect>
                <v:line style="position:absolute" from="8566,1910" to="7695,1911" stroked="true" strokeweight=".25pt" strokecolor="#5a5a5a">
                  <v:stroke dashstyle="solid"/>
                </v:line>
                <w10:wrap type="none"/>
              </v:group>
            </w:pict>
          </mc:Fallback>
        </mc:AlternateContent>
      </w:r>
      <w:r>
        <w:rPr>
          <w:sz w:val="16"/>
        </w:rPr>
        <w:t>Electric</w:t>
      </w:r>
      <w:r>
        <w:rPr>
          <w:spacing w:val="-5"/>
          <w:sz w:val="16"/>
        </w:rPr>
        <w:t> </w:t>
      </w:r>
      <w:r>
        <w:rPr>
          <w:sz w:val="16"/>
        </w:rPr>
        <w:t>Motor</w:t>
      </w:r>
      <w:r>
        <w:rPr>
          <w:spacing w:val="40"/>
          <w:sz w:val="16"/>
        </w:rPr>
        <w:t> </w:t>
      </w:r>
      <w:r>
        <w:rPr>
          <w:sz w:val="16"/>
        </w:rPr>
        <w:t>Speed</w:t>
      </w:r>
      <w:r>
        <w:rPr>
          <w:spacing w:val="-10"/>
          <w:sz w:val="16"/>
        </w:rPr>
        <w:t> </w:t>
      </w:r>
      <w:r>
        <w:rPr>
          <w:sz w:val="16"/>
        </w:rPr>
        <w:t>Controller</w:t>
      </w:r>
    </w:p>
    <w:p>
      <w:pPr>
        <w:pStyle w:val="BodyText"/>
        <w:spacing w:before="181"/>
        <w:ind w:left="0"/>
        <w:jc w:val="left"/>
        <w:rPr>
          <w:sz w:val="16"/>
        </w:rPr>
      </w:pPr>
    </w:p>
    <w:p>
      <w:pPr>
        <w:spacing w:before="1"/>
        <w:ind w:left="2408" w:right="0" w:firstLine="0"/>
        <w:jc w:val="left"/>
        <w:rPr>
          <w:sz w:val="16"/>
        </w:rPr>
      </w:pPr>
      <w:r>
        <w:rPr>
          <w:spacing w:val="-2"/>
          <w:sz w:val="16"/>
        </w:rPr>
        <w:t>Frame</w:t>
      </w:r>
    </w:p>
    <w:p>
      <w:pPr>
        <w:pStyle w:val="BodyText"/>
        <w:spacing w:before="23"/>
        <w:ind w:left="0"/>
        <w:jc w:val="left"/>
        <w:rPr>
          <w:sz w:val="16"/>
        </w:rPr>
      </w:pPr>
    </w:p>
    <w:p>
      <w:pPr>
        <w:spacing w:before="0"/>
        <w:ind w:left="2412" w:right="0" w:firstLine="0"/>
        <w:jc w:val="left"/>
        <w:rPr>
          <w:sz w:val="16"/>
        </w:rPr>
      </w:pPr>
      <w:r>
        <w:rPr>
          <w:sz w:val="16"/>
        </w:rPr>
        <w:t>Tube</w:t>
      </w:r>
      <w:r>
        <w:rPr>
          <w:spacing w:val="-4"/>
          <w:sz w:val="16"/>
        </w:rPr>
        <w:t> </w:t>
      </w:r>
      <w:r>
        <w:rPr>
          <w:sz w:val="16"/>
        </w:rPr>
        <w:t>Helical</w:t>
      </w:r>
      <w:r>
        <w:rPr>
          <w:spacing w:val="-3"/>
          <w:sz w:val="16"/>
        </w:rPr>
        <w:t> </w:t>
      </w:r>
      <w:r>
        <w:rPr>
          <w:sz w:val="16"/>
        </w:rPr>
        <w:t>Heat</w:t>
      </w:r>
      <w:r>
        <w:rPr>
          <w:spacing w:val="-5"/>
          <w:sz w:val="16"/>
        </w:rPr>
        <w:t> </w:t>
      </w:r>
      <w:r>
        <w:rPr>
          <w:spacing w:val="-2"/>
          <w:sz w:val="16"/>
        </w:rPr>
        <w:t>Exchanger</w:t>
      </w:r>
    </w:p>
    <w:p>
      <w:pPr>
        <w:spacing w:before="152"/>
        <w:ind w:left="2412" w:right="0" w:firstLine="0"/>
        <w:jc w:val="left"/>
        <w:rPr>
          <w:sz w:val="16"/>
        </w:rPr>
      </w:pPr>
      <w:r>
        <w:rPr>
          <w:spacing w:val="-2"/>
          <w:sz w:val="16"/>
        </w:rPr>
        <w:t>Reactor</w:t>
      </w:r>
    </w:p>
    <w:p>
      <w:pPr>
        <w:spacing w:before="85"/>
        <w:ind w:left="2412" w:right="0" w:firstLine="0"/>
        <w:jc w:val="left"/>
        <w:rPr>
          <w:sz w:val="16"/>
        </w:rPr>
      </w:pPr>
      <w:r>
        <w:rPr>
          <w:spacing w:val="-2"/>
          <w:sz w:val="16"/>
        </w:rPr>
        <w:t>Agitator</w:t>
      </w:r>
    </w:p>
    <w:p>
      <w:pPr>
        <w:pStyle w:val="BodyText"/>
        <w:ind w:left="0"/>
        <w:jc w:val="left"/>
        <w:rPr>
          <w:sz w:val="16"/>
        </w:rPr>
      </w:pPr>
    </w:p>
    <w:p>
      <w:pPr>
        <w:pStyle w:val="BodyText"/>
        <w:ind w:left="0"/>
        <w:jc w:val="left"/>
        <w:rPr>
          <w:sz w:val="16"/>
        </w:rPr>
      </w:pPr>
    </w:p>
    <w:p>
      <w:pPr>
        <w:pStyle w:val="BodyText"/>
        <w:spacing w:before="26"/>
        <w:ind w:left="0"/>
        <w:jc w:val="left"/>
        <w:rPr>
          <w:sz w:val="16"/>
        </w:rPr>
      </w:pPr>
    </w:p>
    <w:p>
      <w:pPr>
        <w:pStyle w:val="BodyText"/>
        <w:ind w:left="1904" w:hanging="1491"/>
        <w:jc w:val="left"/>
      </w:pPr>
      <w:r>
        <w:rPr>
          <w:b/>
        </w:rPr>
        <w:t>Figure</w:t>
      </w:r>
      <w:r>
        <w:rPr>
          <w:b/>
          <w:spacing w:val="-5"/>
        </w:rPr>
        <w:t> </w:t>
      </w:r>
      <w:r>
        <w:rPr>
          <w:b/>
        </w:rPr>
        <w:t>1</w:t>
      </w:r>
      <w:r>
        <w:rPr/>
        <w:t>.</w:t>
      </w:r>
      <w:r>
        <w:rPr>
          <w:spacing w:val="-5"/>
        </w:rPr>
        <w:t> </w:t>
      </w:r>
      <w:r>
        <w:rPr/>
        <w:t>Modified</w:t>
      </w:r>
      <w:r>
        <w:rPr>
          <w:spacing w:val="-4"/>
        </w:rPr>
        <w:t> </w:t>
      </w:r>
      <w:r>
        <w:rPr/>
        <w:t>reactor</w:t>
      </w:r>
      <w:r>
        <w:rPr>
          <w:spacing w:val="-7"/>
        </w:rPr>
        <w:t> </w:t>
      </w:r>
      <w:r>
        <w:rPr/>
        <w:t>from</w:t>
      </w:r>
      <w:r>
        <w:rPr>
          <w:spacing w:val="-5"/>
        </w:rPr>
        <w:t> </w:t>
      </w:r>
      <w:r>
        <w:rPr/>
        <w:t>BRIN</w:t>
      </w:r>
      <w:r>
        <w:rPr>
          <w:spacing w:val="-6"/>
        </w:rPr>
        <w:t> </w:t>
      </w:r>
      <w:r>
        <w:rPr/>
        <w:t>for</w:t>
      </w:r>
      <w:r>
        <w:rPr>
          <w:spacing w:val="-4"/>
        </w:rPr>
        <w:t> </w:t>
      </w:r>
      <w:r>
        <w:rPr/>
        <w:t>epoxidation and esterification.</w:t>
      </w:r>
    </w:p>
    <w:p>
      <w:pPr>
        <w:pStyle w:val="BodyText"/>
        <w:spacing w:before="8"/>
        <w:ind w:left="0"/>
        <w:jc w:val="left"/>
      </w:pPr>
    </w:p>
    <w:p>
      <w:pPr>
        <w:pStyle w:val="BodyText"/>
        <w:spacing w:before="1"/>
        <w:ind w:right="48" w:firstLine="566"/>
      </w:pPr>
      <w:r>
        <w:rPr/>
        <w:t>The second stage is the saponification process, which produces bio grease. The reactor design is shown in Figure 2. These two reactors technically represent the equipment used in various stages of palm oil-based bio grease production.</w:t>
      </w:r>
    </w:p>
    <w:p>
      <w:pPr>
        <w:pStyle w:val="BodyText"/>
        <w:spacing w:before="9"/>
        <w:ind w:left="0"/>
        <w:jc w:val="left"/>
      </w:pPr>
    </w:p>
    <w:p>
      <w:pPr>
        <w:pStyle w:val="Heading1"/>
        <w:numPr>
          <w:ilvl w:val="1"/>
          <w:numId w:val="1"/>
        </w:numPr>
        <w:tabs>
          <w:tab w:pos="639" w:val="left" w:leader="none"/>
        </w:tabs>
        <w:spacing w:line="240" w:lineRule="auto" w:before="1" w:after="0"/>
        <w:ind w:left="639" w:right="0" w:hanging="301"/>
        <w:jc w:val="both"/>
      </w:pPr>
      <w:r>
        <w:rPr/>
        <w:t>Test</w:t>
      </w:r>
      <w:r>
        <w:rPr>
          <w:spacing w:val="-5"/>
        </w:rPr>
        <w:t> </w:t>
      </w:r>
      <w:r>
        <w:rPr>
          <w:spacing w:val="-2"/>
        </w:rPr>
        <w:t>Results</w:t>
      </w:r>
    </w:p>
    <w:p>
      <w:pPr>
        <w:pStyle w:val="BodyText"/>
        <w:ind w:right="54" w:firstLine="566"/>
      </w:pPr>
      <w:r>
        <w:rPr/>
        <w:t>Based on testing conducted by the Chemistry Laboratory - LTMP under BRIN, the Base Oil Ester (Biolubricant) sample was analyzed to determine its kinematic viscosity and viscosity index. The test was performed using the ASTM D445 (Sentanuhady et al.,</w:t>
      </w:r>
    </w:p>
    <w:p>
      <w:pPr>
        <w:pStyle w:val="BodyText"/>
        <w:spacing w:after="0"/>
        <w:sectPr>
          <w:type w:val="continuous"/>
          <w:pgSz w:w="12240" w:h="15840"/>
          <w:pgMar w:header="851" w:footer="1027" w:top="640" w:bottom="1180" w:left="1080" w:right="1080"/>
          <w:cols w:num="2" w:equalWidth="0">
            <w:col w:w="4946" w:space="178"/>
            <w:col w:w="4956"/>
          </w:cols>
        </w:sectPr>
      </w:pPr>
    </w:p>
    <w:p>
      <w:pPr>
        <w:pStyle w:val="BodyText"/>
        <w:spacing w:before="219"/>
        <w:ind w:left="0"/>
        <w:jc w:val="left"/>
      </w:pPr>
    </w:p>
    <w:p>
      <w:pPr>
        <w:pStyle w:val="BodyText"/>
        <w:spacing w:after="0"/>
        <w:jc w:val="left"/>
        <w:sectPr>
          <w:pgSz w:w="12240" w:h="15840"/>
          <w:pgMar w:header="851" w:footer="1027" w:top="1160" w:bottom="1220" w:left="1080" w:right="1080"/>
        </w:sect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spacing w:before="101"/>
        <w:ind w:left="0"/>
        <w:jc w:val="left"/>
        <w:rPr>
          <w:sz w:val="16"/>
        </w:rPr>
      </w:pPr>
    </w:p>
    <w:p>
      <w:pPr>
        <w:spacing w:before="0"/>
        <w:ind w:left="438" w:right="0" w:firstLine="0"/>
        <w:jc w:val="left"/>
        <w:rPr>
          <w:sz w:val="16"/>
        </w:rPr>
      </w:pPr>
      <w:r>
        <w:rPr>
          <w:sz w:val="16"/>
        </w:rPr>
        <w:t>Drip</w:t>
      </w:r>
      <w:r>
        <w:rPr>
          <w:spacing w:val="-1"/>
          <w:sz w:val="16"/>
        </w:rPr>
        <w:t> </w:t>
      </w:r>
      <w:r>
        <w:rPr>
          <w:spacing w:val="-5"/>
          <w:sz w:val="16"/>
        </w:rPr>
        <w:t>Leg</w:t>
      </w:r>
    </w:p>
    <w:p>
      <w:pPr>
        <w:spacing w:line="240" w:lineRule="auto" w:before="0"/>
        <w:rPr>
          <w:sz w:val="16"/>
        </w:rPr>
      </w:pPr>
      <w:r>
        <w:rPr/>
        <w:br w:type="column"/>
      </w:r>
      <w:r>
        <w:rPr>
          <w:sz w:val="16"/>
        </w:rPr>
      </w: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spacing w:before="33"/>
        <w:ind w:left="0"/>
        <w:jc w:val="left"/>
        <w:rPr>
          <w:sz w:val="16"/>
        </w:rPr>
      </w:pPr>
    </w:p>
    <w:p>
      <w:pPr>
        <w:spacing w:line="619" w:lineRule="auto" w:before="0"/>
        <w:ind w:left="438" w:right="38" w:firstLine="0"/>
        <w:jc w:val="left"/>
        <w:rPr>
          <w:sz w:val="16"/>
        </w:rPr>
      </w:pPr>
      <w:r>
        <w:rPr>
          <w:sz w:val="16"/>
        </w:rPr>
        <w:t>Liquid</w:t>
      </w:r>
      <w:r>
        <w:rPr>
          <w:spacing w:val="-10"/>
          <w:sz w:val="16"/>
        </w:rPr>
        <w:t> </w:t>
      </w:r>
      <w:r>
        <w:rPr>
          <w:sz w:val="16"/>
        </w:rPr>
        <w:t>Surface</w:t>
      </w:r>
      <w:r>
        <w:rPr>
          <w:spacing w:val="40"/>
          <w:sz w:val="16"/>
        </w:rPr>
        <w:t> </w:t>
      </w:r>
      <w:r>
        <w:rPr>
          <w:spacing w:val="-2"/>
          <w:sz w:val="16"/>
        </w:rPr>
        <w:t>Thermowell</w:t>
      </w:r>
    </w:p>
    <w:p>
      <w:pPr>
        <w:pStyle w:val="BodyText"/>
        <w:spacing w:before="91"/>
        <w:ind w:left="438" w:right="53"/>
      </w:pPr>
      <w:r>
        <w:rPr/>
        <w:br w:type="column"/>
      </w:r>
      <w:r>
        <w:rPr/>
        <w:t>as</w:t>
      </w:r>
      <w:r>
        <w:rPr>
          <w:spacing w:val="-3"/>
        </w:rPr>
        <w:t> </w:t>
      </w:r>
      <w:r>
        <w:rPr/>
        <w:t>heavy-duty</w:t>
      </w:r>
      <w:r>
        <w:rPr>
          <w:spacing w:val="-3"/>
        </w:rPr>
        <w:t> </w:t>
      </w:r>
      <w:r>
        <w:rPr/>
        <w:t>machinery</w:t>
      </w:r>
      <w:r>
        <w:rPr>
          <w:spacing w:val="-3"/>
        </w:rPr>
        <w:t> </w:t>
      </w:r>
      <w:r>
        <w:rPr/>
        <w:t>and</w:t>
      </w:r>
      <w:r>
        <w:rPr>
          <w:spacing w:val="-4"/>
        </w:rPr>
        <w:t> </w:t>
      </w:r>
      <w:r>
        <w:rPr/>
        <w:t>high-performance</w:t>
      </w:r>
      <w:r>
        <w:rPr>
          <w:spacing w:val="-3"/>
        </w:rPr>
        <w:t> </w:t>
      </w:r>
      <w:r>
        <w:rPr/>
        <w:t>vehicles (Afrand et al., 2016; Totten, 2006).</w:t>
      </w:r>
    </w:p>
    <w:p>
      <w:pPr>
        <w:pStyle w:val="BodyText"/>
        <w:ind w:left="438" w:right="49" w:firstLine="566"/>
      </w:pPr>
      <w:r>
        <w:rPr/>
        <w:t>A</w:t>
      </w:r>
      <w:r>
        <w:rPr>
          <w:spacing w:val="-2"/>
        </w:rPr>
        <w:t> </w:t>
      </w:r>
      <w:r>
        <w:rPr/>
        <w:t>viscosity</w:t>
      </w:r>
      <w:r>
        <w:rPr>
          <w:spacing w:val="-1"/>
        </w:rPr>
        <w:t> </w:t>
      </w:r>
      <w:r>
        <w:rPr/>
        <w:t>index</w:t>
      </w:r>
      <w:r>
        <w:rPr>
          <w:spacing w:val="-1"/>
        </w:rPr>
        <w:t> </w:t>
      </w:r>
      <w:r>
        <w:rPr/>
        <w:t>of</w:t>
      </w:r>
      <w:r>
        <w:rPr>
          <w:spacing w:val="-1"/>
        </w:rPr>
        <w:t> </w:t>
      </w:r>
      <w:r>
        <w:rPr/>
        <w:t>133.5</w:t>
      </w:r>
      <w:r>
        <w:rPr>
          <w:spacing w:val="-1"/>
        </w:rPr>
        <w:t> </w:t>
      </w:r>
      <w:r>
        <w:rPr/>
        <w:t>confirms</w:t>
      </w:r>
      <w:r>
        <w:rPr>
          <w:spacing w:val="-3"/>
        </w:rPr>
        <w:t> </w:t>
      </w:r>
      <w:r>
        <w:rPr/>
        <w:t>that</w:t>
      </w:r>
      <w:r>
        <w:rPr>
          <w:spacing w:val="-2"/>
        </w:rPr>
        <w:t> </w:t>
      </w:r>
      <w:r>
        <w:rPr/>
        <w:t>Base</w:t>
      </w:r>
      <w:r>
        <w:rPr>
          <w:spacing w:val="-2"/>
        </w:rPr>
        <w:t> </w:t>
      </w:r>
      <w:r>
        <w:rPr/>
        <w:t>Oil Ester exhibits excellent thermal stability, making it suitable for lubricant production and compliant with industry standards (Hu et al., 2021). In summary, lubricants with higher viscosity indices demonstrate greater viscosity stability across temperature variations (Center, 2011) and better shear stability (Stambaugh &amp; Kinker,</w:t>
      </w:r>
      <w:r>
        <w:rPr>
          <w:spacing w:val="-6"/>
        </w:rPr>
        <w:t> </w:t>
      </w:r>
      <w:r>
        <w:rPr/>
        <w:t>2011;</w:t>
      </w:r>
      <w:r>
        <w:rPr>
          <w:spacing w:val="-7"/>
        </w:rPr>
        <w:t> </w:t>
      </w:r>
      <w:r>
        <w:rPr/>
        <w:t>Mortier</w:t>
      </w:r>
      <w:r>
        <w:rPr>
          <w:spacing w:val="-6"/>
        </w:rPr>
        <w:t> </w:t>
      </w:r>
      <w:r>
        <w:rPr/>
        <w:t>et</w:t>
      </w:r>
      <w:r>
        <w:rPr>
          <w:spacing w:val="-6"/>
        </w:rPr>
        <w:t> </w:t>
      </w:r>
      <w:r>
        <w:rPr/>
        <w:t>al.,</w:t>
      </w:r>
      <w:r>
        <w:rPr>
          <w:spacing w:val="-6"/>
        </w:rPr>
        <w:t> </w:t>
      </w:r>
      <w:r>
        <w:rPr/>
        <w:t>2011).</w:t>
      </w:r>
      <w:r>
        <w:rPr>
          <w:spacing w:val="-6"/>
        </w:rPr>
        <w:t> </w:t>
      </w:r>
      <w:r>
        <w:rPr/>
        <w:t>The</w:t>
      </w:r>
      <w:r>
        <w:rPr>
          <w:spacing w:val="-6"/>
        </w:rPr>
        <w:t> </w:t>
      </w:r>
      <w:r>
        <w:rPr/>
        <w:t>findings</w:t>
      </w:r>
      <w:r>
        <w:rPr>
          <w:spacing w:val="-7"/>
        </w:rPr>
        <w:t> </w:t>
      </w:r>
      <w:r>
        <w:rPr/>
        <w:t>indicate that Base Oil Ester has a higher viscosity index than commercially available SAE 40 lubricants.</w:t>
      </w:r>
    </w:p>
    <w:p>
      <w:pPr>
        <w:pStyle w:val="Heading1"/>
        <w:numPr>
          <w:ilvl w:val="1"/>
          <w:numId w:val="1"/>
        </w:numPr>
        <w:tabs>
          <w:tab w:pos="739" w:val="left" w:leader="none"/>
        </w:tabs>
        <w:spacing w:line="240" w:lineRule="auto" w:before="229" w:after="0"/>
        <w:ind w:left="739" w:right="0" w:hanging="301"/>
        <w:jc w:val="both"/>
      </w:pPr>
      <w:r>
        <w:rPr/>
        <w:t>Product</w:t>
      </w:r>
      <w:r>
        <w:rPr>
          <w:spacing w:val="-7"/>
        </w:rPr>
        <w:t> </w:t>
      </w:r>
      <w:r>
        <w:rPr>
          <w:spacing w:val="-2"/>
        </w:rPr>
        <w:t>Composition</w:t>
      </w:r>
    </w:p>
    <w:p>
      <w:pPr>
        <w:pStyle w:val="BodyText"/>
        <w:ind w:left="438" w:right="53" w:firstLine="566"/>
      </w:pPr>
      <w:r>
        <w:rPr/>
        <w:t>The</w:t>
      </w:r>
      <w:r>
        <w:rPr>
          <w:spacing w:val="-9"/>
        </w:rPr>
        <w:t> </w:t>
      </w:r>
      <w:r>
        <w:rPr/>
        <w:t>main</w:t>
      </w:r>
      <w:r>
        <w:rPr>
          <w:spacing w:val="-8"/>
        </w:rPr>
        <w:t> </w:t>
      </w:r>
      <w:r>
        <w:rPr/>
        <w:t>composition</w:t>
      </w:r>
      <w:r>
        <w:rPr>
          <w:spacing w:val="-10"/>
        </w:rPr>
        <w:t> </w:t>
      </w:r>
      <w:r>
        <w:rPr/>
        <w:t>of</w:t>
      </w:r>
      <w:r>
        <w:rPr>
          <w:spacing w:val="-9"/>
        </w:rPr>
        <w:t> </w:t>
      </w:r>
      <w:r>
        <w:rPr/>
        <w:t>this</w:t>
      </w:r>
      <w:r>
        <w:rPr>
          <w:spacing w:val="-12"/>
        </w:rPr>
        <w:t> </w:t>
      </w:r>
      <w:r>
        <w:rPr/>
        <w:t>product</w:t>
      </w:r>
      <w:r>
        <w:rPr>
          <w:spacing w:val="-9"/>
        </w:rPr>
        <w:t> </w:t>
      </w:r>
      <w:r>
        <w:rPr/>
        <w:t>formulation consists of 80% estolide, which serves as the primary </w:t>
      </w:r>
      <w:r>
        <w:rPr>
          <w:spacing w:val="-2"/>
        </w:rPr>
        <w:t>base</w:t>
      </w:r>
      <w:r>
        <w:rPr>
          <w:spacing w:val="-5"/>
        </w:rPr>
        <w:t> </w:t>
      </w:r>
      <w:r>
        <w:rPr>
          <w:spacing w:val="-2"/>
        </w:rPr>
        <w:t>oil</w:t>
      </w:r>
      <w:r>
        <w:rPr>
          <w:spacing w:val="-4"/>
        </w:rPr>
        <w:t> </w:t>
      </w:r>
      <w:r>
        <w:rPr>
          <w:spacing w:val="-2"/>
        </w:rPr>
        <w:t>in</w:t>
      </w:r>
      <w:r>
        <w:rPr>
          <w:spacing w:val="-3"/>
        </w:rPr>
        <w:t> </w:t>
      </w:r>
      <w:r>
        <w:rPr>
          <w:spacing w:val="-2"/>
        </w:rPr>
        <w:t>bio</w:t>
      </w:r>
      <w:r>
        <w:rPr>
          <w:spacing w:val="-3"/>
        </w:rPr>
        <w:t> </w:t>
      </w:r>
      <w:r>
        <w:rPr>
          <w:spacing w:val="-2"/>
        </w:rPr>
        <w:t>grease.</w:t>
      </w:r>
      <w:r>
        <w:rPr>
          <w:spacing w:val="-3"/>
        </w:rPr>
        <w:t> </w:t>
      </w:r>
      <w:r>
        <w:rPr>
          <w:spacing w:val="-2"/>
        </w:rPr>
        <w:t>Additionally,</w:t>
      </w:r>
      <w:r>
        <w:rPr>
          <w:spacing w:val="-4"/>
        </w:rPr>
        <w:t> </w:t>
      </w:r>
      <w:r>
        <w:rPr>
          <w:spacing w:val="-2"/>
        </w:rPr>
        <w:t>calcium</w:t>
      </w:r>
      <w:r>
        <w:rPr>
          <w:spacing w:val="-3"/>
        </w:rPr>
        <w:t> </w:t>
      </w:r>
      <w:r>
        <w:rPr>
          <w:spacing w:val="-2"/>
        </w:rPr>
        <w:t>sulfonate</w:t>
      </w:r>
      <w:r>
        <w:rPr>
          <w:spacing w:val="-4"/>
        </w:rPr>
        <w:t> </w:t>
      </w:r>
      <w:r>
        <w:rPr>
          <w:spacing w:val="-5"/>
        </w:rPr>
        <w:t>and</w:t>
      </w:r>
    </w:p>
    <w:p>
      <w:pPr>
        <w:pStyle w:val="BodyText"/>
        <w:spacing w:after="0"/>
        <w:sectPr>
          <w:type w:val="continuous"/>
          <w:pgSz w:w="12240" w:h="15840"/>
          <w:pgMar w:header="851" w:footer="1027" w:top="640" w:bottom="1180" w:left="1080" w:right="1080"/>
          <w:cols w:num="3" w:equalWidth="0">
            <w:col w:w="1063" w:space="2058"/>
            <w:col w:w="1435" w:space="469"/>
            <w:col w:w="5055"/>
          </w:cols>
        </w:sectPr>
      </w:pPr>
    </w:p>
    <w:p>
      <w:pPr>
        <w:pStyle w:val="BodyText"/>
        <w:spacing w:before="42"/>
        <w:ind w:left="2338" w:right="270" w:hanging="1776"/>
        <w:jc w:val="left"/>
      </w:pPr>
      <w:r>
        <w:rPr/>
        <mc:AlternateContent>
          <mc:Choice Requires="wps">
            <w:drawing>
              <wp:anchor distT="0" distB="0" distL="0" distR="0" allowOverlap="1" layoutInCell="1" locked="0" behindDoc="0" simplePos="0" relativeHeight="15734272">
                <wp:simplePos x="0" y="0"/>
                <wp:positionH relativeFrom="page">
                  <wp:posOffset>1354034</wp:posOffset>
                </wp:positionH>
                <wp:positionV relativeFrom="paragraph">
                  <wp:posOffset>-2364721</wp:posOffset>
                </wp:positionV>
                <wp:extent cx="1605280" cy="219456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1605280" cy="2194560"/>
                          <a:chExt cx="1605280" cy="2194560"/>
                        </a:xfrm>
                      </wpg:grpSpPr>
                      <pic:pic>
                        <pic:nvPicPr>
                          <pic:cNvPr id="33" name="Image 33"/>
                          <pic:cNvPicPr/>
                        </pic:nvPicPr>
                        <pic:blipFill>
                          <a:blip r:embed="rId12" cstate="print"/>
                          <a:stretch>
                            <a:fillRect/>
                          </a:stretch>
                        </pic:blipFill>
                        <pic:spPr>
                          <a:xfrm>
                            <a:off x="170364" y="0"/>
                            <a:ext cx="1337827" cy="2194530"/>
                          </a:xfrm>
                          <a:prstGeom prst="rect">
                            <a:avLst/>
                          </a:prstGeom>
                        </pic:spPr>
                      </pic:pic>
                      <wps:wsp>
                        <wps:cNvPr id="34" name="Graphic 34"/>
                        <wps:cNvSpPr/>
                        <wps:spPr>
                          <a:xfrm>
                            <a:off x="1234442" y="199902"/>
                            <a:ext cx="283845" cy="178435"/>
                          </a:xfrm>
                          <a:custGeom>
                            <a:avLst/>
                            <a:gdLst/>
                            <a:ahLst/>
                            <a:cxnLst/>
                            <a:rect l="l" t="t" r="r" b="b"/>
                            <a:pathLst>
                              <a:path w="283845" h="178435">
                                <a:moveTo>
                                  <a:pt x="283479" y="0"/>
                                </a:moveTo>
                                <a:lnTo>
                                  <a:pt x="0" y="0"/>
                                </a:lnTo>
                                <a:lnTo>
                                  <a:pt x="0" y="178305"/>
                                </a:lnTo>
                                <a:lnTo>
                                  <a:pt x="283479" y="178305"/>
                                </a:lnTo>
                                <a:lnTo>
                                  <a:pt x="283479"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234442" y="199902"/>
                            <a:ext cx="283845" cy="178435"/>
                          </a:xfrm>
                          <a:custGeom>
                            <a:avLst/>
                            <a:gdLst/>
                            <a:ahLst/>
                            <a:cxnLst/>
                            <a:rect l="l" t="t" r="r" b="b"/>
                            <a:pathLst>
                              <a:path w="283845" h="178435">
                                <a:moveTo>
                                  <a:pt x="0" y="178305"/>
                                </a:moveTo>
                                <a:lnTo>
                                  <a:pt x="283479" y="178305"/>
                                </a:lnTo>
                                <a:lnTo>
                                  <a:pt x="283479" y="0"/>
                                </a:lnTo>
                                <a:lnTo>
                                  <a:pt x="0" y="0"/>
                                </a:lnTo>
                                <a:lnTo>
                                  <a:pt x="0" y="178305"/>
                                </a:lnTo>
                                <a:close/>
                              </a:path>
                            </a:pathLst>
                          </a:custGeom>
                          <a:ln w="9525">
                            <a:solidFill>
                              <a:srgbClr val="FFFFFF"/>
                            </a:solidFill>
                            <a:prstDash val="solid"/>
                          </a:ln>
                        </wps:spPr>
                        <wps:bodyPr wrap="square" lIns="0" tIns="0" rIns="0" bIns="0" rtlCol="0">
                          <a:prstTxWarp prst="textNoShape">
                            <a:avLst/>
                          </a:prstTxWarp>
                          <a:noAutofit/>
                        </wps:bodyPr>
                      </wps:wsp>
                      <wps:wsp>
                        <wps:cNvPr id="36" name="Graphic 36"/>
                        <wps:cNvSpPr/>
                        <wps:spPr>
                          <a:xfrm>
                            <a:off x="900668" y="1086871"/>
                            <a:ext cx="351155" cy="147955"/>
                          </a:xfrm>
                          <a:custGeom>
                            <a:avLst/>
                            <a:gdLst/>
                            <a:ahLst/>
                            <a:cxnLst/>
                            <a:rect l="l" t="t" r="r" b="b"/>
                            <a:pathLst>
                              <a:path w="351155" h="147955">
                                <a:moveTo>
                                  <a:pt x="350538" y="0"/>
                                </a:moveTo>
                                <a:lnTo>
                                  <a:pt x="0" y="0"/>
                                </a:lnTo>
                                <a:lnTo>
                                  <a:pt x="0" y="147825"/>
                                </a:lnTo>
                                <a:lnTo>
                                  <a:pt x="350538" y="147826"/>
                                </a:lnTo>
                                <a:lnTo>
                                  <a:pt x="350538"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900668" y="1086871"/>
                            <a:ext cx="351155" cy="147955"/>
                          </a:xfrm>
                          <a:custGeom>
                            <a:avLst/>
                            <a:gdLst/>
                            <a:ahLst/>
                            <a:cxnLst/>
                            <a:rect l="l" t="t" r="r" b="b"/>
                            <a:pathLst>
                              <a:path w="351155" h="147955">
                                <a:moveTo>
                                  <a:pt x="0" y="147825"/>
                                </a:moveTo>
                                <a:lnTo>
                                  <a:pt x="350538" y="147826"/>
                                </a:lnTo>
                                <a:lnTo>
                                  <a:pt x="350538" y="0"/>
                                </a:lnTo>
                                <a:lnTo>
                                  <a:pt x="0" y="0"/>
                                </a:lnTo>
                                <a:lnTo>
                                  <a:pt x="0" y="147825"/>
                                </a:lnTo>
                                <a:close/>
                              </a:path>
                            </a:pathLst>
                          </a:custGeom>
                          <a:ln w="9524">
                            <a:solidFill>
                              <a:srgbClr val="FFFFFF"/>
                            </a:solidFill>
                            <a:prstDash val="solid"/>
                          </a:ln>
                        </wps:spPr>
                        <wps:bodyPr wrap="square" lIns="0" tIns="0" rIns="0" bIns="0" rtlCol="0">
                          <a:prstTxWarp prst="textNoShape">
                            <a:avLst/>
                          </a:prstTxWarp>
                          <a:noAutofit/>
                        </wps:bodyPr>
                      </wps:wsp>
                      <wps:wsp>
                        <wps:cNvPr id="38" name="Graphic 38"/>
                        <wps:cNvSpPr/>
                        <wps:spPr>
                          <a:xfrm>
                            <a:off x="882379" y="623568"/>
                            <a:ext cx="254635" cy="288290"/>
                          </a:xfrm>
                          <a:custGeom>
                            <a:avLst/>
                            <a:gdLst/>
                            <a:ahLst/>
                            <a:cxnLst/>
                            <a:rect l="l" t="t" r="r" b="b"/>
                            <a:pathLst>
                              <a:path w="254635" h="288290">
                                <a:moveTo>
                                  <a:pt x="254521" y="0"/>
                                </a:moveTo>
                                <a:lnTo>
                                  <a:pt x="0" y="0"/>
                                </a:lnTo>
                                <a:lnTo>
                                  <a:pt x="0" y="288032"/>
                                </a:lnTo>
                                <a:lnTo>
                                  <a:pt x="254521" y="288032"/>
                                </a:lnTo>
                                <a:lnTo>
                                  <a:pt x="254521"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882379" y="623568"/>
                            <a:ext cx="277495" cy="760730"/>
                          </a:xfrm>
                          <a:custGeom>
                            <a:avLst/>
                            <a:gdLst/>
                            <a:ahLst/>
                            <a:cxnLst/>
                            <a:rect l="l" t="t" r="r" b="b"/>
                            <a:pathLst>
                              <a:path w="277495" h="760730">
                                <a:moveTo>
                                  <a:pt x="0" y="288032"/>
                                </a:moveTo>
                                <a:lnTo>
                                  <a:pt x="254521" y="288032"/>
                                </a:lnTo>
                                <a:lnTo>
                                  <a:pt x="254521" y="0"/>
                                </a:lnTo>
                                <a:lnTo>
                                  <a:pt x="0" y="0"/>
                                </a:lnTo>
                                <a:lnTo>
                                  <a:pt x="0" y="288032"/>
                                </a:lnTo>
                                <a:close/>
                              </a:path>
                              <a:path w="277495" h="760730">
                                <a:moveTo>
                                  <a:pt x="22861" y="760478"/>
                                </a:moveTo>
                                <a:lnTo>
                                  <a:pt x="277382" y="760478"/>
                                </a:lnTo>
                                <a:lnTo>
                                  <a:pt x="277382" y="611128"/>
                                </a:lnTo>
                                <a:lnTo>
                                  <a:pt x="22861" y="611128"/>
                                </a:lnTo>
                                <a:lnTo>
                                  <a:pt x="22861" y="760478"/>
                                </a:lnTo>
                                <a:close/>
                              </a:path>
                            </a:pathLst>
                          </a:custGeom>
                          <a:ln w="9525">
                            <a:solidFill>
                              <a:srgbClr val="FFFFFF"/>
                            </a:solidFill>
                            <a:prstDash val="solid"/>
                          </a:ln>
                        </wps:spPr>
                        <wps:bodyPr wrap="square" lIns="0" tIns="0" rIns="0" bIns="0" rtlCol="0">
                          <a:prstTxWarp prst="textNoShape">
                            <a:avLst/>
                          </a:prstTxWarp>
                          <a:noAutofit/>
                        </wps:bodyPr>
                      </wps:wsp>
                      <wps:wsp>
                        <wps:cNvPr id="40" name="Graphic 40"/>
                        <wps:cNvSpPr/>
                        <wps:spPr>
                          <a:xfrm>
                            <a:off x="492278" y="824746"/>
                            <a:ext cx="254635" cy="147955"/>
                          </a:xfrm>
                          <a:custGeom>
                            <a:avLst/>
                            <a:gdLst/>
                            <a:ahLst/>
                            <a:cxnLst/>
                            <a:rect l="l" t="t" r="r" b="b"/>
                            <a:pathLst>
                              <a:path w="254635" h="147955">
                                <a:moveTo>
                                  <a:pt x="254521" y="0"/>
                                </a:moveTo>
                                <a:lnTo>
                                  <a:pt x="0" y="0"/>
                                </a:lnTo>
                                <a:lnTo>
                                  <a:pt x="0" y="147825"/>
                                </a:lnTo>
                                <a:lnTo>
                                  <a:pt x="254521" y="147826"/>
                                </a:lnTo>
                                <a:lnTo>
                                  <a:pt x="254521"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492278" y="824746"/>
                            <a:ext cx="254635" cy="147955"/>
                          </a:xfrm>
                          <a:custGeom>
                            <a:avLst/>
                            <a:gdLst/>
                            <a:ahLst/>
                            <a:cxnLst/>
                            <a:rect l="l" t="t" r="r" b="b"/>
                            <a:pathLst>
                              <a:path w="254635" h="147955">
                                <a:moveTo>
                                  <a:pt x="0" y="147825"/>
                                </a:moveTo>
                                <a:lnTo>
                                  <a:pt x="254521" y="147826"/>
                                </a:lnTo>
                                <a:lnTo>
                                  <a:pt x="254521" y="0"/>
                                </a:lnTo>
                                <a:lnTo>
                                  <a:pt x="0" y="0"/>
                                </a:lnTo>
                                <a:lnTo>
                                  <a:pt x="0" y="147825"/>
                                </a:lnTo>
                                <a:close/>
                              </a:path>
                            </a:pathLst>
                          </a:custGeom>
                          <a:ln w="9525">
                            <a:solidFill>
                              <a:srgbClr val="FFFFFF"/>
                            </a:solidFill>
                            <a:prstDash val="solid"/>
                          </a:ln>
                        </wps:spPr>
                        <wps:bodyPr wrap="square" lIns="0" tIns="0" rIns="0" bIns="0" rtlCol="0">
                          <a:prstTxWarp prst="textNoShape">
                            <a:avLst/>
                          </a:prstTxWarp>
                          <a:noAutofit/>
                        </wps:bodyPr>
                      </wps:wsp>
                      <wps:wsp>
                        <wps:cNvPr id="42" name="Graphic 42"/>
                        <wps:cNvSpPr/>
                        <wps:spPr>
                          <a:xfrm>
                            <a:off x="193558" y="294389"/>
                            <a:ext cx="1353820" cy="1711960"/>
                          </a:xfrm>
                          <a:custGeom>
                            <a:avLst/>
                            <a:gdLst/>
                            <a:ahLst/>
                            <a:cxnLst/>
                            <a:rect l="l" t="t" r="r" b="b"/>
                            <a:pathLst>
                              <a:path w="1353820" h="1711960">
                                <a:moveTo>
                                  <a:pt x="1353193" y="435858"/>
                                </a:moveTo>
                                <a:lnTo>
                                  <a:pt x="914385" y="435858"/>
                                </a:lnTo>
                              </a:path>
                              <a:path w="1353820" h="1711960">
                                <a:moveTo>
                                  <a:pt x="1051171" y="0"/>
                                </a:moveTo>
                                <a:lnTo>
                                  <a:pt x="717778" y="0"/>
                                </a:lnTo>
                              </a:path>
                              <a:path w="1353820" h="1711960">
                                <a:moveTo>
                                  <a:pt x="711428" y="1001267"/>
                                </a:moveTo>
                                <a:lnTo>
                                  <a:pt x="641574" y="1001267"/>
                                </a:lnTo>
                              </a:path>
                              <a:path w="1353820" h="1711960">
                                <a:moveTo>
                                  <a:pt x="894572" y="1434458"/>
                                </a:moveTo>
                                <a:lnTo>
                                  <a:pt x="895207" y="1379214"/>
                                </a:lnTo>
                              </a:path>
                              <a:path w="1353820" h="1711960">
                                <a:moveTo>
                                  <a:pt x="138437" y="1260343"/>
                                </a:moveTo>
                                <a:lnTo>
                                  <a:pt x="0" y="1260978"/>
                                </a:lnTo>
                              </a:path>
                              <a:path w="1353820" h="1711960">
                                <a:moveTo>
                                  <a:pt x="147581" y="1089657"/>
                                </a:moveTo>
                                <a:lnTo>
                                  <a:pt x="77728" y="1089657"/>
                                </a:lnTo>
                              </a:path>
                              <a:path w="1353820" h="1711960">
                                <a:moveTo>
                                  <a:pt x="591470" y="1711441"/>
                                </a:moveTo>
                                <a:lnTo>
                                  <a:pt x="542572" y="1711441"/>
                                </a:lnTo>
                              </a:path>
                              <a:path w="1353820" h="1711960">
                                <a:moveTo>
                                  <a:pt x="1353447" y="736094"/>
                                </a:moveTo>
                                <a:lnTo>
                                  <a:pt x="992113" y="736729"/>
                                </a:lnTo>
                              </a:path>
                            </a:pathLst>
                          </a:custGeom>
                          <a:ln w="6350">
                            <a:solidFill>
                              <a:srgbClr val="000000"/>
                            </a:solidFill>
                            <a:prstDash val="solid"/>
                          </a:ln>
                        </wps:spPr>
                        <wps:bodyPr wrap="square" lIns="0" tIns="0" rIns="0" bIns="0" rtlCol="0">
                          <a:prstTxWarp prst="textNoShape">
                            <a:avLst/>
                          </a:prstTxWarp>
                          <a:noAutofit/>
                        </wps:bodyPr>
                      </wps:wsp>
                      <wps:wsp>
                        <wps:cNvPr id="43" name="Graphic 43"/>
                        <wps:cNvSpPr/>
                        <wps:spPr>
                          <a:xfrm>
                            <a:off x="461796" y="903980"/>
                            <a:ext cx="9525" cy="1270"/>
                          </a:xfrm>
                          <a:custGeom>
                            <a:avLst/>
                            <a:gdLst/>
                            <a:ahLst/>
                            <a:cxnLst/>
                            <a:rect l="l" t="t" r="r" b="b"/>
                            <a:pathLst>
                              <a:path w="9525" h="0">
                                <a:moveTo>
                                  <a:pt x="0" y="0"/>
                                </a:moveTo>
                                <a:lnTo>
                                  <a:pt x="9144" y="0"/>
                                </a:lnTo>
                              </a:path>
                            </a:pathLst>
                          </a:custGeom>
                          <a:ln w="6349">
                            <a:solidFill>
                              <a:srgbClr val="000000"/>
                            </a:solidFill>
                            <a:prstDash val="solid"/>
                          </a:ln>
                        </wps:spPr>
                        <wps:bodyPr wrap="square" lIns="0" tIns="0" rIns="0" bIns="0" rtlCol="0">
                          <a:prstTxWarp prst="textNoShape">
                            <a:avLst/>
                          </a:prstTxWarp>
                          <a:noAutofit/>
                        </wps:bodyPr>
                      </wps:wsp>
                      <wps:wsp>
                        <wps:cNvPr id="44" name="Graphic 44"/>
                        <wps:cNvSpPr/>
                        <wps:spPr>
                          <a:xfrm>
                            <a:off x="1033263" y="984764"/>
                            <a:ext cx="116205" cy="102235"/>
                          </a:xfrm>
                          <a:custGeom>
                            <a:avLst/>
                            <a:gdLst/>
                            <a:ahLst/>
                            <a:cxnLst/>
                            <a:rect l="l" t="t" r="r" b="b"/>
                            <a:pathLst>
                              <a:path w="116205" h="102235">
                                <a:moveTo>
                                  <a:pt x="115830" y="0"/>
                                </a:moveTo>
                                <a:lnTo>
                                  <a:pt x="0" y="0"/>
                                </a:lnTo>
                                <a:lnTo>
                                  <a:pt x="0" y="102106"/>
                                </a:lnTo>
                                <a:lnTo>
                                  <a:pt x="115830" y="102106"/>
                                </a:lnTo>
                                <a:lnTo>
                                  <a:pt x="115830"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1033263" y="984764"/>
                            <a:ext cx="116205" cy="102235"/>
                          </a:xfrm>
                          <a:custGeom>
                            <a:avLst/>
                            <a:gdLst/>
                            <a:ahLst/>
                            <a:cxnLst/>
                            <a:rect l="l" t="t" r="r" b="b"/>
                            <a:pathLst>
                              <a:path w="116205" h="102235">
                                <a:moveTo>
                                  <a:pt x="0" y="102106"/>
                                </a:moveTo>
                                <a:lnTo>
                                  <a:pt x="115830" y="102106"/>
                                </a:lnTo>
                                <a:lnTo>
                                  <a:pt x="115830" y="0"/>
                                </a:lnTo>
                                <a:lnTo>
                                  <a:pt x="0" y="0"/>
                                </a:lnTo>
                                <a:lnTo>
                                  <a:pt x="0" y="102106"/>
                                </a:lnTo>
                                <a:close/>
                              </a:path>
                            </a:pathLst>
                          </a:custGeom>
                          <a:ln w="9525">
                            <a:solidFill>
                              <a:srgbClr val="FFFFFF"/>
                            </a:solidFill>
                            <a:prstDash val="solid"/>
                          </a:ln>
                        </wps:spPr>
                        <wps:bodyPr wrap="square" lIns="0" tIns="0" rIns="0" bIns="0" rtlCol="0">
                          <a:prstTxWarp prst="textNoShape">
                            <a:avLst/>
                          </a:prstTxWarp>
                          <a:noAutofit/>
                        </wps:bodyPr>
                      </wps:wsp>
                      <wps:wsp>
                        <wps:cNvPr id="46" name="Graphic 46"/>
                        <wps:cNvSpPr/>
                        <wps:spPr>
                          <a:xfrm>
                            <a:off x="0" y="899408"/>
                            <a:ext cx="439420" cy="1270"/>
                          </a:xfrm>
                          <a:custGeom>
                            <a:avLst/>
                            <a:gdLst/>
                            <a:ahLst/>
                            <a:cxnLst/>
                            <a:rect l="l" t="t" r="r" b="b"/>
                            <a:pathLst>
                              <a:path w="439420" h="0">
                                <a:moveTo>
                                  <a:pt x="438808" y="0"/>
                                </a:moveTo>
                                <a:lnTo>
                                  <a:pt x="0" y="0"/>
                                </a:lnTo>
                              </a:path>
                            </a:pathLst>
                          </a:custGeom>
                          <a:ln w="6349">
                            <a:solidFill>
                              <a:srgbClr val="000000"/>
                            </a:solidFill>
                            <a:prstDash val="solid"/>
                          </a:ln>
                        </wps:spPr>
                        <wps:bodyPr wrap="square" lIns="0" tIns="0" rIns="0" bIns="0" rtlCol="0">
                          <a:prstTxWarp prst="textNoShape">
                            <a:avLst/>
                          </a:prstTxWarp>
                          <a:noAutofit/>
                        </wps:bodyPr>
                      </wps:wsp>
                      <wps:wsp>
                        <wps:cNvPr id="47" name="Graphic 47"/>
                        <wps:cNvSpPr/>
                        <wps:spPr>
                          <a:xfrm>
                            <a:off x="470941" y="884181"/>
                            <a:ext cx="91440" cy="100965"/>
                          </a:xfrm>
                          <a:custGeom>
                            <a:avLst/>
                            <a:gdLst/>
                            <a:ahLst/>
                            <a:cxnLst/>
                            <a:rect l="l" t="t" r="r" b="b"/>
                            <a:pathLst>
                              <a:path w="91440" h="100965">
                                <a:moveTo>
                                  <a:pt x="91444" y="0"/>
                                </a:moveTo>
                                <a:lnTo>
                                  <a:pt x="0" y="0"/>
                                </a:lnTo>
                                <a:lnTo>
                                  <a:pt x="0" y="100582"/>
                                </a:lnTo>
                                <a:lnTo>
                                  <a:pt x="91444" y="100582"/>
                                </a:lnTo>
                                <a:lnTo>
                                  <a:pt x="91444"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470941" y="884181"/>
                            <a:ext cx="91440" cy="100965"/>
                          </a:xfrm>
                          <a:custGeom>
                            <a:avLst/>
                            <a:gdLst/>
                            <a:ahLst/>
                            <a:cxnLst/>
                            <a:rect l="l" t="t" r="r" b="b"/>
                            <a:pathLst>
                              <a:path w="91440" h="100965">
                                <a:moveTo>
                                  <a:pt x="0" y="100582"/>
                                </a:moveTo>
                                <a:lnTo>
                                  <a:pt x="91444" y="100582"/>
                                </a:lnTo>
                                <a:lnTo>
                                  <a:pt x="91444" y="0"/>
                                </a:lnTo>
                                <a:lnTo>
                                  <a:pt x="0" y="0"/>
                                </a:lnTo>
                                <a:lnTo>
                                  <a:pt x="0" y="100582"/>
                                </a:lnTo>
                                <a:close/>
                              </a:path>
                            </a:pathLst>
                          </a:custGeom>
                          <a:ln w="9525">
                            <a:solidFill>
                              <a:srgbClr val="FFFFFF"/>
                            </a:solidFill>
                            <a:prstDash val="solid"/>
                          </a:ln>
                        </wps:spPr>
                        <wps:bodyPr wrap="square" lIns="0" tIns="0" rIns="0" bIns="0" rtlCol="0">
                          <a:prstTxWarp prst="textNoShape">
                            <a:avLst/>
                          </a:prstTxWarp>
                          <a:noAutofit/>
                        </wps:bodyPr>
                      </wps:wsp>
                      <wps:wsp>
                        <wps:cNvPr id="49" name="Textbox 49"/>
                        <wps:cNvSpPr txBox="1"/>
                        <wps:spPr>
                          <a:xfrm>
                            <a:off x="678787" y="63575"/>
                            <a:ext cx="267970" cy="113664"/>
                          </a:xfrm>
                          <a:prstGeom prst="rect">
                            <a:avLst/>
                          </a:prstGeom>
                        </wps:spPr>
                        <wps:txbx>
                          <w:txbxContent>
                            <w:p>
                              <w:pPr>
                                <w:spacing w:line="178" w:lineRule="exact" w:before="0"/>
                                <w:ind w:left="0" w:right="0" w:firstLine="0"/>
                                <w:jc w:val="left"/>
                                <w:rPr>
                                  <w:sz w:val="16"/>
                                </w:rPr>
                              </w:pPr>
                              <w:r>
                                <w:rPr>
                                  <w:color w:val="000000"/>
                                  <w:spacing w:val="-2"/>
                                  <w:sz w:val="16"/>
                                  <w:shd w:fill="FFFFFF" w:color="auto" w:val="clear"/>
                                </w:rPr>
                                <w:t>Motor</w:t>
                              </w:r>
                            </w:p>
                          </w:txbxContent>
                        </wps:txbx>
                        <wps:bodyPr wrap="square" lIns="0" tIns="0" rIns="0" bIns="0" rtlCol="0">
                          <a:noAutofit/>
                        </wps:bodyPr>
                      </wps:wsp>
                      <wps:wsp>
                        <wps:cNvPr id="50" name="Textbox 50"/>
                        <wps:cNvSpPr txBox="1"/>
                        <wps:spPr>
                          <a:xfrm>
                            <a:off x="1252096" y="159967"/>
                            <a:ext cx="353060" cy="230504"/>
                          </a:xfrm>
                          <a:prstGeom prst="rect">
                            <a:avLst/>
                          </a:prstGeom>
                        </wps:spPr>
                        <wps:txbx>
                          <w:txbxContent>
                            <w:p>
                              <w:pPr>
                                <w:spacing w:line="240" w:lineRule="auto" w:before="0"/>
                                <w:ind w:left="0" w:right="18" w:firstLine="0"/>
                                <w:jc w:val="left"/>
                                <w:rPr>
                                  <w:sz w:val="16"/>
                                </w:rPr>
                              </w:pPr>
                              <w:r>
                                <w:rPr>
                                  <w:spacing w:val="-2"/>
                                  <w:sz w:val="16"/>
                                </w:rPr>
                                <w:t>Speed</w:t>
                              </w:r>
                              <w:r>
                                <w:rPr>
                                  <w:spacing w:val="40"/>
                                  <w:sz w:val="16"/>
                                </w:rPr>
                                <w:t> </w:t>
                              </w:r>
                              <w:r>
                                <w:rPr>
                                  <w:spacing w:val="-2"/>
                                  <w:sz w:val="16"/>
                                </w:rPr>
                                <w:t>Reducer</w:t>
                              </w:r>
                            </w:p>
                          </w:txbxContent>
                        </wps:txbx>
                        <wps:bodyPr wrap="square" lIns="0" tIns="0" rIns="0" bIns="0" rtlCol="0">
                          <a:noAutofit/>
                        </wps:bodyPr>
                      </wps:wsp>
                      <wps:wsp>
                        <wps:cNvPr id="51" name="Textbox 51"/>
                        <wps:cNvSpPr txBox="1"/>
                        <wps:spPr>
                          <a:xfrm>
                            <a:off x="910702" y="1233432"/>
                            <a:ext cx="262255" cy="113664"/>
                          </a:xfrm>
                          <a:prstGeom prst="rect">
                            <a:avLst/>
                          </a:prstGeom>
                        </wps:spPr>
                        <wps:txbx>
                          <w:txbxContent>
                            <w:p>
                              <w:pPr>
                                <w:spacing w:line="178" w:lineRule="exact" w:before="0"/>
                                <w:ind w:left="0" w:right="0" w:firstLine="0"/>
                                <w:jc w:val="left"/>
                                <w:rPr>
                                  <w:sz w:val="16"/>
                                </w:rPr>
                              </w:pPr>
                              <w:r>
                                <w:rPr>
                                  <w:color w:val="000000"/>
                                  <w:spacing w:val="-2"/>
                                  <w:sz w:val="16"/>
                                  <w:shd w:fill="FFFFFF" w:color="auto" w:val="clear"/>
                                </w:rPr>
                                <w:t>Shaft</w:t>
                              </w:r>
                              <w:r>
                                <w:rPr>
                                  <w:color w:val="000000"/>
                                  <w:spacing w:val="40"/>
                                  <w:sz w:val="16"/>
                                  <w:shd w:fill="FFFFFF" w:color="auto" w:val="clear"/>
                                </w:rPr>
                                <w:t> </w:t>
                              </w:r>
                            </w:p>
                          </w:txbxContent>
                        </wps:txbx>
                        <wps:bodyPr wrap="square" lIns="0" tIns="0" rIns="0" bIns="0" rtlCol="0">
                          <a:noAutofit/>
                        </wps:bodyPr>
                      </wps:wsp>
                      <wps:wsp>
                        <wps:cNvPr id="52" name="Textbox 52"/>
                        <wps:cNvSpPr txBox="1"/>
                        <wps:spPr>
                          <a:xfrm>
                            <a:off x="573466" y="1488242"/>
                            <a:ext cx="41275" cy="113664"/>
                          </a:xfrm>
                          <a:prstGeom prst="rect">
                            <a:avLst/>
                          </a:prstGeom>
                        </wps:spPr>
                        <wps:txbx>
                          <w:txbxContent>
                            <w:p>
                              <w:pPr>
                                <w:spacing w:line="178" w:lineRule="exact" w:before="0"/>
                                <w:ind w:left="0" w:right="0" w:firstLine="0"/>
                                <w:jc w:val="left"/>
                                <w:rPr>
                                  <w:sz w:val="16"/>
                                </w:rPr>
                              </w:pPr>
                              <w:r>
                                <w:rPr>
                                  <w:spacing w:val="-10"/>
                                  <w:sz w:val="16"/>
                                </w:rPr>
                                <w:t>t</w:t>
                              </w:r>
                            </w:p>
                          </w:txbxContent>
                        </wps:txbx>
                        <wps:bodyPr wrap="square" lIns="0" tIns="0" rIns="0" bIns="0" rtlCol="0">
                          <a:noAutofit/>
                        </wps:bodyPr>
                      </wps:wsp>
                      <wps:wsp>
                        <wps:cNvPr id="53" name="Textbox 53"/>
                        <wps:cNvSpPr txBox="1"/>
                        <wps:spPr>
                          <a:xfrm>
                            <a:off x="927467" y="1567489"/>
                            <a:ext cx="46990" cy="113664"/>
                          </a:xfrm>
                          <a:prstGeom prst="rect">
                            <a:avLst/>
                          </a:prstGeom>
                        </wps:spPr>
                        <wps:txbx>
                          <w:txbxContent>
                            <w:p>
                              <w:pPr>
                                <w:spacing w:line="178" w:lineRule="exact" w:before="0"/>
                                <w:ind w:left="0" w:right="0" w:firstLine="0"/>
                                <w:jc w:val="left"/>
                                <w:rPr>
                                  <w:sz w:val="16"/>
                                </w:rPr>
                              </w:pPr>
                              <w:r>
                                <w:rPr>
                                  <w:spacing w:val="-10"/>
                                  <w:sz w:val="16"/>
                                </w:rPr>
                                <w:t>I</w:t>
                              </w:r>
                            </w:p>
                          </w:txbxContent>
                        </wps:txbx>
                        <wps:bodyPr wrap="square" lIns="0" tIns="0" rIns="0" bIns="0" rtlCol="0">
                          <a:noAutofit/>
                        </wps:bodyPr>
                      </wps:wsp>
                      <wps:wsp>
                        <wps:cNvPr id="54" name="Textbox 54"/>
                        <wps:cNvSpPr txBox="1"/>
                        <wps:spPr>
                          <a:xfrm>
                            <a:off x="1239508" y="1567489"/>
                            <a:ext cx="46990" cy="113664"/>
                          </a:xfrm>
                          <a:prstGeom prst="rect">
                            <a:avLst/>
                          </a:prstGeom>
                        </wps:spPr>
                        <wps:txbx>
                          <w:txbxContent>
                            <w:p>
                              <w:pPr>
                                <w:spacing w:line="178" w:lineRule="exact" w:before="0"/>
                                <w:ind w:left="0" w:right="0" w:firstLine="0"/>
                                <w:jc w:val="left"/>
                                <w:rPr>
                                  <w:sz w:val="16"/>
                                </w:rPr>
                              </w:pPr>
                              <w:r>
                                <w:rPr>
                                  <w:spacing w:val="-10"/>
                                  <w:sz w:val="16"/>
                                </w:rPr>
                                <w:t>r</w:t>
                              </w:r>
                            </w:p>
                          </w:txbxContent>
                        </wps:txbx>
                        <wps:bodyPr wrap="square" lIns="0" tIns="0" rIns="0" bIns="0" rtlCol="0">
                          <a:noAutofit/>
                        </wps:bodyPr>
                      </wps:wsp>
                      <wps:wsp>
                        <wps:cNvPr id="55" name="Textbox 55"/>
                        <wps:cNvSpPr txBox="1"/>
                        <wps:spPr>
                          <a:xfrm>
                            <a:off x="232231" y="1941168"/>
                            <a:ext cx="513715" cy="113664"/>
                          </a:xfrm>
                          <a:prstGeom prst="rect">
                            <a:avLst/>
                          </a:prstGeom>
                        </wps:spPr>
                        <wps:txbx>
                          <w:txbxContent>
                            <w:p>
                              <w:pPr>
                                <w:spacing w:line="178" w:lineRule="exact" w:before="0"/>
                                <w:ind w:left="0" w:right="0" w:firstLine="0"/>
                                <w:jc w:val="left"/>
                                <w:rPr>
                                  <w:sz w:val="16"/>
                                </w:rPr>
                              </w:pPr>
                              <w:r>
                                <w:rPr>
                                  <w:sz w:val="16"/>
                                </w:rPr>
                                <w:t>Dr</w:t>
                              </w:r>
                              <w:r>
                                <w:rPr>
                                  <w:color w:val="000000"/>
                                  <w:sz w:val="16"/>
                                  <w:shd w:fill="FFFFFF" w:color="auto" w:val="clear"/>
                                </w:rPr>
                                <w:t>ain</w:t>
                              </w:r>
                              <w:r>
                                <w:rPr>
                                  <w:color w:val="000000"/>
                                  <w:spacing w:val="-5"/>
                                  <w:sz w:val="16"/>
                                  <w:shd w:fill="FFFFFF" w:color="auto" w:val="clear"/>
                                </w:rPr>
                                <w:t> </w:t>
                              </w:r>
                              <w:r>
                                <w:rPr>
                                  <w:color w:val="000000"/>
                                  <w:spacing w:val="-2"/>
                                  <w:sz w:val="16"/>
                                  <w:shd w:fill="FFFFFF" w:color="auto" w:val="clear"/>
                                </w:rPr>
                                <w:t>Valve</w:t>
                              </w:r>
                            </w:p>
                          </w:txbxContent>
                        </wps:txbx>
                        <wps:bodyPr wrap="square" lIns="0" tIns="0" rIns="0" bIns="0" rtlCol="0">
                          <a:noAutofit/>
                        </wps:bodyPr>
                      </wps:wsp>
                      <wps:wsp>
                        <wps:cNvPr id="56" name="Textbox 56"/>
                        <wps:cNvSpPr txBox="1"/>
                        <wps:spPr>
                          <a:xfrm>
                            <a:off x="327487" y="1283273"/>
                            <a:ext cx="264160" cy="335915"/>
                          </a:xfrm>
                          <a:prstGeom prst="rect">
                            <a:avLst/>
                          </a:prstGeom>
                          <a:solidFill>
                            <a:srgbClr val="FFFFFF"/>
                          </a:solidFill>
                          <a:ln w="0">
                            <a:solidFill>
                              <a:srgbClr val="FFFFFF"/>
                            </a:solidFill>
                            <a:prstDash val="solid"/>
                          </a:ln>
                        </wps:spPr>
                        <wps:txbx>
                          <w:txbxContent>
                            <w:p>
                              <w:pPr>
                                <w:spacing w:line="252" w:lineRule="exact" w:before="12"/>
                                <w:ind w:left="30" w:right="-15" w:hanging="8"/>
                                <w:jc w:val="left"/>
                                <w:rPr>
                                  <w:color w:val="000000"/>
                                  <w:sz w:val="16"/>
                                </w:rPr>
                              </w:pPr>
                              <w:r>
                                <w:rPr>
                                  <w:color w:val="000000"/>
                                  <w:spacing w:val="-2"/>
                                  <w:sz w:val="16"/>
                                </w:rPr>
                                <w:t>Baffle</w:t>
                              </w:r>
                              <w:r>
                                <w:rPr>
                                  <w:color w:val="000000"/>
                                  <w:spacing w:val="40"/>
                                  <w:sz w:val="16"/>
                                </w:rPr>
                                <w:t> </w:t>
                              </w:r>
                              <w:r>
                                <w:rPr>
                                  <w:color w:val="000000"/>
                                  <w:spacing w:val="-2"/>
                                  <w:sz w:val="16"/>
                                </w:rPr>
                                <w:t>Jacke</w:t>
                              </w:r>
                            </w:p>
                          </w:txbxContent>
                        </wps:txbx>
                        <wps:bodyPr wrap="square" lIns="0" tIns="0" rIns="0" bIns="0" rtlCol="0">
                          <a:noAutofit/>
                        </wps:bodyPr>
                      </wps:wsp>
                      <wps:wsp>
                        <wps:cNvPr id="57" name="Textbox 57"/>
                        <wps:cNvSpPr txBox="1"/>
                        <wps:spPr>
                          <a:xfrm>
                            <a:off x="975158" y="1489010"/>
                            <a:ext cx="264160" cy="189865"/>
                          </a:xfrm>
                          <a:prstGeom prst="rect">
                            <a:avLst/>
                          </a:prstGeom>
                          <a:solidFill>
                            <a:srgbClr val="FFFFFF"/>
                          </a:solidFill>
                        </wps:spPr>
                        <wps:txbx>
                          <w:txbxContent>
                            <w:p>
                              <w:pPr>
                                <w:spacing w:line="181" w:lineRule="exact" w:before="117"/>
                                <w:ind w:left="-25" w:right="0" w:firstLine="0"/>
                                <w:jc w:val="left"/>
                                <w:rPr>
                                  <w:color w:val="000000"/>
                                  <w:sz w:val="16"/>
                                </w:rPr>
                              </w:pPr>
                              <w:r>
                                <w:rPr>
                                  <w:color w:val="000000"/>
                                  <w:spacing w:val="-2"/>
                                  <w:sz w:val="16"/>
                                </w:rPr>
                                <w:t>mpelle</w:t>
                              </w:r>
                            </w:p>
                          </w:txbxContent>
                        </wps:txbx>
                        <wps:bodyPr wrap="square" lIns="0" tIns="0" rIns="0" bIns="0" rtlCol="0">
                          <a:noAutofit/>
                        </wps:bodyPr>
                      </wps:wsp>
                    </wpg:wgp>
                  </a:graphicData>
                </a:graphic>
              </wp:anchor>
            </w:drawing>
          </mc:Choice>
          <mc:Fallback>
            <w:pict>
              <v:group style="position:absolute;margin-left:106.616905pt;margin-top:-186.198532pt;width:126.4pt;height:172.8pt;mso-position-horizontal-relative:page;mso-position-vertical-relative:paragraph;z-index:15734272" id="docshapegroup30" coordorigin="2132,-3724" coordsize="2528,3456">
                <v:shape style="position:absolute;left:2400;top:-3724;width:2107;height:3456" type="#_x0000_t75" id="docshape31" stroked="false">
                  <v:imagedata r:id="rId12" o:title=""/>
                </v:shape>
                <v:rect style="position:absolute;left:4076;top:-3410;width:447;height:281" id="docshape32" filled="true" fillcolor="#ffffff" stroked="false">
                  <v:fill type="solid"/>
                </v:rect>
                <v:rect style="position:absolute;left:4076;top:-3410;width:447;height:281" id="docshape33" filled="false" stroked="true" strokeweight=".750004pt" strokecolor="#ffffff">
                  <v:stroke dashstyle="solid"/>
                </v:rect>
                <v:rect style="position:absolute;left:3550;top:-2013;width:553;height:233" id="docshape34" filled="true" fillcolor="#ffffff" stroked="false">
                  <v:fill type="solid"/>
                </v:rect>
                <v:rect style="position:absolute;left:3550;top:-2013;width:553;height:233" id="docshape35" filled="false" stroked="true" strokeweight=".749997pt" strokecolor="#ffffff">
                  <v:stroke dashstyle="solid"/>
                </v:rect>
                <v:rect style="position:absolute;left:3521;top:-2742;width:401;height:454" id="docshape36" filled="true" fillcolor="#ffffff" stroked="false">
                  <v:fill type="solid"/>
                </v:rect>
                <v:shape style="position:absolute;left:3521;top:-2742;width:437;height:1198" id="docshape37" coordorigin="3522,-2742" coordsize="437,1198" path="m3522,-2288l3923,-2288,3923,-2742,3522,-2742,3522,-2288xm3558,-1544l3959,-1544,3959,-1780,3558,-1780,3558,-1544xe" filled="false" stroked="true" strokeweight=".750015pt" strokecolor="#ffffff">
                  <v:path arrowok="t"/>
                  <v:stroke dashstyle="solid"/>
                </v:shape>
                <v:rect style="position:absolute;left:2907;top:-2426;width:401;height:233" id="docshape38" filled="true" fillcolor="#ffffff" stroked="false">
                  <v:fill type="solid"/>
                </v:rect>
                <v:rect style="position:absolute;left:2907;top:-2426;width:401;height:233" id="docshape39" filled="false" stroked="true" strokeweight=".750003pt" strokecolor="#ffffff">
                  <v:stroke dashstyle="solid"/>
                </v:rect>
                <v:shape style="position:absolute;left:2437;top:-3261;width:2132;height:2696" id="docshape40" coordorigin="2437,-3260" coordsize="2132,2696" path="m4568,-2574l3877,-2574m4093,-3260l3568,-3260m3558,-1684l3448,-1684m3846,-1001l3847,-1088m2655,-1276l2437,-1275m2670,-1544l2560,-1544m3369,-565l3292,-565m4569,-2101l4000,-2100e" filled="false" stroked="true" strokeweight=".500010pt" strokecolor="#000000">
                  <v:path arrowok="t"/>
                  <v:stroke dashstyle="solid"/>
                </v:shape>
                <v:line style="position:absolute" from="2860,-2300" to="2874,-2300" stroked="true" strokeweight=".499994pt" strokecolor="#000000">
                  <v:stroke dashstyle="solid"/>
                </v:line>
                <v:rect style="position:absolute;left:3759;top:-2174;width:183;height:161" id="docshape41" filled="true" fillcolor="#ffffff" stroked="false">
                  <v:fill type="solid"/>
                </v:rect>
                <v:rect style="position:absolute;left:3759;top:-2174;width:183;height:161" id="docshape42" filled="false" stroked="true" strokeweight=".750012pt" strokecolor="#ffffff">
                  <v:stroke dashstyle="solid"/>
                </v:rect>
                <v:line style="position:absolute" from="2823,-2308" to="2132,-2308" stroked="true" strokeweight=".499993pt" strokecolor="#000000">
                  <v:stroke dashstyle="solid"/>
                </v:line>
                <v:rect style="position:absolute;left:2873;top:-2332;width:144;height:159" id="docshape43" filled="true" fillcolor="#ffffff" stroked="false">
                  <v:fill type="solid"/>
                </v:rect>
                <v:rect style="position:absolute;left:2873;top:-2332;width:144;height:159" id="docshape44" filled="false" stroked="true" strokeweight=".750017pt" strokecolor="#ffffff">
                  <v:stroke dashstyle="solid"/>
                </v:rect>
                <v:shape style="position:absolute;left:3201;top:-3624;width:422;height:179" type="#_x0000_t202" id="docshape45" filled="false" stroked="false">
                  <v:textbox inset="0,0,0,0">
                    <w:txbxContent>
                      <w:p>
                        <w:pPr>
                          <w:spacing w:line="178" w:lineRule="exact" w:before="0"/>
                          <w:ind w:left="0" w:right="0" w:firstLine="0"/>
                          <w:jc w:val="left"/>
                          <w:rPr>
                            <w:sz w:val="16"/>
                          </w:rPr>
                        </w:pPr>
                        <w:r>
                          <w:rPr>
                            <w:color w:val="000000"/>
                            <w:spacing w:val="-2"/>
                            <w:sz w:val="16"/>
                            <w:shd w:fill="FFFFFF" w:color="auto" w:val="clear"/>
                          </w:rPr>
                          <w:t>Motor</w:t>
                        </w:r>
                      </w:p>
                    </w:txbxContent>
                  </v:textbox>
                  <w10:wrap type="none"/>
                </v:shape>
                <v:shape style="position:absolute;left:4104;top:-3473;width:556;height:363" type="#_x0000_t202" id="docshape46" filled="false" stroked="false">
                  <v:textbox inset="0,0,0,0">
                    <w:txbxContent>
                      <w:p>
                        <w:pPr>
                          <w:spacing w:line="240" w:lineRule="auto" w:before="0"/>
                          <w:ind w:left="0" w:right="18" w:firstLine="0"/>
                          <w:jc w:val="left"/>
                          <w:rPr>
                            <w:sz w:val="16"/>
                          </w:rPr>
                        </w:pPr>
                        <w:r>
                          <w:rPr>
                            <w:spacing w:val="-2"/>
                            <w:sz w:val="16"/>
                          </w:rPr>
                          <w:t>Speed</w:t>
                        </w:r>
                        <w:r>
                          <w:rPr>
                            <w:spacing w:val="40"/>
                            <w:sz w:val="16"/>
                          </w:rPr>
                          <w:t> </w:t>
                        </w:r>
                        <w:r>
                          <w:rPr>
                            <w:spacing w:val="-2"/>
                            <w:sz w:val="16"/>
                          </w:rPr>
                          <w:t>Reducer</w:t>
                        </w:r>
                      </w:p>
                    </w:txbxContent>
                  </v:textbox>
                  <w10:wrap type="none"/>
                </v:shape>
                <v:shape style="position:absolute;left:3566;top:-1782;width:413;height:179" type="#_x0000_t202" id="docshape47" filled="false" stroked="false">
                  <v:textbox inset="0,0,0,0">
                    <w:txbxContent>
                      <w:p>
                        <w:pPr>
                          <w:spacing w:line="178" w:lineRule="exact" w:before="0"/>
                          <w:ind w:left="0" w:right="0" w:firstLine="0"/>
                          <w:jc w:val="left"/>
                          <w:rPr>
                            <w:sz w:val="16"/>
                          </w:rPr>
                        </w:pPr>
                        <w:r>
                          <w:rPr>
                            <w:color w:val="000000"/>
                            <w:spacing w:val="-2"/>
                            <w:sz w:val="16"/>
                            <w:shd w:fill="FFFFFF" w:color="auto" w:val="clear"/>
                          </w:rPr>
                          <w:t>Shaft</w:t>
                        </w:r>
                        <w:r>
                          <w:rPr>
                            <w:color w:val="000000"/>
                            <w:spacing w:val="40"/>
                            <w:sz w:val="16"/>
                            <w:shd w:fill="FFFFFF" w:color="auto" w:val="clear"/>
                          </w:rPr>
                          <w:t> </w:t>
                        </w:r>
                      </w:p>
                    </w:txbxContent>
                  </v:textbox>
                  <w10:wrap type="none"/>
                </v:shape>
                <v:shape style="position:absolute;left:3035;top:-1381;width:65;height:179" type="#_x0000_t202" id="docshape48" filled="false" stroked="false">
                  <v:textbox inset="0,0,0,0">
                    <w:txbxContent>
                      <w:p>
                        <w:pPr>
                          <w:spacing w:line="178" w:lineRule="exact" w:before="0"/>
                          <w:ind w:left="0" w:right="0" w:firstLine="0"/>
                          <w:jc w:val="left"/>
                          <w:rPr>
                            <w:sz w:val="16"/>
                          </w:rPr>
                        </w:pPr>
                        <w:r>
                          <w:rPr>
                            <w:spacing w:val="-10"/>
                            <w:sz w:val="16"/>
                          </w:rPr>
                          <w:t>t</w:t>
                        </w:r>
                      </w:p>
                    </w:txbxContent>
                  </v:textbox>
                  <w10:wrap type="none"/>
                </v:shape>
                <v:shape style="position:absolute;left:3592;top:-1256;width:74;height:179" type="#_x0000_t202" id="docshape49" filled="false" stroked="false">
                  <v:textbox inset="0,0,0,0">
                    <w:txbxContent>
                      <w:p>
                        <w:pPr>
                          <w:spacing w:line="178" w:lineRule="exact" w:before="0"/>
                          <w:ind w:left="0" w:right="0" w:firstLine="0"/>
                          <w:jc w:val="left"/>
                          <w:rPr>
                            <w:sz w:val="16"/>
                          </w:rPr>
                        </w:pPr>
                        <w:r>
                          <w:rPr>
                            <w:spacing w:val="-10"/>
                            <w:sz w:val="16"/>
                          </w:rPr>
                          <w:t>I</w:t>
                        </w:r>
                      </w:p>
                    </w:txbxContent>
                  </v:textbox>
                  <w10:wrap type="none"/>
                </v:shape>
                <v:shape style="position:absolute;left:4084;top:-1256;width:74;height:179" type="#_x0000_t202" id="docshape50" filled="false" stroked="false">
                  <v:textbox inset="0,0,0,0">
                    <w:txbxContent>
                      <w:p>
                        <w:pPr>
                          <w:spacing w:line="178" w:lineRule="exact" w:before="0"/>
                          <w:ind w:left="0" w:right="0" w:firstLine="0"/>
                          <w:jc w:val="left"/>
                          <w:rPr>
                            <w:sz w:val="16"/>
                          </w:rPr>
                        </w:pPr>
                        <w:r>
                          <w:rPr>
                            <w:spacing w:val="-10"/>
                            <w:sz w:val="16"/>
                          </w:rPr>
                          <w:t>r</w:t>
                        </w:r>
                      </w:p>
                    </w:txbxContent>
                  </v:textbox>
                  <w10:wrap type="none"/>
                </v:shape>
                <v:shape style="position:absolute;left:2498;top:-668;width:809;height:179" type="#_x0000_t202" id="docshape51" filled="false" stroked="false">
                  <v:textbox inset="0,0,0,0">
                    <w:txbxContent>
                      <w:p>
                        <w:pPr>
                          <w:spacing w:line="178" w:lineRule="exact" w:before="0"/>
                          <w:ind w:left="0" w:right="0" w:firstLine="0"/>
                          <w:jc w:val="left"/>
                          <w:rPr>
                            <w:sz w:val="16"/>
                          </w:rPr>
                        </w:pPr>
                        <w:r>
                          <w:rPr>
                            <w:sz w:val="16"/>
                          </w:rPr>
                          <w:t>Dr</w:t>
                        </w:r>
                        <w:r>
                          <w:rPr>
                            <w:color w:val="000000"/>
                            <w:sz w:val="16"/>
                            <w:shd w:fill="FFFFFF" w:color="auto" w:val="clear"/>
                          </w:rPr>
                          <w:t>ain</w:t>
                        </w:r>
                        <w:r>
                          <w:rPr>
                            <w:color w:val="000000"/>
                            <w:spacing w:val="-5"/>
                            <w:sz w:val="16"/>
                            <w:shd w:fill="FFFFFF" w:color="auto" w:val="clear"/>
                          </w:rPr>
                          <w:t> </w:t>
                        </w:r>
                        <w:r>
                          <w:rPr>
                            <w:color w:val="000000"/>
                            <w:spacing w:val="-2"/>
                            <w:sz w:val="16"/>
                            <w:shd w:fill="FFFFFF" w:color="auto" w:val="clear"/>
                          </w:rPr>
                          <w:t>Valve</w:t>
                        </w:r>
                      </w:p>
                    </w:txbxContent>
                  </v:textbox>
                  <w10:wrap type="none"/>
                </v:shape>
                <v:shape style="position:absolute;left:2648;top:-1704;width:416;height:529" type="#_x0000_t202" id="docshape52" filled="true" fillcolor="#ffffff" stroked="true" strokeweight="0pt" strokecolor="#ffffff">
                  <v:textbox inset="0,0,0,0">
                    <w:txbxContent>
                      <w:p>
                        <w:pPr>
                          <w:spacing w:line="252" w:lineRule="exact" w:before="12"/>
                          <w:ind w:left="30" w:right="-15" w:hanging="8"/>
                          <w:jc w:val="left"/>
                          <w:rPr>
                            <w:color w:val="000000"/>
                            <w:sz w:val="16"/>
                          </w:rPr>
                        </w:pPr>
                        <w:r>
                          <w:rPr>
                            <w:color w:val="000000"/>
                            <w:spacing w:val="-2"/>
                            <w:sz w:val="16"/>
                          </w:rPr>
                          <w:t>Baffle</w:t>
                        </w:r>
                        <w:r>
                          <w:rPr>
                            <w:color w:val="000000"/>
                            <w:spacing w:val="40"/>
                            <w:sz w:val="16"/>
                          </w:rPr>
                          <w:t> </w:t>
                        </w:r>
                        <w:r>
                          <w:rPr>
                            <w:color w:val="000000"/>
                            <w:spacing w:val="-2"/>
                            <w:sz w:val="16"/>
                          </w:rPr>
                          <w:t>Jacke</w:t>
                        </w:r>
                      </w:p>
                    </w:txbxContent>
                  </v:textbox>
                  <v:fill type="solid"/>
                  <v:stroke dashstyle="solid"/>
                  <w10:wrap type="none"/>
                </v:shape>
                <v:shape style="position:absolute;left:3668;top:-1380;width:416;height:299" type="#_x0000_t202" id="docshape53" filled="true" fillcolor="#ffffff" stroked="false">
                  <v:textbox inset="0,0,0,0">
                    <w:txbxContent>
                      <w:p>
                        <w:pPr>
                          <w:spacing w:line="181" w:lineRule="exact" w:before="117"/>
                          <w:ind w:left="-25" w:right="0" w:firstLine="0"/>
                          <w:jc w:val="left"/>
                          <w:rPr>
                            <w:color w:val="000000"/>
                            <w:sz w:val="16"/>
                          </w:rPr>
                        </w:pPr>
                        <w:r>
                          <w:rPr>
                            <w:color w:val="000000"/>
                            <w:spacing w:val="-2"/>
                            <w:sz w:val="16"/>
                          </w:rPr>
                          <w:t>mpelle</w:t>
                        </w:r>
                      </w:p>
                    </w:txbxContent>
                  </v:textbox>
                  <v:fill type="solid"/>
                  <w10:wrap type="none"/>
                </v:shape>
                <w10:wrap type="none"/>
              </v:group>
            </w:pict>
          </mc:Fallback>
        </mc:AlternateContent>
      </w:r>
      <w:r>
        <w:rPr>
          <w:b/>
        </w:rPr>
        <w:t>Figure</w:t>
      </w:r>
      <w:r>
        <w:rPr>
          <w:b/>
          <w:spacing w:val="-5"/>
        </w:rPr>
        <w:t> </w:t>
      </w:r>
      <w:r>
        <w:rPr>
          <w:b/>
        </w:rPr>
        <w:t>2</w:t>
      </w:r>
      <w:r>
        <w:rPr/>
        <w:t>.</w:t>
      </w:r>
      <w:r>
        <w:rPr>
          <w:spacing w:val="-5"/>
        </w:rPr>
        <w:t> </w:t>
      </w:r>
      <w:r>
        <w:rPr/>
        <w:t>Reactor</w:t>
      </w:r>
      <w:r>
        <w:rPr>
          <w:spacing w:val="-5"/>
        </w:rPr>
        <w:t> </w:t>
      </w:r>
      <w:r>
        <w:rPr/>
        <w:t>for</w:t>
      </w:r>
      <w:r>
        <w:rPr>
          <w:spacing w:val="-6"/>
        </w:rPr>
        <w:t> </w:t>
      </w:r>
      <w:r>
        <w:rPr/>
        <w:t>saponification</w:t>
      </w:r>
      <w:r>
        <w:rPr>
          <w:spacing w:val="-3"/>
        </w:rPr>
        <w:t> </w:t>
      </w:r>
      <w:r>
        <w:rPr/>
        <w:t>to</w:t>
      </w:r>
      <w:r>
        <w:rPr>
          <w:spacing w:val="-5"/>
        </w:rPr>
        <w:t> </w:t>
      </w:r>
      <w:r>
        <w:rPr/>
        <w:t>produce</w:t>
      </w:r>
      <w:r>
        <w:rPr>
          <w:spacing w:val="-8"/>
        </w:rPr>
        <w:t> </w:t>
      </w:r>
      <w:r>
        <w:rPr/>
        <w:t>bio </w:t>
      </w:r>
      <w:r>
        <w:rPr>
          <w:spacing w:val="-2"/>
        </w:rPr>
        <w:t>grease.</w:t>
      </w:r>
    </w:p>
    <w:p>
      <w:pPr>
        <w:pStyle w:val="BodyText"/>
        <w:spacing w:before="229"/>
        <w:ind w:left="313" w:right="38"/>
        <w:jc w:val="right"/>
      </w:pPr>
      <w:r>
        <w:rPr/>
        <w:t>2020)</w:t>
      </w:r>
      <w:r>
        <w:rPr>
          <w:spacing w:val="40"/>
        </w:rPr>
        <w:t> </w:t>
      </w:r>
      <w:r>
        <w:rPr/>
        <w:t>method</w:t>
      </w:r>
      <w:r>
        <w:rPr>
          <w:spacing w:val="40"/>
        </w:rPr>
        <w:t> </w:t>
      </w:r>
      <w:r>
        <w:rPr/>
        <w:t>with</w:t>
      </w:r>
      <w:r>
        <w:rPr>
          <w:spacing w:val="40"/>
        </w:rPr>
        <w:t> </w:t>
      </w:r>
      <w:r>
        <w:rPr/>
        <w:t>an</w:t>
      </w:r>
      <w:r>
        <w:rPr>
          <w:spacing w:val="40"/>
        </w:rPr>
        <w:t> </w:t>
      </w:r>
      <w:r>
        <w:rPr/>
        <w:t>SVM</w:t>
      </w:r>
      <w:r>
        <w:rPr>
          <w:spacing w:val="40"/>
        </w:rPr>
        <w:t> </w:t>
      </w:r>
      <w:r>
        <w:rPr/>
        <w:t>3000</w:t>
      </w:r>
      <w:r>
        <w:rPr>
          <w:spacing w:val="40"/>
        </w:rPr>
        <w:t> </w:t>
      </w:r>
      <w:r>
        <w:rPr/>
        <w:t>viscometer</w:t>
      </w:r>
      <w:r>
        <w:rPr>
          <w:spacing w:val="40"/>
        </w:rPr>
        <w:t> </w:t>
      </w:r>
      <w:r>
        <w:rPr/>
        <w:t>under environmental</w:t>
      </w:r>
      <w:r>
        <w:rPr>
          <w:spacing w:val="-8"/>
        </w:rPr>
        <w:t> </w:t>
      </w:r>
      <w:r>
        <w:rPr/>
        <w:t>conditions</w:t>
      </w:r>
      <w:r>
        <w:rPr>
          <w:spacing w:val="-11"/>
        </w:rPr>
        <w:t> </w:t>
      </w:r>
      <w:r>
        <w:rPr/>
        <w:t>of</w:t>
      </w:r>
      <w:r>
        <w:rPr>
          <w:spacing w:val="-10"/>
        </w:rPr>
        <w:t> </w:t>
      </w:r>
      <w:r>
        <w:rPr/>
        <w:t>69.5%</w:t>
      </w:r>
      <w:r>
        <w:rPr>
          <w:spacing w:val="-9"/>
        </w:rPr>
        <w:t> </w:t>
      </w:r>
      <w:r>
        <w:rPr/>
        <w:t>relative</w:t>
      </w:r>
      <w:r>
        <w:rPr>
          <w:spacing w:val="-10"/>
        </w:rPr>
        <w:t> </w:t>
      </w:r>
      <w:r>
        <w:rPr/>
        <w:t>humidity</w:t>
      </w:r>
      <w:r>
        <w:rPr>
          <w:spacing w:val="-8"/>
        </w:rPr>
        <w:t> </w:t>
      </w:r>
      <w:r>
        <w:rPr/>
        <w:t>and a</w:t>
      </w:r>
      <w:r>
        <w:rPr>
          <w:spacing w:val="34"/>
        </w:rPr>
        <w:t> </w:t>
      </w:r>
      <w:r>
        <w:rPr/>
        <w:t>temperature</w:t>
      </w:r>
      <w:r>
        <w:rPr>
          <w:spacing w:val="31"/>
        </w:rPr>
        <w:t> </w:t>
      </w:r>
      <w:r>
        <w:rPr/>
        <w:t>of</w:t>
      </w:r>
      <w:r>
        <w:rPr>
          <w:spacing w:val="31"/>
        </w:rPr>
        <w:t> </w:t>
      </w:r>
      <w:r>
        <w:rPr/>
        <w:t>23.3°C.</w:t>
      </w:r>
      <w:r>
        <w:rPr>
          <w:spacing w:val="34"/>
        </w:rPr>
        <w:t> </w:t>
      </w:r>
      <w:r>
        <w:rPr/>
        <w:t>The</w:t>
      </w:r>
      <w:r>
        <w:rPr>
          <w:spacing w:val="34"/>
        </w:rPr>
        <w:t> </w:t>
      </w:r>
      <w:r>
        <w:rPr/>
        <w:t>kinematic</w:t>
      </w:r>
      <w:r>
        <w:rPr>
          <w:spacing w:val="34"/>
        </w:rPr>
        <w:t> </w:t>
      </w:r>
      <w:r>
        <w:rPr/>
        <w:t>viscosity</w:t>
      </w:r>
      <w:r>
        <w:rPr>
          <w:spacing w:val="34"/>
        </w:rPr>
        <w:t> </w:t>
      </w:r>
      <w:r>
        <w:rPr/>
        <w:t>was measured</w:t>
      </w:r>
      <w:r>
        <w:rPr>
          <w:spacing w:val="-13"/>
        </w:rPr>
        <w:t> </w:t>
      </w:r>
      <w:r>
        <w:rPr/>
        <w:t>at</w:t>
      </w:r>
      <w:r>
        <w:rPr>
          <w:spacing w:val="-12"/>
        </w:rPr>
        <w:t> </w:t>
      </w:r>
      <w:r>
        <w:rPr/>
        <w:t>40°C</w:t>
      </w:r>
      <w:r>
        <w:rPr>
          <w:spacing w:val="-13"/>
        </w:rPr>
        <w:t> </w:t>
      </w:r>
      <w:r>
        <w:rPr/>
        <w:t>and</w:t>
      </w:r>
      <w:r>
        <w:rPr>
          <w:spacing w:val="-12"/>
        </w:rPr>
        <w:t> </w:t>
      </w:r>
      <w:r>
        <w:rPr/>
        <w:t>100°C.</w:t>
      </w:r>
      <w:r>
        <w:rPr>
          <w:spacing w:val="-13"/>
        </w:rPr>
        <w:t> </w:t>
      </w:r>
      <w:r>
        <w:rPr/>
        <w:t>The</w:t>
      </w:r>
      <w:r>
        <w:rPr>
          <w:spacing w:val="-12"/>
        </w:rPr>
        <w:t> </w:t>
      </w:r>
      <w:r>
        <w:rPr/>
        <w:t>viscosity</w:t>
      </w:r>
      <w:r>
        <w:rPr>
          <w:spacing w:val="-13"/>
        </w:rPr>
        <w:t> </w:t>
      </w:r>
      <w:r>
        <w:rPr/>
        <w:t>of</w:t>
      </w:r>
      <w:r>
        <w:rPr>
          <w:spacing w:val="-12"/>
        </w:rPr>
        <w:t> </w:t>
      </w:r>
      <w:r>
        <w:rPr/>
        <w:t>lubricating oil</w:t>
      </w:r>
      <w:r>
        <w:rPr>
          <w:spacing w:val="-12"/>
        </w:rPr>
        <w:t> </w:t>
      </w:r>
      <w:r>
        <w:rPr/>
        <w:t>fractions</w:t>
      </w:r>
      <w:r>
        <w:rPr>
          <w:spacing w:val="-11"/>
        </w:rPr>
        <w:t> </w:t>
      </w:r>
      <w:r>
        <w:rPr/>
        <w:t>is</w:t>
      </w:r>
      <w:r>
        <w:rPr>
          <w:spacing w:val="-11"/>
        </w:rPr>
        <w:t> </w:t>
      </w:r>
      <w:r>
        <w:rPr/>
        <w:t>a</w:t>
      </w:r>
      <w:r>
        <w:rPr>
          <w:spacing w:val="-12"/>
        </w:rPr>
        <w:t> </w:t>
      </w:r>
      <w:r>
        <w:rPr/>
        <w:t>crucial</w:t>
      </w:r>
      <w:r>
        <w:rPr>
          <w:spacing w:val="-12"/>
        </w:rPr>
        <w:t> </w:t>
      </w:r>
      <w:r>
        <w:rPr/>
        <w:t>factor</w:t>
      </w:r>
      <w:r>
        <w:rPr>
          <w:spacing w:val="-12"/>
        </w:rPr>
        <w:t> </w:t>
      </w:r>
      <w:r>
        <w:rPr/>
        <w:t>in</w:t>
      </w:r>
      <w:r>
        <w:rPr>
          <w:spacing w:val="-9"/>
        </w:rPr>
        <w:t> </w:t>
      </w:r>
      <w:r>
        <w:rPr/>
        <w:t>lubricant</w:t>
      </w:r>
      <w:r>
        <w:rPr>
          <w:spacing w:val="-11"/>
        </w:rPr>
        <w:t> </w:t>
      </w:r>
      <w:r>
        <w:rPr>
          <w:spacing w:val="-2"/>
        </w:rPr>
        <w:t>manufacturing.</w:t>
      </w:r>
    </w:p>
    <w:p>
      <w:pPr>
        <w:pStyle w:val="BodyText"/>
        <w:ind w:right="41" w:firstLine="566"/>
      </w:pPr>
      <w:r>
        <w:rPr/>
        <w:t>The test results show that the kinematic viscosity at 40°C is 99.759 mm²/s, while at 100°C, it is 13.403 mm²/s. These values are compared with SAE 40 lubricants commercially available in the market (MTU, 2020), as shown in Table 2. The viscosity index of lubricating oil indicates how its viscosity changes with temperature variations (Mohammed &amp; Al-Rubai, 2008). Lubricants exhibit an inverse relationship between viscosity and temperature, where kinematic viscosity decreases as temperature increases (Booser, 1983).</w:t>
      </w:r>
    </w:p>
    <w:p>
      <w:pPr>
        <w:pStyle w:val="BodyText"/>
        <w:spacing w:before="1"/>
        <w:ind w:right="47"/>
      </w:pPr>
      <w:r>
        <w:rPr/>
        <w:br w:type="column"/>
      </w:r>
      <w:r>
        <w:rPr/>
        <w:t>calcium</w:t>
      </w:r>
      <w:r>
        <w:rPr>
          <w:spacing w:val="-7"/>
        </w:rPr>
        <w:t> </w:t>
      </w:r>
      <w:r>
        <w:rPr/>
        <w:t>oleate</w:t>
      </w:r>
      <w:r>
        <w:rPr>
          <w:spacing w:val="-7"/>
        </w:rPr>
        <w:t> </w:t>
      </w:r>
      <w:r>
        <w:rPr/>
        <w:t>act</w:t>
      </w:r>
      <w:r>
        <w:rPr>
          <w:spacing w:val="-8"/>
        </w:rPr>
        <w:t> </w:t>
      </w:r>
      <w:r>
        <w:rPr/>
        <w:t>as</w:t>
      </w:r>
      <w:r>
        <w:rPr>
          <w:spacing w:val="-8"/>
        </w:rPr>
        <w:t> </w:t>
      </w:r>
      <w:r>
        <w:rPr/>
        <w:t>thickening</w:t>
      </w:r>
      <w:r>
        <w:rPr>
          <w:spacing w:val="-6"/>
        </w:rPr>
        <w:t> </w:t>
      </w:r>
      <w:r>
        <w:rPr/>
        <w:t>agents</w:t>
      </w:r>
      <w:r>
        <w:rPr>
          <w:spacing w:val="-8"/>
        </w:rPr>
        <w:t> </w:t>
      </w:r>
      <w:r>
        <w:rPr/>
        <w:t>to</w:t>
      </w:r>
      <w:r>
        <w:rPr>
          <w:spacing w:val="-9"/>
        </w:rPr>
        <w:t> </w:t>
      </w:r>
      <w:r>
        <w:rPr/>
        <w:t>enhance</w:t>
      </w:r>
      <w:r>
        <w:rPr>
          <w:spacing w:val="-9"/>
        </w:rPr>
        <w:t> </w:t>
      </w:r>
      <w:r>
        <w:rPr/>
        <w:t>grease stability.</w:t>
      </w:r>
      <w:r>
        <w:rPr>
          <w:spacing w:val="-8"/>
        </w:rPr>
        <w:t> </w:t>
      </w:r>
      <w:r>
        <w:rPr/>
        <w:t>Other</w:t>
      </w:r>
      <w:r>
        <w:rPr>
          <w:spacing w:val="-8"/>
        </w:rPr>
        <w:t> </w:t>
      </w:r>
      <w:r>
        <w:rPr/>
        <w:t>additives</w:t>
      </w:r>
      <w:r>
        <w:rPr>
          <w:spacing w:val="-9"/>
        </w:rPr>
        <w:t> </w:t>
      </w:r>
      <w:r>
        <w:rPr/>
        <w:t>include</w:t>
      </w:r>
      <w:r>
        <w:rPr>
          <w:spacing w:val="-6"/>
        </w:rPr>
        <w:t> </w:t>
      </w:r>
      <w:r>
        <w:rPr/>
        <w:t>LABSA,</w:t>
      </w:r>
      <w:r>
        <w:rPr>
          <w:spacing w:val="-8"/>
        </w:rPr>
        <w:t> </w:t>
      </w:r>
      <w:r>
        <w:rPr/>
        <w:t>CaCO₃,</w:t>
      </w:r>
      <w:r>
        <w:rPr>
          <w:spacing w:val="-8"/>
        </w:rPr>
        <w:t> </w:t>
      </w:r>
      <w:r>
        <w:rPr/>
        <w:t>and</w:t>
      </w:r>
      <w:r>
        <w:rPr>
          <w:spacing w:val="-8"/>
        </w:rPr>
        <w:t> </w:t>
      </w:r>
      <w:r>
        <w:rPr/>
        <w:t>p- TSA as a catalyst in the esterification process. To improve grease performance, BHT is added as an antioxidant,</w:t>
      </w:r>
      <w:r>
        <w:rPr>
          <w:spacing w:val="-1"/>
        </w:rPr>
        <w:t> </w:t>
      </w:r>
      <w:r>
        <w:rPr/>
        <w:t>while</w:t>
      </w:r>
      <w:r>
        <w:rPr>
          <w:spacing w:val="-1"/>
        </w:rPr>
        <w:t> </w:t>
      </w:r>
      <w:r>
        <w:rPr/>
        <w:t>acetic acid and E-as</w:t>
      </w:r>
      <w:r>
        <w:rPr>
          <w:spacing w:val="-1"/>
        </w:rPr>
        <w:t> </w:t>
      </w:r>
      <w:r>
        <w:rPr/>
        <w:t>oleate are used in the chemical reaction process.</w:t>
      </w:r>
    </w:p>
    <w:p>
      <w:pPr>
        <w:pStyle w:val="BodyText"/>
        <w:spacing w:before="1"/>
        <w:ind w:right="52" w:firstLine="566"/>
      </w:pPr>
      <w:r>
        <w:rPr/>
        <w:t>The base oil-to-thickener ratio in the mini plant bio</w:t>
      </w:r>
      <w:r>
        <w:rPr>
          <w:spacing w:val="-9"/>
        </w:rPr>
        <w:t> </w:t>
      </w:r>
      <w:r>
        <w:rPr/>
        <w:t>grease</w:t>
      </w:r>
      <w:r>
        <w:rPr>
          <w:spacing w:val="-12"/>
        </w:rPr>
        <w:t> </w:t>
      </w:r>
      <w:r>
        <w:rPr/>
        <w:t>production</w:t>
      </w:r>
      <w:r>
        <w:rPr>
          <w:spacing w:val="-11"/>
        </w:rPr>
        <w:t> </w:t>
      </w:r>
      <w:r>
        <w:rPr/>
        <w:t>is</w:t>
      </w:r>
      <w:r>
        <w:rPr>
          <w:spacing w:val="-11"/>
        </w:rPr>
        <w:t> </w:t>
      </w:r>
      <w:r>
        <w:rPr/>
        <w:t>80:20.</w:t>
      </w:r>
      <w:r>
        <w:rPr>
          <w:spacing w:val="-12"/>
        </w:rPr>
        <w:t> </w:t>
      </w:r>
      <w:r>
        <w:rPr/>
        <w:t>This</w:t>
      </w:r>
      <w:r>
        <w:rPr>
          <w:spacing w:val="-11"/>
        </w:rPr>
        <w:t> </w:t>
      </w:r>
      <w:r>
        <w:rPr/>
        <w:t>composition</w:t>
      </w:r>
      <w:r>
        <w:rPr>
          <w:spacing w:val="-9"/>
        </w:rPr>
        <w:t> </w:t>
      </w:r>
      <w:r>
        <w:rPr/>
        <w:t>is</w:t>
      </w:r>
      <w:r>
        <w:rPr>
          <w:spacing w:val="-11"/>
        </w:rPr>
        <w:t> </w:t>
      </w:r>
      <w:r>
        <w:rPr/>
        <w:t>based on various literature sources and laboratory test results. The optimal ratio of base oil to thickener is 80:20, as it provides</w:t>
      </w:r>
      <w:r>
        <w:rPr>
          <w:spacing w:val="-7"/>
        </w:rPr>
        <w:t> </w:t>
      </w:r>
      <w:r>
        <w:rPr/>
        <w:t>consistency</w:t>
      </w:r>
      <w:r>
        <w:rPr>
          <w:spacing w:val="-5"/>
        </w:rPr>
        <w:t> </w:t>
      </w:r>
      <w:r>
        <w:rPr/>
        <w:t>that</w:t>
      </w:r>
      <w:r>
        <w:rPr>
          <w:spacing w:val="-6"/>
        </w:rPr>
        <w:t> </w:t>
      </w:r>
      <w:r>
        <w:rPr/>
        <w:t>meets</w:t>
      </w:r>
      <w:r>
        <w:rPr>
          <w:spacing w:val="-7"/>
        </w:rPr>
        <w:t> </w:t>
      </w:r>
      <w:r>
        <w:rPr/>
        <w:t>NLGI</w:t>
      </w:r>
      <w:r>
        <w:rPr>
          <w:spacing w:val="-5"/>
        </w:rPr>
        <w:t> </w:t>
      </w:r>
      <w:r>
        <w:rPr/>
        <w:t>grade</w:t>
      </w:r>
      <w:r>
        <w:rPr>
          <w:spacing w:val="-8"/>
        </w:rPr>
        <w:t> </w:t>
      </w:r>
      <w:r>
        <w:rPr/>
        <w:t>2</w:t>
      </w:r>
      <w:r>
        <w:rPr>
          <w:spacing w:val="-5"/>
        </w:rPr>
        <w:t> </w:t>
      </w:r>
      <w:r>
        <w:rPr/>
        <w:t>standards, comparable to most commercial greases (Sofi et al., 2019). The composition of base oil and thickener in grease production from various studies is presented in Table 3.</w:t>
      </w:r>
    </w:p>
    <w:p>
      <w:pPr>
        <w:pStyle w:val="BodyText"/>
        <w:tabs>
          <w:tab w:pos="4902" w:val="left" w:leader="none"/>
        </w:tabs>
        <w:spacing w:before="229"/>
        <w:ind w:right="51"/>
      </w:pPr>
      <w:r>
        <w:rPr>
          <w:b/>
        </w:rPr>
        <w:t>Table 3</w:t>
      </w:r>
      <w:r>
        <w:rPr/>
        <w:t>. Comparison of physical properties between </w:t>
      </w:r>
      <w:r>
        <w:rPr>
          <w:u w:val="single"/>
        </w:rPr>
        <w:t>Base</w:t>
      </w:r>
      <w:r>
        <w:rPr>
          <w:spacing w:val="-3"/>
          <w:u w:val="single"/>
        </w:rPr>
        <w:t> </w:t>
      </w:r>
      <w:r>
        <w:rPr>
          <w:u w:val="single"/>
        </w:rPr>
        <w:t>Oil</w:t>
      </w:r>
      <w:r>
        <w:rPr>
          <w:spacing w:val="-4"/>
          <w:u w:val="single"/>
        </w:rPr>
        <w:t> </w:t>
      </w:r>
      <w:r>
        <w:rPr>
          <w:u w:val="single"/>
        </w:rPr>
        <w:t>Ester</w:t>
      </w:r>
      <w:r>
        <w:rPr>
          <w:spacing w:val="-2"/>
          <w:u w:val="single"/>
        </w:rPr>
        <w:t> </w:t>
      </w:r>
      <w:r>
        <w:rPr>
          <w:u w:val="single"/>
        </w:rPr>
        <w:t>and</w:t>
      </w:r>
      <w:r>
        <w:rPr>
          <w:spacing w:val="-2"/>
          <w:u w:val="single"/>
        </w:rPr>
        <w:t> Thickener.</w:t>
      </w:r>
      <w:r>
        <w:rPr>
          <w:u w:val="single"/>
        </w:rPr>
        <w:tab/>
      </w:r>
    </w:p>
    <w:p>
      <w:pPr>
        <w:pStyle w:val="BodyText"/>
        <w:spacing w:after="0"/>
        <w:sectPr>
          <w:type w:val="continuous"/>
          <w:pgSz w:w="12240" w:h="15840"/>
          <w:pgMar w:header="851" w:footer="1027" w:top="640" w:bottom="1180" w:left="1080" w:right="1080"/>
          <w:cols w:num="2" w:equalWidth="0">
            <w:col w:w="4947" w:space="178"/>
            <w:col w:w="4955"/>
          </w:cols>
        </w:sectPr>
      </w:pPr>
    </w:p>
    <w:p>
      <w:pPr>
        <w:pStyle w:val="BodyText"/>
        <w:ind w:left="0"/>
        <w:jc w:val="left"/>
      </w:pPr>
    </w:p>
    <w:p>
      <w:pPr>
        <w:pStyle w:val="BodyText"/>
        <w:spacing w:line="218" w:lineRule="exact" w:before="1"/>
        <w:jc w:val="left"/>
      </w:pPr>
      <w:r>
        <w:rPr>
          <w:b/>
        </w:rPr>
        <w:t>Table</w:t>
      </w:r>
      <w:r>
        <w:rPr>
          <w:b/>
          <w:spacing w:val="-6"/>
        </w:rPr>
        <w:t> </w:t>
      </w:r>
      <w:r>
        <w:rPr>
          <w:b/>
        </w:rPr>
        <w:t>2</w:t>
      </w:r>
      <w:r>
        <w:rPr/>
        <w:t>.</w:t>
      </w:r>
      <w:r>
        <w:rPr>
          <w:spacing w:val="-4"/>
        </w:rPr>
        <w:t> </w:t>
      </w:r>
      <w:r>
        <w:rPr/>
        <w:t>Comparison</w:t>
      </w:r>
      <w:r>
        <w:rPr>
          <w:spacing w:val="-5"/>
        </w:rPr>
        <w:t> </w:t>
      </w:r>
      <w:r>
        <w:rPr/>
        <w:t>of</w:t>
      </w:r>
      <w:r>
        <w:rPr>
          <w:spacing w:val="-5"/>
        </w:rPr>
        <w:t> </w:t>
      </w:r>
      <w:r>
        <w:rPr/>
        <w:t>physical</w:t>
      </w:r>
      <w:r>
        <w:rPr>
          <w:spacing w:val="-5"/>
        </w:rPr>
        <w:t> </w:t>
      </w:r>
      <w:r>
        <w:rPr/>
        <w:t>properties</w:t>
      </w:r>
      <w:r>
        <w:rPr>
          <w:spacing w:val="-5"/>
        </w:rPr>
        <w:t> </w:t>
      </w:r>
      <w:r>
        <w:rPr>
          <w:spacing w:val="-2"/>
        </w:rPr>
        <w:t>between</w:t>
      </w:r>
    </w:p>
    <w:p>
      <w:pPr>
        <w:pStyle w:val="Heading1"/>
        <w:tabs>
          <w:tab w:pos="2318" w:val="left" w:leader="none"/>
        </w:tabs>
        <w:spacing w:line="117" w:lineRule="auto" w:before="62"/>
        <w:ind w:left="2194" w:hanging="1856"/>
        <w:jc w:val="left"/>
      </w:pPr>
      <w:r>
        <w:rPr>
          <w:b w:val="0"/>
        </w:rPr>
        <w:br w:type="column"/>
      </w:r>
      <w:r>
        <w:rPr>
          <w:spacing w:val="-2"/>
        </w:rPr>
        <w:t>Literature</w:t>
      </w:r>
      <w:r>
        <w:rPr/>
        <w:tab/>
        <w:tab/>
      </w:r>
      <w:r>
        <w:rPr>
          <w:spacing w:val="-4"/>
          <w:position w:val="12"/>
        </w:rPr>
        <w:t>Base </w:t>
      </w:r>
      <w:r>
        <w:rPr/>
        <w:t>Oil</w:t>
      </w:r>
      <w:r>
        <w:rPr>
          <w:spacing w:val="-13"/>
        </w:rPr>
        <w:t> </w:t>
      </w:r>
      <w:r>
        <w:rPr/>
        <w:t>(%)</w:t>
      </w:r>
    </w:p>
    <w:p>
      <w:pPr>
        <w:spacing w:line="200" w:lineRule="exact" w:before="0"/>
        <w:ind w:left="44" w:right="0" w:firstLine="0"/>
        <w:jc w:val="center"/>
        <w:rPr>
          <w:b/>
          <w:sz w:val="20"/>
        </w:rPr>
      </w:pPr>
      <w:r>
        <w:rPr/>
        <w:br w:type="column"/>
      </w:r>
      <w:r>
        <w:rPr>
          <w:b/>
          <w:spacing w:val="-2"/>
          <w:sz w:val="20"/>
        </w:rPr>
        <w:t>Thickener</w:t>
      </w:r>
    </w:p>
    <w:p>
      <w:pPr>
        <w:spacing w:line="229" w:lineRule="exact" w:before="0"/>
        <w:ind w:left="44" w:right="0" w:firstLine="0"/>
        <w:jc w:val="center"/>
        <w:rPr>
          <w:b/>
          <w:sz w:val="20"/>
        </w:rPr>
      </w:pPr>
      <w:r>
        <w:rPr>
          <w:b/>
          <w:spacing w:val="-5"/>
          <w:sz w:val="20"/>
        </w:rPr>
        <w:t>(%)</w:t>
      </w:r>
    </w:p>
    <w:p>
      <w:pPr>
        <w:spacing w:after="0" w:line="229" w:lineRule="exact"/>
        <w:jc w:val="center"/>
        <w:rPr>
          <w:b/>
          <w:sz w:val="20"/>
        </w:rPr>
        <w:sectPr>
          <w:type w:val="continuous"/>
          <w:pgSz w:w="12240" w:h="15840"/>
          <w:pgMar w:header="851" w:footer="1027" w:top="640" w:bottom="1180" w:left="1080" w:right="1080"/>
          <w:cols w:num="3" w:equalWidth="0">
            <w:col w:w="4595" w:space="1358"/>
            <w:col w:w="2844" w:space="39"/>
            <w:col w:w="1244"/>
          </w:cols>
        </w:sectPr>
      </w:pPr>
    </w:p>
    <w:p>
      <w:pPr>
        <w:pStyle w:val="BodyText"/>
        <w:tabs>
          <w:tab w:pos="4901" w:val="left" w:leader="none"/>
        </w:tabs>
        <w:spacing w:before="12"/>
        <w:jc w:val="left"/>
      </w:pPr>
      <w:r>
        <w:rPr/>
        <mc:AlternateContent>
          <mc:Choice Requires="wps">
            <w:drawing>
              <wp:anchor distT="0" distB="0" distL="0" distR="0" allowOverlap="1" layoutInCell="1" locked="0" behindDoc="0" simplePos="0" relativeHeight="15733760">
                <wp:simplePos x="0" y="0"/>
                <wp:positionH relativeFrom="page">
                  <wp:posOffset>4155059</wp:posOffset>
                </wp:positionH>
                <wp:positionV relativeFrom="paragraph">
                  <wp:posOffset>-12360</wp:posOffset>
                </wp:positionV>
                <wp:extent cx="2898140" cy="635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2898140" cy="6350"/>
                        </a:xfrm>
                        <a:custGeom>
                          <a:avLst/>
                          <a:gdLst/>
                          <a:ahLst/>
                          <a:cxnLst/>
                          <a:rect l="l" t="t" r="r" b="b"/>
                          <a:pathLst>
                            <a:path w="2898140" h="6350">
                              <a:moveTo>
                                <a:pt x="2202738" y="0"/>
                              </a:moveTo>
                              <a:lnTo>
                                <a:pt x="1621790" y="0"/>
                              </a:lnTo>
                              <a:lnTo>
                                <a:pt x="1615694" y="0"/>
                              </a:lnTo>
                              <a:lnTo>
                                <a:pt x="0" y="0"/>
                              </a:lnTo>
                              <a:lnTo>
                                <a:pt x="0" y="6096"/>
                              </a:lnTo>
                              <a:lnTo>
                                <a:pt x="1615694" y="6096"/>
                              </a:lnTo>
                              <a:lnTo>
                                <a:pt x="1621790" y="6096"/>
                              </a:lnTo>
                              <a:lnTo>
                                <a:pt x="2202738" y="6096"/>
                              </a:lnTo>
                              <a:lnTo>
                                <a:pt x="2202738" y="0"/>
                              </a:lnTo>
                              <a:close/>
                            </a:path>
                            <a:path w="2898140" h="6350">
                              <a:moveTo>
                                <a:pt x="2897759" y="0"/>
                              </a:moveTo>
                              <a:lnTo>
                                <a:pt x="2208911" y="0"/>
                              </a:lnTo>
                              <a:lnTo>
                                <a:pt x="2202815" y="0"/>
                              </a:lnTo>
                              <a:lnTo>
                                <a:pt x="2202815" y="6096"/>
                              </a:lnTo>
                              <a:lnTo>
                                <a:pt x="2208911" y="6096"/>
                              </a:lnTo>
                              <a:lnTo>
                                <a:pt x="2897759" y="6096"/>
                              </a:lnTo>
                              <a:lnTo>
                                <a:pt x="28977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7.170013pt;margin-top:-.973264pt;width:228.2pt;height:.5pt;mso-position-horizontal-relative:page;mso-position-vertical-relative:paragraph;z-index:15733760" id="docshape54" coordorigin="6543,-19" coordsize="4564,10" path="m10012,-19l9097,-19,9088,-19,6543,-19,6543,-10,9088,-10,9097,-10,10012,-10,10012,-19xm11107,-19l10022,-19,10012,-19,10012,-10,10022,-10,11107,-10,11107,-19xe" filled="true" fillcolor="#000000" stroked="false">
                <v:path arrowok="t"/>
                <v:fill type="solid"/>
                <w10:wrap type="none"/>
              </v:shape>
            </w:pict>
          </mc:Fallback>
        </mc:AlternateContent>
      </w:r>
      <w:r>
        <w:rPr>
          <w:u w:val="single"/>
        </w:rPr>
        <w:t>Base</w:t>
      </w:r>
      <w:r>
        <w:rPr>
          <w:spacing w:val="-3"/>
          <w:u w:val="single"/>
        </w:rPr>
        <w:t> </w:t>
      </w:r>
      <w:r>
        <w:rPr>
          <w:u w:val="single"/>
        </w:rPr>
        <w:t>Oil</w:t>
      </w:r>
      <w:r>
        <w:rPr>
          <w:spacing w:val="-4"/>
          <w:u w:val="single"/>
        </w:rPr>
        <w:t> </w:t>
      </w:r>
      <w:r>
        <w:rPr>
          <w:u w:val="single"/>
        </w:rPr>
        <w:t>Ester</w:t>
      </w:r>
      <w:r>
        <w:rPr>
          <w:spacing w:val="-2"/>
          <w:u w:val="single"/>
        </w:rPr>
        <w:t> </w:t>
      </w:r>
      <w:r>
        <w:rPr>
          <w:u w:val="single"/>
        </w:rPr>
        <w:t>and</w:t>
      </w:r>
      <w:r>
        <w:rPr>
          <w:spacing w:val="-1"/>
          <w:u w:val="single"/>
        </w:rPr>
        <w:t> </w:t>
      </w:r>
      <w:r>
        <w:rPr>
          <w:u w:val="single"/>
        </w:rPr>
        <w:t>SAE</w:t>
      </w:r>
      <w:r>
        <w:rPr>
          <w:spacing w:val="-3"/>
          <w:u w:val="single"/>
        </w:rPr>
        <w:t> </w:t>
      </w:r>
      <w:r>
        <w:rPr>
          <w:u w:val="single"/>
        </w:rPr>
        <w:t>40</w:t>
      </w:r>
      <w:r>
        <w:rPr>
          <w:spacing w:val="-2"/>
          <w:u w:val="single"/>
        </w:rPr>
        <w:t> Lubricant.</w:t>
      </w:r>
      <w:r>
        <w:rPr>
          <w:u w:val="single"/>
        </w:rPr>
        <w:tab/>
      </w:r>
    </w:p>
    <w:p>
      <w:pPr>
        <w:pStyle w:val="Heading1"/>
        <w:tabs>
          <w:tab w:pos="2983" w:val="left" w:leader="none"/>
          <w:tab w:pos="4040" w:val="left" w:leader="none"/>
        </w:tabs>
        <w:spacing w:line="293" w:lineRule="exact" w:before="5"/>
        <w:ind w:left="778"/>
        <w:jc w:val="left"/>
        <w:rPr>
          <w:position w:val="12"/>
        </w:rPr>
      </w:pPr>
      <w:r>
        <w:rPr/>
        <w:t>Physical</w:t>
      </w:r>
      <w:r>
        <w:rPr>
          <w:spacing w:val="-9"/>
        </w:rPr>
        <w:t> </w:t>
      </w:r>
      <w:r>
        <w:rPr>
          <w:spacing w:val="-2"/>
        </w:rPr>
        <w:t>Properties</w:t>
      </w:r>
      <w:r>
        <w:rPr/>
        <w:tab/>
        <w:t>Base</w:t>
      </w:r>
      <w:r>
        <w:rPr>
          <w:spacing w:val="-5"/>
        </w:rPr>
        <w:t> Oil</w:t>
      </w:r>
      <w:r>
        <w:rPr/>
        <w:tab/>
      </w:r>
      <w:r>
        <w:rPr>
          <w:position w:val="12"/>
        </w:rPr>
        <w:t>SAE</w:t>
      </w:r>
      <w:r>
        <w:rPr>
          <w:spacing w:val="-5"/>
          <w:position w:val="12"/>
        </w:rPr>
        <w:t> 40</w:t>
      </w:r>
    </w:p>
    <w:p>
      <w:pPr>
        <w:tabs>
          <w:tab w:pos="3927" w:val="left" w:leader="none"/>
        </w:tabs>
        <w:spacing w:line="173" w:lineRule="exact" w:before="0"/>
        <w:ind w:left="338" w:right="0" w:firstLine="0"/>
        <w:jc w:val="left"/>
        <w:rPr>
          <w:b/>
          <w:sz w:val="20"/>
        </w:rPr>
      </w:pPr>
      <w:r>
        <w:rPr>
          <w:b/>
          <w:sz w:val="20"/>
        </w:rPr>
        <mc:AlternateContent>
          <mc:Choice Requires="wps">
            <w:drawing>
              <wp:anchor distT="0" distB="0" distL="0" distR="0" allowOverlap="1" layoutInCell="1" locked="0" behindDoc="0" simplePos="0" relativeHeight="15734784">
                <wp:simplePos x="0" y="0"/>
                <wp:positionH relativeFrom="page">
                  <wp:posOffset>899718</wp:posOffset>
                </wp:positionH>
                <wp:positionV relativeFrom="paragraph">
                  <wp:posOffset>96173</wp:posOffset>
                </wp:positionV>
                <wp:extent cx="5726430" cy="31115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5726430" cy="3111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9"/>
                              <w:gridCol w:w="1101"/>
                              <w:gridCol w:w="1155"/>
                              <w:gridCol w:w="2430"/>
                              <w:gridCol w:w="1067"/>
                              <w:gridCol w:w="612"/>
                            </w:tblGrid>
                            <w:tr>
                              <w:trPr>
                                <w:trHeight w:val="245" w:hRule="atLeast"/>
                              </w:trPr>
                              <w:tc>
                                <w:tcPr>
                                  <w:tcW w:w="2529" w:type="dxa"/>
                                </w:tcPr>
                                <w:p>
                                  <w:pPr>
                                    <w:pStyle w:val="TableParagraph"/>
                                    <w:spacing w:before="31"/>
                                    <w:ind w:left="50"/>
                                    <w:jc w:val="left"/>
                                    <w:rPr>
                                      <w:sz w:val="20"/>
                                    </w:rPr>
                                  </w:pPr>
                                  <w:r>
                                    <w:rPr>
                                      <w:sz w:val="20"/>
                                    </w:rPr>
                                    <w:t>Viscosity</w:t>
                                  </w:r>
                                  <w:r>
                                    <w:rPr>
                                      <w:spacing w:val="-5"/>
                                      <w:sz w:val="20"/>
                                    </w:rPr>
                                    <w:t> </w:t>
                                  </w:r>
                                  <w:r>
                                    <w:rPr>
                                      <w:sz w:val="20"/>
                                    </w:rPr>
                                    <w:t>@</w:t>
                                  </w:r>
                                  <w:r>
                                    <w:rPr>
                                      <w:spacing w:val="-6"/>
                                      <w:sz w:val="20"/>
                                    </w:rPr>
                                    <w:t> </w:t>
                                  </w:r>
                                  <w:r>
                                    <w:rPr>
                                      <w:sz w:val="20"/>
                                    </w:rPr>
                                    <w:t>40°C</w:t>
                                  </w:r>
                                  <w:r>
                                    <w:rPr>
                                      <w:spacing w:val="-5"/>
                                      <w:sz w:val="20"/>
                                    </w:rPr>
                                    <w:t> </w:t>
                                  </w:r>
                                  <w:r>
                                    <w:rPr>
                                      <w:spacing w:val="-2"/>
                                      <w:sz w:val="20"/>
                                    </w:rPr>
                                    <w:t>(mm</w:t>
                                  </w:r>
                                  <w:r>
                                    <w:rPr>
                                      <w:spacing w:val="-2"/>
                                      <w:sz w:val="20"/>
                                      <w:vertAlign w:val="superscript"/>
                                    </w:rPr>
                                    <w:t>2</w:t>
                                  </w:r>
                                  <w:r>
                                    <w:rPr>
                                      <w:spacing w:val="-2"/>
                                      <w:sz w:val="20"/>
                                      <w:vertAlign w:val="baseline"/>
                                    </w:rPr>
                                    <w:t>/s)</w:t>
                                  </w:r>
                                </w:p>
                              </w:tc>
                              <w:tc>
                                <w:tcPr>
                                  <w:tcW w:w="1101" w:type="dxa"/>
                                </w:tcPr>
                                <w:p>
                                  <w:pPr>
                                    <w:pStyle w:val="TableParagraph"/>
                                    <w:spacing w:before="31"/>
                                    <w:ind w:right="77"/>
                                    <w:rPr>
                                      <w:sz w:val="20"/>
                                    </w:rPr>
                                  </w:pPr>
                                  <w:r>
                                    <w:rPr>
                                      <w:spacing w:val="-2"/>
                                      <w:sz w:val="20"/>
                                    </w:rPr>
                                    <w:t>99.759</w:t>
                                  </w:r>
                                </w:p>
                              </w:tc>
                              <w:tc>
                                <w:tcPr>
                                  <w:tcW w:w="1155" w:type="dxa"/>
                                </w:tcPr>
                                <w:p>
                                  <w:pPr>
                                    <w:pStyle w:val="TableParagraph"/>
                                    <w:spacing w:before="31"/>
                                    <w:ind w:right="69"/>
                                    <w:rPr>
                                      <w:sz w:val="20"/>
                                    </w:rPr>
                                  </w:pPr>
                                  <w:r>
                                    <w:rPr>
                                      <w:spacing w:val="-2"/>
                                      <w:sz w:val="20"/>
                                    </w:rPr>
                                    <w:t>133.4</w:t>
                                  </w:r>
                                </w:p>
                              </w:tc>
                              <w:tc>
                                <w:tcPr>
                                  <w:tcW w:w="2430" w:type="dxa"/>
                                </w:tcPr>
                                <w:p>
                                  <w:pPr>
                                    <w:pStyle w:val="TableParagraph"/>
                                    <w:spacing w:line="221" w:lineRule="exact"/>
                                    <w:ind w:left="389"/>
                                    <w:jc w:val="left"/>
                                    <w:rPr>
                                      <w:sz w:val="20"/>
                                    </w:rPr>
                                  </w:pPr>
                                  <w:r>
                                    <w:rPr>
                                      <w:sz w:val="20"/>
                                    </w:rPr>
                                    <w:t>Gow,</w:t>
                                  </w:r>
                                  <w:r>
                                    <w:rPr>
                                      <w:spacing w:val="-3"/>
                                      <w:sz w:val="20"/>
                                    </w:rPr>
                                    <w:t> </w:t>
                                  </w:r>
                                  <w:r>
                                    <w:rPr>
                                      <w:spacing w:val="-4"/>
                                      <w:sz w:val="20"/>
                                    </w:rPr>
                                    <w:t>2009</w:t>
                                  </w:r>
                                </w:p>
                              </w:tc>
                              <w:tc>
                                <w:tcPr>
                                  <w:tcW w:w="1067" w:type="dxa"/>
                                </w:tcPr>
                                <w:p>
                                  <w:pPr>
                                    <w:pStyle w:val="TableParagraph"/>
                                    <w:spacing w:line="221" w:lineRule="exact"/>
                                    <w:ind w:left="147"/>
                                    <w:rPr>
                                      <w:sz w:val="20"/>
                                    </w:rPr>
                                  </w:pPr>
                                  <w:r>
                                    <w:rPr>
                                      <w:spacing w:val="-5"/>
                                      <w:sz w:val="20"/>
                                    </w:rPr>
                                    <w:t>80</w:t>
                                  </w:r>
                                </w:p>
                              </w:tc>
                              <w:tc>
                                <w:tcPr>
                                  <w:tcW w:w="612" w:type="dxa"/>
                                </w:tcPr>
                                <w:p>
                                  <w:pPr>
                                    <w:pStyle w:val="TableParagraph"/>
                                    <w:spacing w:line="221" w:lineRule="exact"/>
                                    <w:ind w:right="44"/>
                                    <w:jc w:val="right"/>
                                    <w:rPr>
                                      <w:sz w:val="20"/>
                                    </w:rPr>
                                  </w:pPr>
                                  <w:r>
                                    <w:rPr>
                                      <w:spacing w:val="-5"/>
                                      <w:sz w:val="20"/>
                                    </w:rPr>
                                    <w:t>20</w:t>
                                  </w:r>
                                </w:p>
                              </w:tc>
                            </w:tr>
                            <w:tr>
                              <w:trPr>
                                <w:trHeight w:val="245" w:hRule="atLeast"/>
                              </w:trPr>
                              <w:tc>
                                <w:tcPr>
                                  <w:tcW w:w="2529" w:type="dxa"/>
                                </w:tcPr>
                                <w:p>
                                  <w:pPr>
                                    <w:pStyle w:val="TableParagraph"/>
                                    <w:spacing w:line="210" w:lineRule="exact" w:before="16"/>
                                    <w:ind w:left="50"/>
                                    <w:jc w:val="left"/>
                                    <w:rPr>
                                      <w:sz w:val="20"/>
                                    </w:rPr>
                                  </w:pPr>
                                  <w:r>
                                    <w:rPr>
                                      <w:sz w:val="20"/>
                                    </w:rPr>
                                    <w:t>Viscosity</w:t>
                                  </w:r>
                                  <w:r>
                                    <w:rPr>
                                      <w:spacing w:val="-5"/>
                                      <w:sz w:val="20"/>
                                    </w:rPr>
                                    <w:t> </w:t>
                                  </w:r>
                                  <w:r>
                                    <w:rPr>
                                      <w:sz w:val="20"/>
                                    </w:rPr>
                                    <w:t>@</w:t>
                                  </w:r>
                                  <w:r>
                                    <w:rPr>
                                      <w:spacing w:val="-6"/>
                                      <w:sz w:val="20"/>
                                    </w:rPr>
                                    <w:t> </w:t>
                                  </w:r>
                                  <w:r>
                                    <w:rPr>
                                      <w:sz w:val="20"/>
                                    </w:rPr>
                                    <w:t>100°C</w:t>
                                  </w:r>
                                  <w:r>
                                    <w:rPr>
                                      <w:spacing w:val="-7"/>
                                      <w:sz w:val="20"/>
                                    </w:rPr>
                                    <w:t> </w:t>
                                  </w:r>
                                  <w:r>
                                    <w:rPr>
                                      <w:spacing w:val="-2"/>
                                      <w:sz w:val="20"/>
                                    </w:rPr>
                                    <w:t>(mm</w:t>
                                  </w:r>
                                  <w:r>
                                    <w:rPr>
                                      <w:spacing w:val="-2"/>
                                      <w:sz w:val="20"/>
                                      <w:vertAlign w:val="superscript"/>
                                    </w:rPr>
                                    <w:t>2</w:t>
                                  </w:r>
                                  <w:r>
                                    <w:rPr>
                                      <w:spacing w:val="-2"/>
                                      <w:sz w:val="20"/>
                                      <w:vertAlign w:val="baseline"/>
                                    </w:rPr>
                                    <w:t>/s)</w:t>
                                  </w:r>
                                </w:p>
                              </w:tc>
                              <w:tc>
                                <w:tcPr>
                                  <w:tcW w:w="1101" w:type="dxa"/>
                                </w:tcPr>
                                <w:p>
                                  <w:pPr>
                                    <w:pStyle w:val="TableParagraph"/>
                                    <w:spacing w:line="210" w:lineRule="exact" w:before="16"/>
                                    <w:ind w:right="77"/>
                                    <w:rPr>
                                      <w:sz w:val="20"/>
                                    </w:rPr>
                                  </w:pPr>
                                  <w:r>
                                    <w:rPr>
                                      <w:spacing w:val="-2"/>
                                      <w:sz w:val="20"/>
                                    </w:rPr>
                                    <w:t>13.403</w:t>
                                  </w:r>
                                </w:p>
                              </w:tc>
                              <w:tc>
                                <w:tcPr>
                                  <w:tcW w:w="1155" w:type="dxa"/>
                                </w:tcPr>
                                <w:p>
                                  <w:pPr>
                                    <w:pStyle w:val="TableParagraph"/>
                                    <w:spacing w:line="210" w:lineRule="exact" w:before="16"/>
                                    <w:ind w:right="69"/>
                                    <w:rPr>
                                      <w:sz w:val="20"/>
                                    </w:rPr>
                                  </w:pPr>
                                  <w:r>
                                    <w:rPr>
                                      <w:spacing w:val="-2"/>
                                      <w:sz w:val="20"/>
                                    </w:rPr>
                                    <w:t>13.66</w:t>
                                  </w:r>
                                </w:p>
                              </w:tc>
                              <w:tc>
                                <w:tcPr>
                                  <w:tcW w:w="2430" w:type="dxa"/>
                                </w:tcPr>
                                <w:p>
                                  <w:pPr>
                                    <w:pStyle w:val="TableParagraph"/>
                                    <w:spacing w:line="205" w:lineRule="exact"/>
                                    <w:ind w:left="389"/>
                                    <w:jc w:val="left"/>
                                    <w:rPr>
                                      <w:sz w:val="20"/>
                                    </w:rPr>
                                  </w:pPr>
                                  <w:r>
                                    <w:rPr>
                                      <w:sz w:val="20"/>
                                    </w:rPr>
                                    <w:t>Ebisike</w:t>
                                  </w:r>
                                  <w:r>
                                    <w:rPr>
                                      <w:spacing w:val="-4"/>
                                      <w:sz w:val="20"/>
                                    </w:rPr>
                                    <w:t> </w:t>
                                  </w:r>
                                  <w:r>
                                    <w:rPr>
                                      <w:sz w:val="20"/>
                                    </w:rPr>
                                    <w:t>et</w:t>
                                  </w:r>
                                  <w:r>
                                    <w:rPr>
                                      <w:spacing w:val="-4"/>
                                      <w:sz w:val="20"/>
                                    </w:rPr>
                                    <w:t> </w:t>
                                  </w:r>
                                  <w:r>
                                    <w:rPr>
                                      <w:sz w:val="20"/>
                                    </w:rPr>
                                    <w:t>al.,</w:t>
                                  </w:r>
                                  <w:r>
                                    <w:rPr>
                                      <w:spacing w:val="-3"/>
                                      <w:sz w:val="20"/>
                                    </w:rPr>
                                    <w:t> </w:t>
                                  </w:r>
                                  <w:r>
                                    <w:rPr>
                                      <w:spacing w:val="-4"/>
                                      <w:sz w:val="20"/>
                                    </w:rPr>
                                    <w:t>2016</w:t>
                                  </w:r>
                                </w:p>
                              </w:tc>
                              <w:tc>
                                <w:tcPr>
                                  <w:tcW w:w="1067" w:type="dxa"/>
                                </w:tcPr>
                                <w:p>
                                  <w:pPr>
                                    <w:pStyle w:val="TableParagraph"/>
                                    <w:spacing w:line="205" w:lineRule="exact"/>
                                    <w:ind w:left="147"/>
                                    <w:rPr>
                                      <w:sz w:val="20"/>
                                    </w:rPr>
                                  </w:pPr>
                                  <w:r>
                                    <w:rPr>
                                      <w:spacing w:val="-5"/>
                                      <w:sz w:val="20"/>
                                    </w:rPr>
                                    <w:t>80</w:t>
                                  </w:r>
                                </w:p>
                              </w:tc>
                              <w:tc>
                                <w:tcPr>
                                  <w:tcW w:w="612" w:type="dxa"/>
                                </w:tcPr>
                                <w:p>
                                  <w:pPr>
                                    <w:pStyle w:val="TableParagraph"/>
                                    <w:spacing w:line="205" w:lineRule="exact"/>
                                    <w:ind w:right="44"/>
                                    <w:jc w:val="right"/>
                                    <w:rPr>
                                      <w:sz w:val="20"/>
                                    </w:rPr>
                                  </w:pPr>
                                  <w:r>
                                    <w:rPr>
                                      <w:spacing w:val="-5"/>
                                      <w:sz w:val="20"/>
                                    </w:rPr>
                                    <w:t>20</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70.844002pt;margin-top:7.572729pt;width:450.9pt;height:24.5pt;mso-position-horizontal-relative:page;mso-position-vertical-relative:paragraph;z-index:15734784" type="#_x0000_t202" id="docshape5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9"/>
                        <w:gridCol w:w="1101"/>
                        <w:gridCol w:w="1155"/>
                        <w:gridCol w:w="2430"/>
                        <w:gridCol w:w="1067"/>
                        <w:gridCol w:w="612"/>
                      </w:tblGrid>
                      <w:tr>
                        <w:trPr>
                          <w:trHeight w:val="245" w:hRule="atLeast"/>
                        </w:trPr>
                        <w:tc>
                          <w:tcPr>
                            <w:tcW w:w="2529" w:type="dxa"/>
                          </w:tcPr>
                          <w:p>
                            <w:pPr>
                              <w:pStyle w:val="TableParagraph"/>
                              <w:spacing w:before="31"/>
                              <w:ind w:left="50"/>
                              <w:jc w:val="left"/>
                              <w:rPr>
                                <w:sz w:val="20"/>
                              </w:rPr>
                            </w:pPr>
                            <w:r>
                              <w:rPr>
                                <w:sz w:val="20"/>
                              </w:rPr>
                              <w:t>Viscosity</w:t>
                            </w:r>
                            <w:r>
                              <w:rPr>
                                <w:spacing w:val="-5"/>
                                <w:sz w:val="20"/>
                              </w:rPr>
                              <w:t> </w:t>
                            </w:r>
                            <w:r>
                              <w:rPr>
                                <w:sz w:val="20"/>
                              </w:rPr>
                              <w:t>@</w:t>
                            </w:r>
                            <w:r>
                              <w:rPr>
                                <w:spacing w:val="-6"/>
                                <w:sz w:val="20"/>
                              </w:rPr>
                              <w:t> </w:t>
                            </w:r>
                            <w:r>
                              <w:rPr>
                                <w:sz w:val="20"/>
                              </w:rPr>
                              <w:t>40°C</w:t>
                            </w:r>
                            <w:r>
                              <w:rPr>
                                <w:spacing w:val="-5"/>
                                <w:sz w:val="20"/>
                              </w:rPr>
                              <w:t> </w:t>
                            </w:r>
                            <w:r>
                              <w:rPr>
                                <w:spacing w:val="-2"/>
                                <w:sz w:val="20"/>
                              </w:rPr>
                              <w:t>(mm</w:t>
                            </w:r>
                            <w:r>
                              <w:rPr>
                                <w:spacing w:val="-2"/>
                                <w:sz w:val="20"/>
                                <w:vertAlign w:val="superscript"/>
                              </w:rPr>
                              <w:t>2</w:t>
                            </w:r>
                            <w:r>
                              <w:rPr>
                                <w:spacing w:val="-2"/>
                                <w:sz w:val="20"/>
                                <w:vertAlign w:val="baseline"/>
                              </w:rPr>
                              <w:t>/s)</w:t>
                            </w:r>
                          </w:p>
                        </w:tc>
                        <w:tc>
                          <w:tcPr>
                            <w:tcW w:w="1101" w:type="dxa"/>
                          </w:tcPr>
                          <w:p>
                            <w:pPr>
                              <w:pStyle w:val="TableParagraph"/>
                              <w:spacing w:before="31"/>
                              <w:ind w:right="77"/>
                              <w:rPr>
                                <w:sz w:val="20"/>
                              </w:rPr>
                            </w:pPr>
                            <w:r>
                              <w:rPr>
                                <w:spacing w:val="-2"/>
                                <w:sz w:val="20"/>
                              </w:rPr>
                              <w:t>99.759</w:t>
                            </w:r>
                          </w:p>
                        </w:tc>
                        <w:tc>
                          <w:tcPr>
                            <w:tcW w:w="1155" w:type="dxa"/>
                          </w:tcPr>
                          <w:p>
                            <w:pPr>
                              <w:pStyle w:val="TableParagraph"/>
                              <w:spacing w:before="31"/>
                              <w:ind w:right="69"/>
                              <w:rPr>
                                <w:sz w:val="20"/>
                              </w:rPr>
                            </w:pPr>
                            <w:r>
                              <w:rPr>
                                <w:spacing w:val="-2"/>
                                <w:sz w:val="20"/>
                              </w:rPr>
                              <w:t>133.4</w:t>
                            </w:r>
                          </w:p>
                        </w:tc>
                        <w:tc>
                          <w:tcPr>
                            <w:tcW w:w="2430" w:type="dxa"/>
                          </w:tcPr>
                          <w:p>
                            <w:pPr>
                              <w:pStyle w:val="TableParagraph"/>
                              <w:spacing w:line="221" w:lineRule="exact"/>
                              <w:ind w:left="389"/>
                              <w:jc w:val="left"/>
                              <w:rPr>
                                <w:sz w:val="20"/>
                              </w:rPr>
                            </w:pPr>
                            <w:r>
                              <w:rPr>
                                <w:sz w:val="20"/>
                              </w:rPr>
                              <w:t>Gow,</w:t>
                            </w:r>
                            <w:r>
                              <w:rPr>
                                <w:spacing w:val="-3"/>
                                <w:sz w:val="20"/>
                              </w:rPr>
                              <w:t> </w:t>
                            </w:r>
                            <w:r>
                              <w:rPr>
                                <w:spacing w:val="-4"/>
                                <w:sz w:val="20"/>
                              </w:rPr>
                              <w:t>2009</w:t>
                            </w:r>
                          </w:p>
                        </w:tc>
                        <w:tc>
                          <w:tcPr>
                            <w:tcW w:w="1067" w:type="dxa"/>
                          </w:tcPr>
                          <w:p>
                            <w:pPr>
                              <w:pStyle w:val="TableParagraph"/>
                              <w:spacing w:line="221" w:lineRule="exact"/>
                              <w:ind w:left="147"/>
                              <w:rPr>
                                <w:sz w:val="20"/>
                              </w:rPr>
                            </w:pPr>
                            <w:r>
                              <w:rPr>
                                <w:spacing w:val="-5"/>
                                <w:sz w:val="20"/>
                              </w:rPr>
                              <w:t>80</w:t>
                            </w:r>
                          </w:p>
                        </w:tc>
                        <w:tc>
                          <w:tcPr>
                            <w:tcW w:w="612" w:type="dxa"/>
                          </w:tcPr>
                          <w:p>
                            <w:pPr>
                              <w:pStyle w:val="TableParagraph"/>
                              <w:spacing w:line="221" w:lineRule="exact"/>
                              <w:ind w:right="44"/>
                              <w:jc w:val="right"/>
                              <w:rPr>
                                <w:sz w:val="20"/>
                              </w:rPr>
                            </w:pPr>
                            <w:r>
                              <w:rPr>
                                <w:spacing w:val="-5"/>
                                <w:sz w:val="20"/>
                              </w:rPr>
                              <w:t>20</w:t>
                            </w:r>
                          </w:p>
                        </w:tc>
                      </w:tr>
                      <w:tr>
                        <w:trPr>
                          <w:trHeight w:val="245" w:hRule="atLeast"/>
                        </w:trPr>
                        <w:tc>
                          <w:tcPr>
                            <w:tcW w:w="2529" w:type="dxa"/>
                          </w:tcPr>
                          <w:p>
                            <w:pPr>
                              <w:pStyle w:val="TableParagraph"/>
                              <w:spacing w:line="210" w:lineRule="exact" w:before="16"/>
                              <w:ind w:left="50"/>
                              <w:jc w:val="left"/>
                              <w:rPr>
                                <w:sz w:val="20"/>
                              </w:rPr>
                            </w:pPr>
                            <w:r>
                              <w:rPr>
                                <w:sz w:val="20"/>
                              </w:rPr>
                              <w:t>Viscosity</w:t>
                            </w:r>
                            <w:r>
                              <w:rPr>
                                <w:spacing w:val="-5"/>
                                <w:sz w:val="20"/>
                              </w:rPr>
                              <w:t> </w:t>
                            </w:r>
                            <w:r>
                              <w:rPr>
                                <w:sz w:val="20"/>
                              </w:rPr>
                              <w:t>@</w:t>
                            </w:r>
                            <w:r>
                              <w:rPr>
                                <w:spacing w:val="-6"/>
                                <w:sz w:val="20"/>
                              </w:rPr>
                              <w:t> </w:t>
                            </w:r>
                            <w:r>
                              <w:rPr>
                                <w:sz w:val="20"/>
                              </w:rPr>
                              <w:t>100°C</w:t>
                            </w:r>
                            <w:r>
                              <w:rPr>
                                <w:spacing w:val="-7"/>
                                <w:sz w:val="20"/>
                              </w:rPr>
                              <w:t> </w:t>
                            </w:r>
                            <w:r>
                              <w:rPr>
                                <w:spacing w:val="-2"/>
                                <w:sz w:val="20"/>
                              </w:rPr>
                              <w:t>(mm</w:t>
                            </w:r>
                            <w:r>
                              <w:rPr>
                                <w:spacing w:val="-2"/>
                                <w:sz w:val="20"/>
                                <w:vertAlign w:val="superscript"/>
                              </w:rPr>
                              <w:t>2</w:t>
                            </w:r>
                            <w:r>
                              <w:rPr>
                                <w:spacing w:val="-2"/>
                                <w:sz w:val="20"/>
                                <w:vertAlign w:val="baseline"/>
                              </w:rPr>
                              <w:t>/s)</w:t>
                            </w:r>
                          </w:p>
                        </w:tc>
                        <w:tc>
                          <w:tcPr>
                            <w:tcW w:w="1101" w:type="dxa"/>
                          </w:tcPr>
                          <w:p>
                            <w:pPr>
                              <w:pStyle w:val="TableParagraph"/>
                              <w:spacing w:line="210" w:lineRule="exact" w:before="16"/>
                              <w:ind w:right="77"/>
                              <w:rPr>
                                <w:sz w:val="20"/>
                              </w:rPr>
                            </w:pPr>
                            <w:r>
                              <w:rPr>
                                <w:spacing w:val="-2"/>
                                <w:sz w:val="20"/>
                              </w:rPr>
                              <w:t>13.403</w:t>
                            </w:r>
                          </w:p>
                        </w:tc>
                        <w:tc>
                          <w:tcPr>
                            <w:tcW w:w="1155" w:type="dxa"/>
                          </w:tcPr>
                          <w:p>
                            <w:pPr>
                              <w:pStyle w:val="TableParagraph"/>
                              <w:spacing w:line="210" w:lineRule="exact" w:before="16"/>
                              <w:ind w:right="69"/>
                              <w:rPr>
                                <w:sz w:val="20"/>
                              </w:rPr>
                            </w:pPr>
                            <w:r>
                              <w:rPr>
                                <w:spacing w:val="-2"/>
                                <w:sz w:val="20"/>
                              </w:rPr>
                              <w:t>13.66</w:t>
                            </w:r>
                          </w:p>
                        </w:tc>
                        <w:tc>
                          <w:tcPr>
                            <w:tcW w:w="2430" w:type="dxa"/>
                          </w:tcPr>
                          <w:p>
                            <w:pPr>
                              <w:pStyle w:val="TableParagraph"/>
                              <w:spacing w:line="205" w:lineRule="exact"/>
                              <w:ind w:left="389"/>
                              <w:jc w:val="left"/>
                              <w:rPr>
                                <w:sz w:val="20"/>
                              </w:rPr>
                            </w:pPr>
                            <w:r>
                              <w:rPr>
                                <w:sz w:val="20"/>
                              </w:rPr>
                              <w:t>Ebisike</w:t>
                            </w:r>
                            <w:r>
                              <w:rPr>
                                <w:spacing w:val="-4"/>
                                <w:sz w:val="20"/>
                              </w:rPr>
                              <w:t> </w:t>
                            </w:r>
                            <w:r>
                              <w:rPr>
                                <w:sz w:val="20"/>
                              </w:rPr>
                              <w:t>et</w:t>
                            </w:r>
                            <w:r>
                              <w:rPr>
                                <w:spacing w:val="-4"/>
                                <w:sz w:val="20"/>
                              </w:rPr>
                              <w:t> </w:t>
                            </w:r>
                            <w:r>
                              <w:rPr>
                                <w:sz w:val="20"/>
                              </w:rPr>
                              <w:t>al.,</w:t>
                            </w:r>
                            <w:r>
                              <w:rPr>
                                <w:spacing w:val="-3"/>
                                <w:sz w:val="20"/>
                              </w:rPr>
                              <w:t> </w:t>
                            </w:r>
                            <w:r>
                              <w:rPr>
                                <w:spacing w:val="-4"/>
                                <w:sz w:val="20"/>
                              </w:rPr>
                              <w:t>2016</w:t>
                            </w:r>
                          </w:p>
                        </w:tc>
                        <w:tc>
                          <w:tcPr>
                            <w:tcW w:w="1067" w:type="dxa"/>
                          </w:tcPr>
                          <w:p>
                            <w:pPr>
                              <w:pStyle w:val="TableParagraph"/>
                              <w:spacing w:line="205" w:lineRule="exact"/>
                              <w:ind w:left="147"/>
                              <w:rPr>
                                <w:sz w:val="20"/>
                              </w:rPr>
                            </w:pPr>
                            <w:r>
                              <w:rPr>
                                <w:spacing w:val="-5"/>
                                <w:sz w:val="20"/>
                              </w:rPr>
                              <w:t>80</w:t>
                            </w:r>
                          </w:p>
                        </w:tc>
                        <w:tc>
                          <w:tcPr>
                            <w:tcW w:w="612" w:type="dxa"/>
                          </w:tcPr>
                          <w:p>
                            <w:pPr>
                              <w:pStyle w:val="TableParagraph"/>
                              <w:spacing w:line="205" w:lineRule="exact"/>
                              <w:ind w:right="44"/>
                              <w:jc w:val="right"/>
                              <w:rPr>
                                <w:sz w:val="20"/>
                              </w:rPr>
                            </w:pPr>
                            <w:r>
                              <w:rPr>
                                <w:spacing w:val="-5"/>
                                <w:sz w:val="20"/>
                              </w:rPr>
                              <w:t>20</w:t>
                            </w:r>
                          </w:p>
                        </w:tc>
                      </w:tr>
                    </w:tbl>
                    <w:p>
                      <w:pPr>
                        <w:pStyle w:val="BodyText"/>
                        <w:ind w:left="0"/>
                        <w:jc w:val="left"/>
                      </w:pPr>
                    </w:p>
                  </w:txbxContent>
                </v:textbox>
                <w10:wrap type="none"/>
              </v:shape>
            </w:pict>
          </mc:Fallback>
        </mc:AlternateContent>
      </w:r>
      <w:r>
        <w:rPr>
          <w:b/>
          <w:sz w:val="20"/>
          <w:u w:val="single"/>
        </w:rPr>
        <w:tab/>
      </w:r>
      <w:r>
        <w:rPr>
          <w:b/>
          <w:spacing w:val="-2"/>
          <w:sz w:val="20"/>
          <w:u w:val="single"/>
        </w:rPr>
        <w:t>Lubricant</w:t>
      </w:r>
      <w:r>
        <w:rPr>
          <w:b/>
          <w:spacing w:val="80"/>
          <w:sz w:val="20"/>
          <w:u w:val="single"/>
        </w:rPr>
        <w:t> </w:t>
      </w:r>
    </w:p>
    <w:p>
      <w:pPr>
        <w:pStyle w:val="BodyText"/>
        <w:tabs>
          <w:tab w:pos="2885" w:val="left" w:leader="none"/>
          <w:tab w:pos="3810" w:val="left" w:leader="none"/>
        </w:tabs>
        <w:spacing w:line="221" w:lineRule="exact"/>
        <w:jc w:val="left"/>
      </w:pPr>
      <w:r>
        <w:rPr/>
        <w:br w:type="column"/>
      </w:r>
      <w:r>
        <w:rPr/>
        <w:t>Adhvaryu</w:t>
      </w:r>
      <w:r>
        <w:rPr>
          <w:spacing w:val="-3"/>
        </w:rPr>
        <w:t> </w:t>
      </w:r>
      <w:r>
        <w:rPr/>
        <w:t>et</w:t>
      </w:r>
      <w:r>
        <w:rPr>
          <w:spacing w:val="-3"/>
        </w:rPr>
        <w:t> </w:t>
      </w:r>
      <w:r>
        <w:rPr/>
        <w:t>al.,</w:t>
      </w:r>
      <w:r>
        <w:rPr>
          <w:spacing w:val="-5"/>
        </w:rPr>
        <w:t> </w:t>
      </w:r>
      <w:r>
        <w:rPr>
          <w:spacing w:val="-4"/>
        </w:rPr>
        <w:t>2004</w:t>
      </w:r>
      <w:r>
        <w:rPr/>
        <w:tab/>
        <w:t>75</w:t>
      </w:r>
      <w:r>
        <w:rPr>
          <w:spacing w:val="-3"/>
        </w:rPr>
        <w:t> </w:t>
      </w:r>
      <w:r>
        <w:rPr/>
        <w:t>–</w:t>
      </w:r>
      <w:r>
        <w:rPr>
          <w:spacing w:val="-1"/>
        </w:rPr>
        <w:t> </w:t>
      </w:r>
      <w:r>
        <w:rPr>
          <w:spacing w:val="-5"/>
        </w:rPr>
        <w:t>80</w:t>
      </w:r>
      <w:r>
        <w:rPr/>
        <w:tab/>
        <w:t>20</w:t>
      </w:r>
      <w:r>
        <w:rPr>
          <w:spacing w:val="-3"/>
        </w:rPr>
        <w:t> </w:t>
      </w:r>
      <w:r>
        <w:rPr/>
        <w:t>–</w:t>
      </w:r>
      <w:r>
        <w:rPr>
          <w:spacing w:val="-1"/>
        </w:rPr>
        <w:t> </w:t>
      </w:r>
      <w:r>
        <w:rPr>
          <w:spacing w:val="-5"/>
        </w:rPr>
        <w:t>25</w:t>
      </w:r>
    </w:p>
    <w:p>
      <w:pPr>
        <w:pStyle w:val="BodyText"/>
        <w:tabs>
          <w:tab w:pos="2885" w:val="left" w:leader="none"/>
          <w:tab w:pos="3810" w:val="left" w:leader="none"/>
        </w:tabs>
        <w:jc w:val="left"/>
      </w:pPr>
      <w:r>
        <w:rPr/>
        <w:t>Salomonsson</w:t>
      </w:r>
      <w:r>
        <w:rPr>
          <w:spacing w:val="-4"/>
        </w:rPr>
        <w:t> </w:t>
      </w:r>
      <w:r>
        <w:rPr/>
        <w:t>et</w:t>
      </w:r>
      <w:r>
        <w:rPr>
          <w:spacing w:val="-5"/>
        </w:rPr>
        <w:t> </w:t>
      </w:r>
      <w:r>
        <w:rPr/>
        <w:t>al.,</w:t>
      </w:r>
      <w:r>
        <w:rPr>
          <w:spacing w:val="-4"/>
        </w:rPr>
        <w:t> 2007</w:t>
      </w:r>
      <w:r>
        <w:rPr/>
        <w:tab/>
        <w:t>80</w:t>
      </w:r>
      <w:r>
        <w:rPr>
          <w:spacing w:val="-3"/>
        </w:rPr>
        <w:t> </w:t>
      </w:r>
      <w:r>
        <w:rPr/>
        <w:t>–</w:t>
      </w:r>
      <w:r>
        <w:rPr>
          <w:spacing w:val="-1"/>
        </w:rPr>
        <w:t> </w:t>
      </w:r>
      <w:r>
        <w:rPr>
          <w:spacing w:val="-5"/>
        </w:rPr>
        <w:t>90</w:t>
      </w:r>
      <w:r>
        <w:rPr/>
        <w:tab/>
        <w:t>10</w:t>
      </w:r>
      <w:r>
        <w:rPr>
          <w:spacing w:val="-3"/>
        </w:rPr>
        <w:t> </w:t>
      </w:r>
      <w:r>
        <w:rPr/>
        <w:t>–</w:t>
      </w:r>
      <w:r>
        <w:rPr>
          <w:spacing w:val="-1"/>
        </w:rPr>
        <w:t> </w:t>
      </w:r>
      <w:r>
        <w:rPr>
          <w:spacing w:val="-5"/>
        </w:rPr>
        <w:t>20</w:t>
      </w:r>
    </w:p>
    <w:p>
      <w:pPr>
        <w:pStyle w:val="BodyText"/>
        <w:tabs>
          <w:tab w:pos="2885" w:val="left" w:leader="none"/>
          <w:tab w:pos="3810" w:val="left" w:leader="none"/>
        </w:tabs>
        <w:spacing w:before="1"/>
        <w:jc w:val="left"/>
      </w:pPr>
      <w:r>
        <w:rPr/>
        <w:t>Sukimno</w:t>
      </w:r>
      <w:r>
        <w:rPr>
          <w:spacing w:val="-3"/>
        </w:rPr>
        <w:t> </w:t>
      </w:r>
      <w:r>
        <w:rPr/>
        <w:t>et</w:t>
      </w:r>
      <w:r>
        <w:rPr>
          <w:spacing w:val="-3"/>
        </w:rPr>
        <w:t> </w:t>
      </w:r>
      <w:r>
        <w:rPr/>
        <w:t>al.,</w:t>
      </w:r>
      <w:r>
        <w:rPr>
          <w:spacing w:val="-5"/>
        </w:rPr>
        <w:t> </w:t>
      </w:r>
      <w:r>
        <w:rPr>
          <w:spacing w:val="-4"/>
        </w:rPr>
        <w:t>2009</w:t>
      </w:r>
      <w:r>
        <w:rPr/>
        <w:tab/>
        <w:t>75</w:t>
      </w:r>
      <w:r>
        <w:rPr>
          <w:spacing w:val="-3"/>
        </w:rPr>
        <w:t> </w:t>
      </w:r>
      <w:r>
        <w:rPr/>
        <w:t>–</w:t>
      </w:r>
      <w:r>
        <w:rPr>
          <w:spacing w:val="-1"/>
        </w:rPr>
        <w:t> </w:t>
      </w:r>
      <w:r>
        <w:rPr>
          <w:spacing w:val="-5"/>
        </w:rPr>
        <w:t>95</w:t>
      </w:r>
      <w:r>
        <w:rPr/>
        <w:tab/>
        <w:t>5 – </w:t>
      </w:r>
      <w:r>
        <w:rPr>
          <w:spacing w:val="-5"/>
        </w:rPr>
        <w:t>25</w:t>
      </w:r>
    </w:p>
    <w:p>
      <w:pPr>
        <w:pStyle w:val="BodyText"/>
        <w:spacing w:after="0"/>
        <w:jc w:val="left"/>
        <w:sectPr>
          <w:type w:val="continuous"/>
          <w:pgSz w:w="12240" w:h="15840"/>
          <w:pgMar w:header="851" w:footer="1027" w:top="640" w:bottom="1180" w:left="1080" w:right="1080"/>
          <w:cols w:num="2" w:equalWidth="0">
            <w:col w:w="4942" w:space="290"/>
            <w:col w:w="4848"/>
          </w:cols>
        </w:sectPr>
      </w:pPr>
    </w:p>
    <w:p>
      <w:pPr>
        <w:pStyle w:val="BodyText"/>
        <w:spacing w:before="109"/>
        <w:ind w:left="0"/>
        <w:jc w:val="left"/>
      </w:pPr>
    </w:p>
    <w:p>
      <w:pPr>
        <w:pStyle w:val="BodyText"/>
        <w:spacing w:after="0"/>
        <w:jc w:val="left"/>
        <w:sectPr>
          <w:type w:val="continuous"/>
          <w:pgSz w:w="12240" w:h="15840"/>
          <w:pgMar w:header="851" w:footer="1027" w:top="640" w:bottom="1180" w:left="1080" w:right="1080"/>
        </w:sectPr>
      </w:pPr>
    </w:p>
    <w:p>
      <w:pPr>
        <w:pStyle w:val="BodyText"/>
        <w:tabs>
          <w:tab w:pos="3260" w:val="left" w:leader="none"/>
          <w:tab w:pos="4594" w:val="left" w:leader="none"/>
        </w:tabs>
        <w:spacing w:before="132"/>
        <w:ind w:left="324"/>
        <w:jc w:val="left"/>
      </w:pPr>
      <w:r>
        <w:rPr>
          <w:spacing w:val="65"/>
          <w:u w:val="single"/>
        </w:rPr>
        <w:t> </w:t>
      </w:r>
      <w:r>
        <w:rPr>
          <w:u w:val="single"/>
        </w:rPr>
        <w:t>Viscosity</w:t>
      </w:r>
      <w:r>
        <w:rPr>
          <w:spacing w:val="46"/>
          <w:u w:val="single"/>
        </w:rPr>
        <w:t> </w:t>
      </w:r>
      <w:r>
        <w:rPr>
          <w:spacing w:val="-2"/>
          <w:u w:val="single"/>
        </w:rPr>
        <w:t>Index</w:t>
      </w:r>
      <w:r>
        <w:rPr>
          <w:u w:val="single"/>
        </w:rPr>
        <w:tab/>
      </w:r>
      <w:r>
        <w:rPr>
          <w:spacing w:val="-2"/>
          <w:u w:val="single"/>
        </w:rPr>
        <w:t>133.5</w:t>
      </w:r>
      <w:r>
        <w:rPr>
          <w:u w:val="single"/>
        </w:rPr>
        <w:tab/>
      </w:r>
      <w:r>
        <w:rPr>
          <w:spacing w:val="-5"/>
          <w:u w:val="single"/>
        </w:rPr>
        <w:t>98</w:t>
      </w:r>
      <w:r>
        <w:rPr>
          <w:spacing w:val="80"/>
          <w:u w:val="single"/>
        </w:rPr>
        <w:t> </w:t>
      </w:r>
    </w:p>
    <w:p>
      <w:pPr>
        <w:pStyle w:val="BodyText"/>
        <w:spacing w:before="10"/>
        <w:ind w:left="0"/>
        <w:jc w:val="left"/>
      </w:pPr>
    </w:p>
    <w:p>
      <w:pPr>
        <w:pStyle w:val="BodyText"/>
        <w:ind w:right="38" w:firstLine="566"/>
      </w:pPr>
      <w:r>
        <w:rPr/>
        <w:t>MTU</w:t>
      </w:r>
      <w:r>
        <w:rPr>
          <w:spacing w:val="-2"/>
        </w:rPr>
        <w:t> </w:t>
      </w:r>
      <w:r>
        <w:rPr/>
        <w:t>(2020)</w:t>
      </w:r>
      <w:r>
        <w:rPr>
          <w:spacing w:val="-1"/>
        </w:rPr>
        <w:t> </w:t>
      </w:r>
      <w:r>
        <w:rPr/>
        <w:t>states</w:t>
      </w:r>
      <w:r>
        <w:rPr>
          <w:spacing w:val="-2"/>
        </w:rPr>
        <w:t> </w:t>
      </w:r>
      <w:r>
        <w:rPr/>
        <w:t>that</w:t>
      </w:r>
      <w:r>
        <w:rPr>
          <w:spacing w:val="-2"/>
        </w:rPr>
        <w:t> </w:t>
      </w:r>
      <w:r>
        <w:rPr/>
        <w:t>SAE 40</w:t>
      </w:r>
      <w:r>
        <w:rPr>
          <w:spacing w:val="-1"/>
        </w:rPr>
        <w:t> </w:t>
      </w:r>
      <w:r>
        <w:rPr/>
        <w:t>viscosity</w:t>
      </w:r>
      <w:r>
        <w:rPr>
          <w:spacing w:val="-1"/>
        </w:rPr>
        <w:t> </w:t>
      </w:r>
      <w:r>
        <w:rPr/>
        <w:t>at</w:t>
      </w:r>
      <w:r>
        <w:rPr>
          <w:spacing w:val="-2"/>
        </w:rPr>
        <w:t> </w:t>
      </w:r>
      <w:r>
        <w:rPr/>
        <w:t>40°C ranges</w:t>
      </w:r>
      <w:r>
        <w:rPr>
          <w:spacing w:val="-8"/>
        </w:rPr>
        <w:t> </w:t>
      </w:r>
      <w:r>
        <w:rPr/>
        <w:t>from</w:t>
      </w:r>
      <w:r>
        <w:rPr>
          <w:spacing w:val="-9"/>
        </w:rPr>
        <w:t> </w:t>
      </w:r>
      <w:r>
        <w:rPr/>
        <w:t>12.5</w:t>
      </w:r>
      <w:r>
        <w:rPr>
          <w:spacing w:val="-8"/>
        </w:rPr>
        <w:t> </w:t>
      </w:r>
      <w:r>
        <w:rPr/>
        <w:t>to</w:t>
      </w:r>
      <w:r>
        <w:rPr>
          <w:spacing w:val="-8"/>
        </w:rPr>
        <w:t> </w:t>
      </w:r>
      <w:r>
        <w:rPr/>
        <w:t>16.3</w:t>
      </w:r>
      <w:r>
        <w:rPr>
          <w:spacing w:val="-8"/>
        </w:rPr>
        <w:t> </w:t>
      </w:r>
      <w:r>
        <w:rPr/>
        <w:t>mm²/s,</w:t>
      </w:r>
      <w:r>
        <w:rPr>
          <w:spacing w:val="-8"/>
        </w:rPr>
        <w:t> </w:t>
      </w:r>
      <w:r>
        <w:rPr/>
        <w:t>while</w:t>
      </w:r>
      <w:r>
        <w:rPr>
          <w:spacing w:val="-8"/>
        </w:rPr>
        <w:t> </w:t>
      </w:r>
      <w:r>
        <w:rPr/>
        <w:t>at</w:t>
      </w:r>
      <w:r>
        <w:rPr>
          <w:spacing w:val="-8"/>
        </w:rPr>
        <w:t> </w:t>
      </w:r>
      <w:r>
        <w:rPr/>
        <w:t>100°C,</w:t>
      </w:r>
      <w:r>
        <w:rPr>
          <w:spacing w:val="-8"/>
        </w:rPr>
        <w:t> </w:t>
      </w:r>
      <w:r>
        <w:rPr/>
        <w:t>it</w:t>
      </w:r>
      <w:r>
        <w:rPr>
          <w:spacing w:val="-8"/>
        </w:rPr>
        <w:t> </w:t>
      </w:r>
      <w:r>
        <w:rPr/>
        <w:t>ranges from</w:t>
      </w:r>
      <w:r>
        <w:rPr>
          <w:spacing w:val="-8"/>
        </w:rPr>
        <w:t> </w:t>
      </w:r>
      <w:r>
        <w:rPr/>
        <w:t>130</w:t>
      </w:r>
      <w:r>
        <w:rPr>
          <w:spacing w:val="-8"/>
        </w:rPr>
        <w:t> </w:t>
      </w:r>
      <w:r>
        <w:rPr/>
        <w:t>to</w:t>
      </w:r>
      <w:r>
        <w:rPr>
          <w:spacing w:val="-10"/>
        </w:rPr>
        <w:t> </w:t>
      </w:r>
      <w:r>
        <w:rPr/>
        <w:t>150</w:t>
      </w:r>
      <w:r>
        <w:rPr>
          <w:spacing w:val="-10"/>
        </w:rPr>
        <w:t> </w:t>
      </w:r>
      <w:r>
        <w:rPr/>
        <w:t>mm²/s.</w:t>
      </w:r>
      <w:r>
        <w:rPr>
          <w:spacing w:val="-8"/>
        </w:rPr>
        <w:t> </w:t>
      </w:r>
      <w:r>
        <w:rPr/>
        <w:t>This</w:t>
      </w:r>
      <w:r>
        <w:rPr>
          <w:spacing w:val="-10"/>
        </w:rPr>
        <w:t> </w:t>
      </w:r>
      <w:r>
        <w:rPr/>
        <w:t>viscosity</w:t>
      </w:r>
      <w:r>
        <w:rPr>
          <w:spacing w:val="-8"/>
        </w:rPr>
        <w:t> </w:t>
      </w:r>
      <w:r>
        <w:rPr/>
        <w:t>index</w:t>
      </w:r>
      <w:r>
        <w:rPr>
          <w:spacing w:val="-7"/>
        </w:rPr>
        <w:t> </w:t>
      </w:r>
      <w:r>
        <w:rPr/>
        <w:t>falls</w:t>
      </w:r>
      <w:r>
        <w:rPr>
          <w:spacing w:val="-10"/>
        </w:rPr>
        <w:t> </w:t>
      </w:r>
      <w:r>
        <w:rPr/>
        <w:t>into</w:t>
      </w:r>
      <w:r>
        <w:rPr>
          <w:spacing w:val="-8"/>
        </w:rPr>
        <w:t> </w:t>
      </w:r>
      <w:r>
        <w:rPr/>
        <w:t>the high category, as Siskayanti &amp; Kosim (2017) define a viscosity index above 80 as a High Viscosity Index (HVI).</w:t>
      </w:r>
      <w:r>
        <w:rPr>
          <w:spacing w:val="-7"/>
        </w:rPr>
        <w:t> </w:t>
      </w:r>
      <w:r>
        <w:rPr/>
        <w:t>A</w:t>
      </w:r>
      <w:r>
        <w:rPr>
          <w:spacing w:val="-7"/>
        </w:rPr>
        <w:t> </w:t>
      </w:r>
      <w:r>
        <w:rPr/>
        <w:t>higher</w:t>
      </w:r>
      <w:r>
        <w:rPr>
          <w:spacing w:val="-9"/>
        </w:rPr>
        <w:t> </w:t>
      </w:r>
      <w:r>
        <w:rPr/>
        <w:t>viscosity</w:t>
      </w:r>
      <w:r>
        <w:rPr>
          <w:spacing w:val="-7"/>
        </w:rPr>
        <w:t> </w:t>
      </w:r>
      <w:r>
        <w:rPr/>
        <w:t>index</w:t>
      </w:r>
      <w:r>
        <w:rPr>
          <w:spacing w:val="-6"/>
        </w:rPr>
        <w:t> </w:t>
      </w:r>
      <w:r>
        <w:rPr/>
        <w:t>indicates</w:t>
      </w:r>
      <w:r>
        <w:rPr>
          <w:spacing w:val="-8"/>
        </w:rPr>
        <w:t> </w:t>
      </w:r>
      <w:r>
        <w:rPr/>
        <w:t>better</w:t>
      </w:r>
      <w:r>
        <w:rPr>
          <w:spacing w:val="-6"/>
        </w:rPr>
        <w:t> </w:t>
      </w:r>
      <w:r>
        <w:rPr/>
        <w:t>lubricant quality</w:t>
      </w:r>
      <w:r>
        <w:rPr>
          <w:spacing w:val="-4"/>
        </w:rPr>
        <w:t> </w:t>
      </w:r>
      <w:r>
        <w:rPr/>
        <w:t>(Sonjaya</w:t>
      </w:r>
      <w:r>
        <w:rPr>
          <w:spacing w:val="-5"/>
        </w:rPr>
        <w:t> </w:t>
      </w:r>
      <w:r>
        <w:rPr/>
        <w:t>&amp;</w:t>
      </w:r>
      <w:r>
        <w:rPr>
          <w:spacing w:val="-4"/>
        </w:rPr>
        <w:t> </w:t>
      </w:r>
      <w:r>
        <w:rPr/>
        <w:t>Rahmasari,</w:t>
      </w:r>
      <w:r>
        <w:rPr>
          <w:spacing w:val="-5"/>
        </w:rPr>
        <w:t> </w:t>
      </w:r>
      <w:r>
        <w:rPr/>
        <w:t>2019).</w:t>
      </w:r>
      <w:r>
        <w:rPr>
          <w:spacing w:val="-5"/>
        </w:rPr>
        <w:t> </w:t>
      </w:r>
      <w:r>
        <w:rPr/>
        <w:t>SAE</w:t>
      </w:r>
      <w:r>
        <w:rPr>
          <w:spacing w:val="-5"/>
        </w:rPr>
        <w:t> </w:t>
      </w:r>
      <w:r>
        <w:rPr/>
        <w:t>40</w:t>
      </w:r>
      <w:r>
        <w:rPr>
          <w:spacing w:val="-4"/>
        </w:rPr>
        <w:t> </w:t>
      </w:r>
      <w:r>
        <w:rPr/>
        <w:t>lubricants with a viscosity index above 85 are considered high- performance</w:t>
      </w:r>
      <w:r>
        <w:rPr>
          <w:spacing w:val="9"/>
        </w:rPr>
        <w:t> </w:t>
      </w:r>
      <w:r>
        <w:rPr/>
        <w:t>and</w:t>
      </w:r>
      <w:r>
        <w:rPr>
          <w:spacing w:val="7"/>
        </w:rPr>
        <w:t> </w:t>
      </w:r>
      <w:r>
        <w:rPr/>
        <w:t>suitable</w:t>
      </w:r>
      <w:r>
        <w:rPr>
          <w:spacing w:val="8"/>
        </w:rPr>
        <w:t> </w:t>
      </w:r>
      <w:r>
        <w:rPr/>
        <w:t>for</w:t>
      </w:r>
      <w:r>
        <w:rPr>
          <w:spacing w:val="7"/>
        </w:rPr>
        <w:t> </w:t>
      </w:r>
      <w:r>
        <w:rPr/>
        <w:t>extreme</w:t>
      </w:r>
      <w:r>
        <w:rPr>
          <w:spacing w:val="8"/>
        </w:rPr>
        <w:t> </w:t>
      </w:r>
      <w:r>
        <w:rPr/>
        <w:t>applications,</w:t>
      </w:r>
      <w:r>
        <w:rPr>
          <w:spacing w:val="8"/>
        </w:rPr>
        <w:t> </w:t>
      </w:r>
      <w:r>
        <w:rPr>
          <w:spacing w:val="-4"/>
        </w:rPr>
        <w:t>such</w:t>
      </w:r>
    </w:p>
    <w:p>
      <w:pPr>
        <w:pStyle w:val="BodyText"/>
        <w:tabs>
          <w:tab w:pos="2993" w:val="left" w:leader="none"/>
          <w:tab w:pos="3918" w:val="left" w:leader="none"/>
        </w:tabs>
        <w:spacing w:line="229" w:lineRule="exact" w:before="91"/>
        <w:ind w:left="446"/>
        <w:jc w:val="left"/>
      </w:pPr>
      <w:r>
        <w:rPr/>
        <w:br w:type="column"/>
      </w:r>
      <w:r>
        <w:rPr/>
        <w:t>Abdulbari</w:t>
      </w:r>
      <w:r>
        <w:rPr>
          <w:spacing w:val="-5"/>
        </w:rPr>
        <w:t> </w:t>
      </w:r>
      <w:r>
        <w:rPr/>
        <w:t>&amp;</w:t>
      </w:r>
      <w:r>
        <w:rPr>
          <w:spacing w:val="-4"/>
        </w:rPr>
        <w:t> </w:t>
      </w:r>
      <w:r>
        <w:rPr/>
        <w:t>Zuhan,</w:t>
      </w:r>
      <w:r>
        <w:rPr>
          <w:spacing w:val="-4"/>
        </w:rPr>
        <w:t> 2018</w:t>
      </w:r>
      <w:r>
        <w:rPr/>
        <w:tab/>
        <w:t>70</w:t>
      </w:r>
      <w:r>
        <w:rPr>
          <w:spacing w:val="-3"/>
        </w:rPr>
        <w:t> </w:t>
      </w:r>
      <w:r>
        <w:rPr/>
        <w:t>–</w:t>
      </w:r>
      <w:r>
        <w:rPr>
          <w:spacing w:val="-1"/>
        </w:rPr>
        <w:t> </w:t>
      </w:r>
      <w:r>
        <w:rPr>
          <w:spacing w:val="-5"/>
        </w:rPr>
        <w:t>80</w:t>
      </w:r>
      <w:r>
        <w:rPr/>
        <w:tab/>
        <w:t>20</w:t>
      </w:r>
      <w:r>
        <w:rPr>
          <w:spacing w:val="-3"/>
        </w:rPr>
        <w:t> </w:t>
      </w:r>
      <w:r>
        <w:rPr/>
        <w:t>–</w:t>
      </w:r>
      <w:r>
        <w:rPr>
          <w:spacing w:val="-1"/>
        </w:rPr>
        <w:t> </w:t>
      </w:r>
      <w:r>
        <w:rPr>
          <w:spacing w:val="-5"/>
        </w:rPr>
        <w:t>30</w:t>
      </w:r>
    </w:p>
    <w:p>
      <w:pPr>
        <w:pStyle w:val="BodyText"/>
        <w:tabs>
          <w:tab w:pos="2993" w:val="left" w:leader="none"/>
          <w:tab w:pos="3918" w:val="left" w:leader="none"/>
        </w:tabs>
        <w:spacing w:line="229" w:lineRule="exact"/>
        <w:ind w:left="446"/>
        <w:jc w:val="left"/>
      </w:pPr>
      <w:r>
        <w:rPr/>
        <w:t>Japar</w:t>
      </w:r>
      <w:r>
        <w:rPr>
          <w:spacing w:val="-2"/>
        </w:rPr>
        <w:t> </w:t>
      </w:r>
      <w:r>
        <w:rPr/>
        <w:t>et</w:t>
      </w:r>
      <w:r>
        <w:rPr>
          <w:spacing w:val="-3"/>
        </w:rPr>
        <w:t> </w:t>
      </w:r>
      <w:r>
        <w:rPr/>
        <w:t>al.,</w:t>
      </w:r>
      <w:r>
        <w:rPr>
          <w:spacing w:val="-3"/>
        </w:rPr>
        <w:t> </w:t>
      </w:r>
      <w:r>
        <w:rPr>
          <w:spacing w:val="-4"/>
        </w:rPr>
        <w:t>2018</w:t>
      </w:r>
      <w:r>
        <w:rPr/>
        <w:tab/>
        <w:t>70</w:t>
      </w:r>
      <w:r>
        <w:rPr>
          <w:spacing w:val="-3"/>
        </w:rPr>
        <w:t> </w:t>
      </w:r>
      <w:r>
        <w:rPr/>
        <w:t>–</w:t>
      </w:r>
      <w:r>
        <w:rPr>
          <w:spacing w:val="-1"/>
        </w:rPr>
        <w:t> </w:t>
      </w:r>
      <w:r>
        <w:rPr>
          <w:spacing w:val="-5"/>
        </w:rPr>
        <w:t>90</w:t>
      </w:r>
      <w:r>
        <w:rPr/>
        <w:tab/>
        <w:t>10</w:t>
      </w:r>
      <w:r>
        <w:rPr>
          <w:spacing w:val="-3"/>
        </w:rPr>
        <w:t> </w:t>
      </w:r>
      <w:r>
        <w:rPr/>
        <w:t>–</w:t>
      </w:r>
      <w:r>
        <w:rPr>
          <w:spacing w:val="-1"/>
        </w:rPr>
        <w:t> </w:t>
      </w:r>
      <w:r>
        <w:rPr>
          <w:spacing w:val="-5"/>
        </w:rPr>
        <w:t>30</w:t>
      </w:r>
    </w:p>
    <w:p>
      <w:pPr>
        <w:pStyle w:val="BodyText"/>
        <w:tabs>
          <w:tab w:pos="2993" w:val="left" w:leader="none"/>
          <w:tab w:pos="3918" w:val="left" w:leader="none"/>
        </w:tabs>
        <w:spacing w:before="1"/>
        <w:ind w:left="446"/>
        <w:jc w:val="left"/>
      </w:pPr>
      <w:r>
        <w:rPr/>
        <w:t>Habib,</w:t>
      </w:r>
      <w:r>
        <w:rPr>
          <w:spacing w:val="-5"/>
        </w:rPr>
        <w:t> </w:t>
      </w:r>
      <w:r>
        <w:rPr>
          <w:spacing w:val="-4"/>
        </w:rPr>
        <w:t>2018</w:t>
      </w:r>
      <w:r>
        <w:rPr/>
        <w:tab/>
        <w:t>80</w:t>
      </w:r>
      <w:r>
        <w:rPr>
          <w:spacing w:val="-3"/>
        </w:rPr>
        <w:t> </w:t>
      </w:r>
      <w:r>
        <w:rPr/>
        <w:t>–</w:t>
      </w:r>
      <w:r>
        <w:rPr>
          <w:spacing w:val="-1"/>
        </w:rPr>
        <w:t> </w:t>
      </w:r>
      <w:r>
        <w:rPr>
          <w:spacing w:val="-5"/>
        </w:rPr>
        <w:t>85</w:t>
      </w:r>
      <w:r>
        <w:rPr/>
        <w:tab/>
        <w:t>15</w:t>
      </w:r>
      <w:r>
        <w:rPr>
          <w:spacing w:val="-3"/>
        </w:rPr>
        <w:t> </w:t>
      </w:r>
      <w:r>
        <w:rPr/>
        <w:t>–</w:t>
      </w:r>
      <w:r>
        <w:rPr>
          <w:spacing w:val="-1"/>
        </w:rPr>
        <w:t> </w:t>
      </w:r>
      <w:r>
        <w:rPr>
          <w:spacing w:val="-5"/>
        </w:rPr>
        <w:t>20</w:t>
      </w:r>
    </w:p>
    <w:p>
      <w:pPr>
        <w:pStyle w:val="BodyText"/>
        <w:tabs>
          <w:tab w:pos="2993" w:val="left" w:leader="none"/>
          <w:tab w:pos="4119" w:val="right" w:leader="none"/>
        </w:tabs>
        <w:ind w:left="446"/>
        <w:jc w:val="left"/>
      </w:pPr>
      <w:r>
        <w:rPr/>
        <w:t>Sofi</w:t>
      </w:r>
      <w:r>
        <w:rPr>
          <w:spacing w:val="-4"/>
        </w:rPr>
        <w:t> </w:t>
      </w:r>
      <w:r>
        <w:rPr/>
        <w:t>et</w:t>
      </w:r>
      <w:r>
        <w:rPr>
          <w:spacing w:val="-3"/>
        </w:rPr>
        <w:t> </w:t>
      </w:r>
      <w:r>
        <w:rPr/>
        <w:t>al.,</w:t>
      </w:r>
      <w:r>
        <w:rPr>
          <w:spacing w:val="-2"/>
        </w:rPr>
        <w:t> </w:t>
      </w:r>
      <w:r>
        <w:rPr>
          <w:spacing w:val="-4"/>
        </w:rPr>
        <w:t>2019</w:t>
      </w:r>
      <w:r>
        <w:rPr/>
        <w:tab/>
      </w:r>
      <w:r>
        <w:rPr>
          <w:spacing w:val="-5"/>
        </w:rPr>
        <w:t>80</w:t>
      </w:r>
      <w:r>
        <w:rPr/>
        <w:tab/>
      </w:r>
      <w:r>
        <w:rPr>
          <w:spacing w:val="-5"/>
        </w:rPr>
        <w:t>20</w:t>
      </w:r>
    </w:p>
    <w:p>
      <w:pPr>
        <w:pStyle w:val="BodyText"/>
        <w:tabs>
          <w:tab w:pos="2993" w:val="left" w:leader="none"/>
          <w:tab w:pos="4520" w:val="right" w:leader="none"/>
        </w:tabs>
        <w:ind w:left="446"/>
        <w:jc w:val="left"/>
      </w:pPr>
      <w:r>
        <w:rPr/>
        <w:t>Rahman</w:t>
      </w:r>
      <w:r>
        <w:rPr>
          <w:spacing w:val="-3"/>
        </w:rPr>
        <w:t> </w:t>
      </w:r>
      <w:r>
        <w:rPr/>
        <w:t>et</w:t>
      </w:r>
      <w:r>
        <w:rPr>
          <w:spacing w:val="-4"/>
        </w:rPr>
        <w:t> </w:t>
      </w:r>
      <w:r>
        <w:rPr/>
        <w:t>al.,</w:t>
      </w:r>
      <w:r>
        <w:rPr>
          <w:spacing w:val="-3"/>
        </w:rPr>
        <w:t> </w:t>
      </w:r>
      <w:r>
        <w:rPr>
          <w:spacing w:val="-4"/>
        </w:rPr>
        <w:t>2019</w:t>
      </w:r>
      <w:r>
        <w:rPr/>
        <w:tab/>
        <w:t>70</w:t>
      </w:r>
      <w:r>
        <w:rPr>
          <w:spacing w:val="-3"/>
        </w:rPr>
        <w:t> </w:t>
      </w:r>
      <w:r>
        <w:rPr/>
        <w:t>–</w:t>
      </w:r>
      <w:r>
        <w:rPr>
          <w:spacing w:val="-1"/>
        </w:rPr>
        <w:t> </w:t>
      </w:r>
      <w:r>
        <w:rPr>
          <w:spacing w:val="-5"/>
        </w:rPr>
        <w:t>80</w:t>
      </w:r>
      <w:r>
        <w:rPr/>
        <w:tab/>
      </w:r>
      <w:r>
        <w:rPr>
          <w:spacing w:val="-5"/>
        </w:rPr>
        <w:t>20 </w:t>
      </w:r>
      <w:r>
        <w:rPr/>
        <w:t>– 30</w:t>
      </w:r>
    </w:p>
    <w:p>
      <w:pPr>
        <w:pStyle w:val="BodyText"/>
        <w:tabs>
          <w:tab w:pos="2993" w:val="left" w:leader="none"/>
          <w:tab w:pos="4119" w:val="right" w:leader="none"/>
        </w:tabs>
        <w:spacing w:before="1"/>
        <w:ind w:left="446"/>
        <w:jc w:val="left"/>
      </w:pPr>
      <w:r>
        <w:rPr/>
        <w:t>Zhornik</w:t>
      </w:r>
      <w:r>
        <w:rPr>
          <w:spacing w:val="-3"/>
        </w:rPr>
        <w:t> </w:t>
      </w:r>
      <w:r>
        <w:rPr/>
        <w:t>et</w:t>
      </w:r>
      <w:r>
        <w:rPr>
          <w:spacing w:val="-3"/>
        </w:rPr>
        <w:t> </w:t>
      </w:r>
      <w:r>
        <w:rPr/>
        <w:t>al.,</w:t>
      </w:r>
      <w:r>
        <w:rPr>
          <w:spacing w:val="-4"/>
        </w:rPr>
        <w:t> 2021</w:t>
      </w:r>
      <w:r>
        <w:rPr/>
        <w:tab/>
      </w:r>
      <w:r>
        <w:rPr>
          <w:spacing w:val="-5"/>
        </w:rPr>
        <w:t>80</w:t>
      </w:r>
      <w:r>
        <w:rPr/>
        <w:tab/>
      </w:r>
      <w:r>
        <w:rPr>
          <w:spacing w:val="-5"/>
        </w:rPr>
        <w:t>20</w:t>
      </w:r>
    </w:p>
    <w:p>
      <w:pPr>
        <w:pStyle w:val="BodyText"/>
        <w:tabs>
          <w:tab w:pos="2993" w:val="left" w:leader="none"/>
          <w:tab w:pos="4520" w:val="right" w:leader="none"/>
        </w:tabs>
        <w:spacing w:line="229" w:lineRule="exact" w:before="1"/>
        <w:ind w:left="446"/>
        <w:jc w:val="left"/>
      </w:pPr>
      <w:r>
        <w:rPr/>
        <w:t>Razak</w:t>
      </w:r>
      <w:r>
        <w:rPr>
          <w:spacing w:val="-3"/>
        </w:rPr>
        <w:t> </w:t>
      </w:r>
      <w:r>
        <w:rPr/>
        <w:t>et</w:t>
      </w:r>
      <w:r>
        <w:rPr>
          <w:spacing w:val="-2"/>
        </w:rPr>
        <w:t> </w:t>
      </w:r>
      <w:r>
        <w:rPr/>
        <w:t>al.,</w:t>
      </w:r>
      <w:r>
        <w:rPr>
          <w:spacing w:val="-3"/>
        </w:rPr>
        <w:t> </w:t>
      </w:r>
      <w:r>
        <w:rPr>
          <w:spacing w:val="-4"/>
        </w:rPr>
        <w:t>2023</w:t>
      </w:r>
      <w:r>
        <w:rPr/>
        <w:tab/>
        <w:t>79</w:t>
      </w:r>
      <w:r>
        <w:rPr>
          <w:spacing w:val="-3"/>
        </w:rPr>
        <w:t> </w:t>
      </w:r>
      <w:r>
        <w:rPr/>
        <w:t>–</w:t>
      </w:r>
      <w:r>
        <w:rPr>
          <w:spacing w:val="-1"/>
        </w:rPr>
        <w:t> </w:t>
      </w:r>
      <w:r>
        <w:rPr>
          <w:spacing w:val="-5"/>
        </w:rPr>
        <w:t>84</w:t>
      </w:r>
      <w:r>
        <w:rPr/>
        <w:tab/>
      </w:r>
      <w:r>
        <w:rPr>
          <w:spacing w:val="-5"/>
        </w:rPr>
        <w:t>16 </w:t>
      </w:r>
      <w:r>
        <w:rPr/>
        <w:t>– 21</w:t>
      </w:r>
    </w:p>
    <w:p>
      <w:pPr>
        <w:pStyle w:val="BodyText"/>
        <w:tabs>
          <w:tab w:pos="2993" w:val="left" w:leader="none"/>
          <w:tab w:pos="3918" w:val="left" w:leader="none"/>
          <w:tab w:pos="4902" w:val="left" w:leader="none"/>
        </w:tabs>
        <w:spacing w:line="229" w:lineRule="exact"/>
        <w:ind w:left="324"/>
        <w:jc w:val="left"/>
      </w:pPr>
      <w:r>
        <w:rPr>
          <w:spacing w:val="67"/>
          <w:u w:val="single"/>
        </w:rPr>
        <w:t> </w:t>
      </w:r>
      <w:r>
        <w:rPr>
          <w:u w:val="single"/>
        </w:rPr>
        <w:t>Kozdrach,</w:t>
      </w:r>
      <w:r>
        <w:rPr>
          <w:spacing w:val="-4"/>
          <w:u w:val="single"/>
        </w:rPr>
        <w:t> 2024</w:t>
      </w:r>
      <w:r>
        <w:rPr>
          <w:u w:val="single"/>
        </w:rPr>
        <w:tab/>
        <w:t>80</w:t>
      </w:r>
      <w:r>
        <w:rPr>
          <w:spacing w:val="-3"/>
          <w:u w:val="single"/>
        </w:rPr>
        <w:t> </w:t>
      </w:r>
      <w:r>
        <w:rPr>
          <w:u w:val="single"/>
        </w:rPr>
        <w:t>–</w:t>
      </w:r>
      <w:r>
        <w:rPr>
          <w:spacing w:val="-1"/>
          <w:u w:val="single"/>
        </w:rPr>
        <w:t> </w:t>
      </w:r>
      <w:r>
        <w:rPr>
          <w:spacing w:val="-5"/>
          <w:u w:val="single"/>
        </w:rPr>
        <w:t>95</w:t>
      </w:r>
      <w:r>
        <w:rPr>
          <w:u w:val="single"/>
        </w:rPr>
        <w:tab/>
        <w:t>5 – </w:t>
      </w:r>
      <w:r>
        <w:rPr>
          <w:spacing w:val="-5"/>
          <w:u w:val="single"/>
        </w:rPr>
        <w:t>20</w:t>
      </w:r>
      <w:r>
        <w:rPr>
          <w:u w:val="single"/>
        </w:rPr>
        <w:tab/>
      </w:r>
    </w:p>
    <w:p>
      <w:pPr>
        <w:pStyle w:val="BodyText"/>
        <w:spacing w:before="240"/>
        <w:ind w:right="55" w:firstLine="566"/>
      </w:pPr>
      <w:r>
        <w:rPr/>
        <w:t>Based</w:t>
      </w:r>
      <w:r>
        <w:rPr>
          <w:spacing w:val="-5"/>
        </w:rPr>
        <w:t> </w:t>
      </w:r>
      <w:r>
        <w:rPr/>
        <w:t>on</w:t>
      </w:r>
      <w:r>
        <w:rPr>
          <w:spacing w:val="-5"/>
        </w:rPr>
        <w:t> </w:t>
      </w:r>
      <w:r>
        <w:rPr/>
        <w:t>the</w:t>
      </w:r>
      <w:r>
        <w:rPr>
          <w:spacing w:val="-6"/>
        </w:rPr>
        <w:t> </w:t>
      </w:r>
      <w:r>
        <w:rPr/>
        <w:t>literature</w:t>
      </w:r>
      <w:r>
        <w:rPr>
          <w:spacing w:val="-8"/>
        </w:rPr>
        <w:t> </w:t>
      </w:r>
      <w:r>
        <w:rPr/>
        <w:t>review,</w:t>
      </w:r>
      <w:r>
        <w:rPr>
          <w:spacing w:val="-8"/>
        </w:rPr>
        <w:t> </w:t>
      </w:r>
      <w:r>
        <w:rPr/>
        <w:t>the</w:t>
      </w:r>
      <w:r>
        <w:rPr>
          <w:spacing w:val="-6"/>
        </w:rPr>
        <w:t> </w:t>
      </w:r>
      <w:r>
        <w:rPr/>
        <w:t>composition</w:t>
      </w:r>
      <w:r>
        <w:rPr>
          <w:spacing w:val="-5"/>
        </w:rPr>
        <w:t> </w:t>
      </w:r>
      <w:r>
        <w:rPr/>
        <w:t>of 80%</w:t>
      </w:r>
      <w:r>
        <w:rPr>
          <w:spacing w:val="-6"/>
        </w:rPr>
        <w:t> </w:t>
      </w:r>
      <w:r>
        <w:rPr/>
        <w:t>base</w:t>
      </w:r>
      <w:r>
        <w:rPr>
          <w:spacing w:val="-5"/>
        </w:rPr>
        <w:t> </w:t>
      </w:r>
      <w:r>
        <w:rPr/>
        <w:t>oil</w:t>
      </w:r>
      <w:r>
        <w:rPr>
          <w:spacing w:val="-6"/>
        </w:rPr>
        <w:t> </w:t>
      </w:r>
      <w:r>
        <w:rPr/>
        <w:t>and</w:t>
      </w:r>
      <w:r>
        <w:rPr>
          <w:spacing w:val="-4"/>
        </w:rPr>
        <w:t> </w:t>
      </w:r>
      <w:r>
        <w:rPr/>
        <w:t>20%</w:t>
      </w:r>
      <w:r>
        <w:rPr>
          <w:spacing w:val="-6"/>
        </w:rPr>
        <w:t> </w:t>
      </w:r>
      <w:r>
        <w:rPr/>
        <w:t>thickener</w:t>
      </w:r>
      <w:r>
        <w:rPr>
          <w:spacing w:val="-4"/>
        </w:rPr>
        <w:t> </w:t>
      </w:r>
      <w:r>
        <w:rPr/>
        <w:t>is</w:t>
      </w:r>
      <w:r>
        <w:rPr>
          <w:spacing w:val="-6"/>
        </w:rPr>
        <w:t> </w:t>
      </w:r>
      <w:r>
        <w:rPr/>
        <w:t>strongly</w:t>
      </w:r>
      <w:r>
        <w:rPr>
          <w:spacing w:val="-4"/>
        </w:rPr>
        <w:t> </w:t>
      </w:r>
      <w:r>
        <w:rPr/>
        <w:t>supported</w:t>
      </w:r>
      <w:r>
        <w:rPr>
          <w:spacing w:val="-4"/>
        </w:rPr>
        <w:t> </w:t>
      </w:r>
      <w:r>
        <w:rPr/>
        <w:t>by various</w:t>
      </w:r>
      <w:r>
        <w:rPr>
          <w:spacing w:val="32"/>
        </w:rPr>
        <w:t> </w:t>
      </w:r>
      <w:r>
        <w:rPr/>
        <w:t>previous</w:t>
      </w:r>
      <w:r>
        <w:rPr>
          <w:spacing w:val="33"/>
        </w:rPr>
        <w:t> </w:t>
      </w:r>
      <w:r>
        <w:rPr/>
        <w:t>studies.</w:t>
      </w:r>
      <w:r>
        <w:rPr>
          <w:spacing w:val="33"/>
        </w:rPr>
        <w:t> </w:t>
      </w:r>
      <w:r>
        <w:rPr/>
        <w:t>Research</w:t>
      </w:r>
      <w:r>
        <w:rPr>
          <w:spacing w:val="35"/>
        </w:rPr>
        <w:t> </w:t>
      </w:r>
      <w:r>
        <w:rPr/>
        <w:t>conducted</w:t>
      </w:r>
      <w:r>
        <w:rPr>
          <w:spacing w:val="34"/>
        </w:rPr>
        <w:t> </w:t>
      </w:r>
      <w:r>
        <w:rPr/>
        <w:t>by</w:t>
      </w:r>
      <w:r>
        <w:rPr>
          <w:spacing w:val="34"/>
        </w:rPr>
        <w:t> </w:t>
      </w:r>
      <w:r>
        <w:rPr>
          <w:spacing w:val="-5"/>
        </w:rPr>
        <w:t>Gow</w:t>
      </w:r>
    </w:p>
    <w:p>
      <w:pPr>
        <w:pStyle w:val="BodyText"/>
        <w:spacing w:after="0"/>
        <w:sectPr>
          <w:type w:val="continuous"/>
          <w:pgSz w:w="12240" w:h="15840"/>
          <w:pgMar w:header="851" w:footer="1027" w:top="640" w:bottom="1180" w:left="1080" w:right="1080"/>
          <w:cols w:num="2" w:equalWidth="0">
            <w:col w:w="4946" w:space="178"/>
            <w:col w:w="4956"/>
          </w:cols>
        </w:sectPr>
      </w:pPr>
    </w:p>
    <w:p>
      <w:pPr>
        <w:pStyle w:val="BodyText"/>
        <w:ind w:left="0"/>
        <w:jc w:val="left"/>
      </w:pPr>
    </w:p>
    <w:p>
      <w:pPr>
        <w:pStyle w:val="BodyText"/>
        <w:spacing w:before="79"/>
        <w:ind w:left="0"/>
        <w:jc w:val="left"/>
      </w:pPr>
    </w:p>
    <w:p>
      <w:pPr>
        <w:pStyle w:val="BodyText"/>
        <w:spacing w:line="20" w:lineRule="exact"/>
        <w:ind w:left="5463" w:right="-15"/>
        <w:jc w:val="left"/>
        <w:rPr>
          <w:sz w:val="2"/>
        </w:rPr>
      </w:pPr>
      <w:r>
        <w:rPr>
          <w:sz w:val="2"/>
        </w:rPr>
        <mc:AlternateContent>
          <mc:Choice Requires="wps">
            <w:drawing>
              <wp:inline distT="0" distB="0" distL="0" distR="0">
                <wp:extent cx="2898140" cy="6350"/>
                <wp:effectExtent l="0" t="0" r="0" b="0"/>
                <wp:docPr id="60" name="Group 60"/>
                <wp:cNvGraphicFramePr>
                  <a:graphicFrameLocks/>
                </wp:cNvGraphicFramePr>
                <a:graphic>
                  <a:graphicData uri="http://schemas.microsoft.com/office/word/2010/wordprocessingGroup">
                    <wpg:wgp>
                      <wpg:cNvPr id="60" name="Group 60"/>
                      <wpg:cNvGrpSpPr/>
                      <wpg:grpSpPr>
                        <a:xfrm>
                          <a:off x="0" y="0"/>
                          <a:ext cx="2898140" cy="6350"/>
                          <a:chExt cx="2898140" cy="6350"/>
                        </a:xfrm>
                      </wpg:grpSpPr>
                      <wps:wsp>
                        <wps:cNvPr id="61" name="Graphic 61"/>
                        <wps:cNvSpPr/>
                        <wps:spPr>
                          <a:xfrm>
                            <a:off x="0" y="0"/>
                            <a:ext cx="2898140" cy="6350"/>
                          </a:xfrm>
                          <a:custGeom>
                            <a:avLst/>
                            <a:gdLst/>
                            <a:ahLst/>
                            <a:cxnLst/>
                            <a:rect l="l" t="t" r="r" b="b"/>
                            <a:pathLst>
                              <a:path w="2898140" h="6350">
                                <a:moveTo>
                                  <a:pt x="1909813" y="0"/>
                                </a:moveTo>
                                <a:lnTo>
                                  <a:pt x="298958" y="0"/>
                                </a:lnTo>
                                <a:lnTo>
                                  <a:pt x="292912" y="0"/>
                                </a:lnTo>
                                <a:lnTo>
                                  <a:pt x="0" y="0"/>
                                </a:lnTo>
                                <a:lnTo>
                                  <a:pt x="0" y="6096"/>
                                </a:lnTo>
                                <a:lnTo>
                                  <a:pt x="292862" y="6096"/>
                                </a:lnTo>
                                <a:lnTo>
                                  <a:pt x="298958" y="6096"/>
                                </a:lnTo>
                                <a:lnTo>
                                  <a:pt x="1909813" y="6096"/>
                                </a:lnTo>
                                <a:lnTo>
                                  <a:pt x="1909813" y="0"/>
                                </a:lnTo>
                                <a:close/>
                              </a:path>
                              <a:path w="2898140" h="6350">
                                <a:moveTo>
                                  <a:pt x="2897682" y="0"/>
                                </a:moveTo>
                                <a:lnTo>
                                  <a:pt x="1915922" y="0"/>
                                </a:lnTo>
                                <a:lnTo>
                                  <a:pt x="1909826" y="0"/>
                                </a:lnTo>
                                <a:lnTo>
                                  <a:pt x="1909826" y="6096"/>
                                </a:lnTo>
                                <a:lnTo>
                                  <a:pt x="1915922" y="6096"/>
                                </a:lnTo>
                                <a:lnTo>
                                  <a:pt x="2897682" y="6096"/>
                                </a:lnTo>
                                <a:lnTo>
                                  <a:pt x="28976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2pt;height:.5pt;mso-position-horizontal-relative:char;mso-position-vertical-relative:line" id="docshapegroup56" coordorigin="0,0" coordsize="4564,10">
                <v:shape style="position:absolute;left:0;top:0;width:4564;height:10" id="docshape57" coordorigin="0,0" coordsize="4564,10" path="m3008,0l471,0,461,0,461,0,0,0,0,10,461,10,461,10,471,10,3008,10,3008,0xm4563,0l3017,0,3008,0,3008,10,3017,10,4563,10,4563,0xe" filled="true" fillcolor="#000000" stroked="false">
                  <v:path arrowok="t"/>
                  <v:fill type="solid"/>
                </v:shape>
              </v:group>
            </w:pict>
          </mc:Fallback>
        </mc:AlternateContent>
      </w:r>
      <w:r>
        <w:rPr>
          <w:sz w:val="2"/>
        </w:rPr>
      </w:r>
    </w:p>
    <w:p>
      <w:pPr>
        <w:pStyle w:val="BodyText"/>
        <w:spacing w:after="0" w:line="20" w:lineRule="exact"/>
        <w:jc w:val="left"/>
        <w:rPr>
          <w:sz w:val="2"/>
        </w:rPr>
        <w:sectPr>
          <w:pgSz w:w="12240" w:h="15840"/>
          <w:pgMar w:header="851" w:footer="1027" w:top="1160" w:bottom="1220" w:left="1080" w:right="1080"/>
        </w:sectPr>
      </w:pPr>
    </w:p>
    <w:p>
      <w:pPr>
        <w:pStyle w:val="BodyText"/>
        <w:spacing w:line="209" w:lineRule="exact"/>
      </w:pPr>
      <w:r>
        <w:rPr/>
        <w:t>(2009),</w:t>
      </w:r>
      <w:r>
        <w:rPr>
          <w:spacing w:val="47"/>
        </w:rPr>
        <w:t> </w:t>
      </w:r>
      <w:r>
        <w:rPr/>
        <w:t>Ebisike</w:t>
      </w:r>
      <w:r>
        <w:rPr>
          <w:spacing w:val="48"/>
        </w:rPr>
        <w:t> </w:t>
      </w:r>
      <w:r>
        <w:rPr/>
        <w:t>et</w:t>
      </w:r>
      <w:r>
        <w:rPr>
          <w:spacing w:val="47"/>
        </w:rPr>
        <w:t> </w:t>
      </w:r>
      <w:r>
        <w:rPr/>
        <w:t>al.</w:t>
      </w:r>
      <w:r>
        <w:rPr>
          <w:spacing w:val="48"/>
        </w:rPr>
        <w:t> </w:t>
      </w:r>
      <w:r>
        <w:rPr/>
        <w:t>(2016),</w:t>
      </w:r>
      <w:r>
        <w:rPr>
          <w:spacing w:val="48"/>
        </w:rPr>
        <w:t> </w:t>
      </w:r>
      <w:r>
        <w:rPr/>
        <w:t>Sofi</w:t>
      </w:r>
      <w:r>
        <w:rPr>
          <w:spacing w:val="46"/>
        </w:rPr>
        <w:t> </w:t>
      </w:r>
      <w:r>
        <w:rPr/>
        <w:t>et</w:t>
      </w:r>
      <w:r>
        <w:rPr>
          <w:spacing w:val="47"/>
        </w:rPr>
        <w:t> </w:t>
      </w:r>
      <w:r>
        <w:rPr/>
        <w:t>al.</w:t>
      </w:r>
      <w:r>
        <w:rPr>
          <w:spacing w:val="48"/>
        </w:rPr>
        <w:t> </w:t>
      </w:r>
      <w:r>
        <w:rPr/>
        <w:t>(2019),</w:t>
      </w:r>
      <w:r>
        <w:rPr>
          <w:spacing w:val="48"/>
        </w:rPr>
        <w:t> </w:t>
      </w:r>
      <w:r>
        <w:rPr>
          <w:spacing w:val="-5"/>
        </w:rPr>
        <w:t>and</w:t>
      </w:r>
    </w:p>
    <w:p>
      <w:pPr>
        <w:pStyle w:val="BodyText"/>
        <w:ind w:right="38"/>
      </w:pPr>
      <w:r>
        <w:rPr/>
        <w:t>Zhornik et al. (2021) explicitly applied this 80:20 ratio, demonstrating that this formulation has been widely implemented in earlier studies. In those studies, the formulations were primarily based on mineral oil. However, in this research, a bio-based feedstock is used instead, which is considered non-toxic and biodegradable.</w:t>
      </w:r>
      <w:r>
        <w:rPr>
          <w:spacing w:val="-13"/>
        </w:rPr>
        <w:t> </w:t>
      </w:r>
      <w:r>
        <w:rPr/>
        <w:t>The</w:t>
      </w:r>
      <w:r>
        <w:rPr>
          <w:spacing w:val="-12"/>
        </w:rPr>
        <w:t> </w:t>
      </w:r>
      <w:r>
        <w:rPr/>
        <w:t>use</w:t>
      </w:r>
      <w:r>
        <w:rPr>
          <w:spacing w:val="-13"/>
        </w:rPr>
        <w:t> </w:t>
      </w:r>
      <w:r>
        <w:rPr/>
        <w:t>of</w:t>
      </w:r>
      <w:r>
        <w:rPr>
          <w:spacing w:val="-12"/>
        </w:rPr>
        <w:t> </w:t>
      </w:r>
      <w:r>
        <w:rPr/>
        <w:t>a</w:t>
      </w:r>
      <w:r>
        <w:rPr>
          <w:spacing w:val="-13"/>
        </w:rPr>
        <w:t> </w:t>
      </w:r>
      <w:r>
        <w:rPr/>
        <w:t>bio-based</w:t>
      </w:r>
      <w:r>
        <w:rPr>
          <w:spacing w:val="-12"/>
        </w:rPr>
        <w:t> </w:t>
      </w:r>
      <w:r>
        <w:rPr/>
        <w:t>base</w:t>
      </w:r>
      <w:r>
        <w:rPr>
          <w:spacing w:val="-13"/>
        </w:rPr>
        <w:t> </w:t>
      </w:r>
      <w:r>
        <w:rPr/>
        <w:t>oil</w:t>
      </w:r>
      <w:r>
        <w:rPr>
          <w:spacing w:val="-12"/>
        </w:rPr>
        <w:t> </w:t>
      </w:r>
      <w:r>
        <w:rPr/>
        <w:t>is</w:t>
      </w:r>
      <w:r>
        <w:rPr>
          <w:spacing w:val="-13"/>
        </w:rPr>
        <w:t> </w:t>
      </w:r>
      <w:r>
        <w:rPr/>
        <w:t>expected to improve the environmental sustainability of the product without significantly compromising essential grease properties such as consistency, lubricity, and thermal stability. This makes the formulation not only effective but also environmentally responsible.</w:t>
      </w:r>
    </w:p>
    <w:p>
      <w:pPr>
        <w:pStyle w:val="BodyText"/>
        <w:ind w:right="38" w:firstLine="566"/>
      </w:pPr>
      <w:r>
        <w:rPr/>
        <w:t>Therefore, it can be concluded that the 80% base oil and 20% thickener formulation is not only theoretically</w:t>
      </w:r>
      <w:r>
        <w:rPr>
          <w:spacing w:val="-9"/>
        </w:rPr>
        <w:t> </w:t>
      </w:r>
      <w:r>
        <w:rPr/>
        <w:t>viable</w:t>
      </w:r>
      <w:r>
        <w:rPr>
          <w:spacing w:val="-10"/>
        </w:rPr>
        <w:t> </w:t>
      </w:r>
      <w:r>
        <w:rPr/>
        <w:t>but</w:t>
      </w:r>
      <w:r>
        <w:rPr>
          <w:spacing w:val="-10"/>
        </w:rPr>
        <w:t> </w:t>
      </w:r>
      <w:r>
        <w:rPr/>
        <w:t>also</w:t>
      </w:r>
      <w:r>
        <w:rPr>
          <w:spacing w:val="-9"/>
        </w:rPr>
        <w:t> </w:t>
      </w:r>
      <w:r>
        <w:rPr/>
        <w:t>has</w:t>
      </w:r>
      <w:r>
        <w:rPr>
          <w:spacing w:val="-11"/>
        </w:rPr>
        <w:t> </w:t>
      </w:r>
      <w:r>
        <w:rPr/>
        <w:t>strong</w:t>
      </w:r>
      <w:r>
        <w:rPr>
          <w:spacing w:val="-9"/>
        </w:rPr>
        <w:t> </w:t>
      </w:r>
      <w:r>
        <w:rPr/>
        <w:t>justification</w:t>
      </w:r>
      <w:r>
        <w:rPr>
          <w:spacing w:val="-9"/>
        </w:rPr>
        <w:t> </w:t>
      </w:r>
      <w:r>
        <w:rPr/>
        <w:t>based on prior research, making it a reliable foundation for bio grease development. With this composition, the production of palm oil estolide-based bio grease is expected to achieve high quality and stability, making it suitable for heavy-duty lubrication applications.</w:t>
      </w:r>
    </w:p>
    <w:p>
      <w:pPr>
        <w:pStyle w:val="BodyText"/>
        <w:spacing w:before="10"/>
        <w:ind w:left="0"/>
        <w:jc w:val="left"/>
      </w:pPr>
    </w:p>
    <w:p>
      <w:pPr>
        <w:pStyle w:val="Heading1"/>
        <w:numPr>
          <w:ilvl w:val="1"/>
          <w:numId w:val="1"/>
        </w:numPr>
        <w:tabs>
          <w:tab w:pos="639" w:val="left" w:leader="none"/>
        </w:tabs>
        <w:spacing w:line="240" w:lineRule="auto" w:before="1" w:after="0"/>
        <w:ind w:left="639" w:right="0" w:hanging="301"/>
        <w:jc w:val="both"/>
      </w:pPr>
      <w:r>
        <w:rPr/>
        <w:t>Production</w:t>
      </w:r>
      <w:r>
        <w:rPr>
          <w:spacing w:val="-8"/>
        </w:rPr>
        <w:t> </w:t>
      </w:r>
      <w:r>
        <w:rPr/>
        <w:t>Cost</w:t>
      </w:r>
      <w:r>
        <w:rPr>
          <w:spacing w:val="-7"/>
        </w:rPr>
        <w:t> </w:t>
      </w:r>
      <w:r>
        <w:rPr/>
        <w:t>of</w:t>
      </w:r>
      <w:r>
        <w:rPr>
          <w:spacing w:val="-6"/>
        </w:rPr>
        <w:t> </w:t>
      </w:r>
      <w:r>
        <w:rPr/>
        <w:t>Heavy-duty</w:t>
      </w:r>
      <w:r>
        <w:rPr>
          <w:spacing w:val="-6"/>
        </w:rPr>
        <w:t> </w:t>
      </w:r>
      <w:r>
        <w:rPr/>
        <w:t>Bio</w:t>
      </w:r>
      <w:r>
        <w:rPr>
          <w:spacing w:val="-5"/>
        </w:rPr>
        <w:t> </w:t>
      </w:r>
      <w:r>
        <w:rPr>
          <w:spacing w:val="-2"/>
        </w:rPr>
        <w:t>grease</w:t>
      </w:r>
    </w:p>
    <w:p>
      <w:pPr>
        <w:pStyle w:val="BodyText"/>
        <w:ind w:right="38" w:firstLine="566"/>
      </w:pPr>
      <w:r>
        <w:rPr/>
        <w:t>The feasibility analysis of capital investment to produce heavy-duty bio grease based on palm oil estolides shows that this project is financially viable. Several economic analyses have been conducted to evaluate the capital investment required for establishing the bio grease production facility.</w:t>
      </w:r>
    </w:p>
    <w:p>
      <w:pPr>
        <w:pStyle w:val="BodyText"/>
        <w:ind w:right="38" w:firstLine="566"/>
      </w:pPr>
      <w:r>
        <w:rPr/>
        <w:t>Economic</w:t>
      </w:r>
      <w:r>
        <w:rPr>
          <w:spacing w:val="-13"/>
        </w:rPr>
        <w:t> </w:t>
      </w:r>
      <w:r>
        <w:rPr/>
        <w:t>analysis</w:t>
      </w:r>
      <w:r>
        <w:rPr>
          <w:spacing w:val="-12"/>
        </w:rPr>
        <w:t> </w:t>
      </w:r>
      <w:r>
        <w:rPr/>
        <w:t>in</w:t>
      </w:r>
      <w:r>
        <w:rPr>
          <w:spacing w:val="-13"/>
        </w:rPr>
        <w:t> </w:t>
      </w:r>
      <w:r>
        <w:rPr/>
        <w:t>the</w:t>
      </w:r>
      <w:r>
        <w:rPr>
          <w:spacing w:val="-12"/>
        </w:rPr>
        <w:t> </w:t>
      </w:r>
      <w:r>
        <w:rPr/>
        <w:t>preliminary</w:t>
      </w:r>
      <w:r>
        <w:rPr>
          <w:spacing w:val="-13"/>
        </w:rPr>
        <w:t> </w:t>
      </w:r>
      <w:r>
        <w:rPr/>
        <w:t>design</w:t>
      </w:r>
      <w:r>
        <w:rPr>
          <w:spacing w:val="-12"/>
        </w:rPr>
        <w:t> </w:t>
      </w:r>
      <w:r>
        <w:rPr/>
        <w:t>of</w:t>
      </w:r>
      <w:r>
        <w:rPr>
          <w:spacing w:val="-13"/>
        </w:rPr>
        <w:t> </w:t>
      </w:r>
      <w:r>
        <w:rPr/>
        <w:t>the plant is essential to assess the feasibility of capital investment in the production process. This includes evaluating investment requirements, profit potential, payback period, and the BEP, which indicates the threshold between profit and loss. Additionally, this analysis aims to determine whether the planned plant is viable</w:t>
      </w:r>
      <w:r>
        <w:rPr>
          <w:spacing w:val="-13"/>
        </w:rPr>
        <w:t> </w:t>
      </w:r>
      <w:r>
        <w:rPr/>
        <w:t>and</w:t>
      </w:r>
      <w:r>
        <w:rPr>
          <w:spacing w:val="-12"/>
        </w:rPr>
        <w:t> </w:t>
      </w:r>
      <w:r>
        <w:rPr/>
        <w:t>capable</w:t>
      </w:r>
      <w:r>
        <w:rPr>
          <w:spacing w:val="-13"/>
        </w:rPr>
        <w:t> </w:t>
      </w:r>
      <w:r>
        <w:rPr/>
        <w:t>of</w:t>
      </w:r>
      <w:r>
        <w:rPr>
          <w:spacing w:val="-12"/>
        </w:rPr>
        <w:t> </w:t>
      </w:r>
      <w:r>
        <w:rPr/>
        <w:t>generating</w:t>
      </w:r>
      <w:r>
        <w:rPr>
          <w:spacing w:val="-13"/>
        </w:rPr>
        <w:t> </w:t>
      </w:r>
      <w:r>
        <w:rPr/>
        <w:t>profits.</w:t>
      </w:r>
      <w:r>
        <w:rPr>
          <w:spacing w:val="-12"/>
        </w:rPr>
        <w:t> </w:t>
      </w:r>
      <w:r>
        <w:rPr/>
        <w:t>The</w:t>
      </w:r>
      <w:r>
        <w:rPr>
          <w:spacing w:val="-13"/>
        </w:rPr>
        <w:t> </w:t>
      </w:r>
      <w:r>
        <w:rPr/>
        <w:t>results</w:t>
      </w:r>
      <w:r>
        <w:rPr>
          <w:spacing w:val="-12"/>
        </w:rPr>
        <w:t> </w:t>
      </w:r>
      <w:r>
        <w:rPr/>
        <w:t>of</w:t>
      </w:r>
      <w:r>
        <w:rPr>
          <w:spacing w:val="-13"/>
        </w:rPr>
        <w:t> </w:t>
      </w:r>
      <w:r>
        <w:rPr/>
        <w:t>the economic</w:t>
      </w:r>
      <w:r>
        <w:rPr>
          <w:spacing w:val="-13"/>
        </w:rPr>
        <w:t> </w:t>
      </w:r>
      <w:r>
        <w:rPr/>
        <w:t>analysis</w:t>
      </w:r>
      <w:r>
        <w:rPr>
          <w:spacing w:val="-12"/>
        </w:rPr>
        <w:t> </w:t>
      </w:r>
      <w:r>
        <w:rPr/>
        <w:t>calculations</w:t>
      </w:r>
      <w:r>
        <w:rPr>
          <w:spacing w:val="-13"/>
        </w:rPr>
        <w:t> </w:t>
      </w:r>
      <w:r>
        <w:rPr/>
        <w:t>for</w:t>
      </w:r>
      <w:r>
        <w:rPr>
          <w:spacing w:val="-12"/>
        </w:rPr>
        <w:t> </w:t>
      </w:r>
      <w:r>
        <w:rPr/>
        <w:t>the</w:t>
      </w:r>
      <w:r>
        <w:rPr>
          <w:spacing w:val="-13"/>
        </w:rPr>
        <w:t> </w:t>
      </w:r>
      <w:r>
        <w:rPr/>
        <w:t>preliminary</w:t>
      </w:r>
      <w:r>
        <w:rPr>
          <w:spacing w:val="-12"/>
        </w:rPr>
        <w:t> </w:t>
      </w:r>
      <w:r>
        <w:rPr/>
        <w:t>design of the heavy-duty bio grease calcium sulfo-ole plant are presented in Table 4.</w:t>
      </w:r>
    </w:p>
    <w:p>
      <w:pPr>
        <w:pStyle w:val="BodyText"/>
        <w:spacing w:before="1"/>
        <w:ind w:left="0"/>
        <w:jc w:val="left"/>
      </w:pPr>
    </w:p>
    <w:p>
      <w:pPr>
        <w:pStyle w:val="BodyText"/>
        <w:tabs>
          <w:tab w:pos="4901" w:val="left" w:leader="none"/>
        </w:tabs>
        <w:jc w:val="left"/>
      </w:pPr>
      <w:r>
        <w:rPr>
          <w:b/>
          <w:u w:val="single"/>
        </w:rPr>
        <w:t>Table</w:t>
      </w:r>
      <w:r>
        <w:rPr>
          <w:b/>
          <w:spacing w:val="-6"/>
          <w:u w:val="single"/>
        </w:rPr>
        <w:t> </w:t>
      </w:r>
      <w:r>
        <w:rPr>
          <w:b/>
          <w:u w:val="single"/>
        </w:rPr>
        <w:t>4</w:t>
      </w:r>
      <w:r>
        <w:rPr>
          <w:u w:val="single"/>
        </w:rPr>
        <w:t>.</w:t>
      </w:r>
      <w:r>
        <w:rPr>
          <w:spacing w:val="-3"/>
          <w:u w:val="single"/>
        </w:rPr>
        <w:t> </w:t>
      </w:r>
      <w:r>
        <w:rPr>
          <w:u w:val="single"/>
        </w:rPr>
        <w:t>Production</w:t>
      </w:r>
      <w:r>
        <w:rPr>
          <w:spacing w:val="-3"/>
          <w:u w:val="single"/>
        </w:rPr>
        <w:t> </w:t>
      </w:r>
      <w:r>
        <w:rPr>
          <w:u w:val="single"/>
        </w:rPr>
        <w:t>cost</w:t>
      </w:r>
      <w:r>
        <w:rPr>
          <w:spacing w:val="-5"/>
          <w:u w:val="single"/>
        </w:rPr>
        <w:t> </w:t>
      </w:r>
      <w:r>
        <w:rPr>
          <w:u w:val="single"/>
        </w:rPr>
        <w:t>of</w:t>
      </w:r>
      <w:r>
        <w:rPr>
          <w:spacing w:val="-3"/>
          <w:u w:val="single"/>
        </w:rPr>
        <w:t> </w:t>
      </w:r>
      <w:r>
        <w:rPr>
          <w:u w:val="single"/>
        </w:rPr>
        <w:t>Heavy-duty</w:t>
      </w:r>
      <w:r>
        <w:rPr>
          <w:spacing w:val="-3"/>
          <w:u w:val="single"/>
        </w:rPr>
        <w:t> </w:t>
      </w:r>
      <w:r>
        <w:rPr>
          <w:u w:val="single"/>
        </w:rPr>
        <w:t>Bio</w:t>
      </w:r>
      <w:r>
        <w:rPr>
          <w:spacing w:val="-4"/>
          <w:u w:val="single"/>
        </w:rPr>
        <w:t> </w:t>
      </w:r>
      <w:r>
        <w:rPr>
          <w:spacing w:val="-2"/>
          <w:u w:val="single"/>
        </w:rPr>
        <w:t>grease.</w:t>
      </w:r>
      <w:r>
        <w:rPr>
          <w:u w:val="single"/>
        </w:rPr>
        <w:tab/>
      </w:r>
    </w:p>
    <w:p>
      <w:pPr>
        <w:pStyle w:val="Heading1"/>
        <w:tabs>
          <w:tab w:pos="1577" w:val="left" w:leader="none"/>
          <w:tab w:pos="3456" w:val="left" w:leader="none"/>
        </w:tabs>
        <w:spacing w:before="10"/>
        <w:ind w:left="446"/>
        <w:jc w:val="left"/>
      </w:pPr>
      <w:r>
        <w:rPr>
          <w:spacing w:val="-5"/>
        </w:rPr>
        <w:t>No</w:t>
      </w:r>
      <w:r>
        <w:rPr/>
        <w:tab/>
      </w:r>
      <w:r>
        <w:rPr>
          <w:spacing w:val="-2"/>
        </w:rPr>
        <w:t>Description</w:t>
      </w:r>
      <w:r>
        <w:rPr/>
        <w:tab/>
        <w:t>Total</w:t>
      </w:r>
      <w:r>
        <w:rPr>
          <w:spacing w:val="-5"/>
        </w:rPr>
        <w:t> </w:t>
      </w:r>
      <w:r>
        <w:rPr/>
        <w:t>Cost</w:t>
      </w:r>
      <w:r>
        <w:rPr>
          <w:spacing w:val="-4"/>
        </w:rPr>
        <w:t> (Rp)</w:t>
      </w:r>
    </w:p>
    <w:p>
      <w:pPr>
        <w:pStyle w:val="BodyText"/>
        <w:spacing w:line="20" w:lineRule="exact"/>
        <w:ind w:right="-29"/>
        <w:jc w:val="left"/>
        <w:rPr>
          <w:sz w:val="2"/>
        </w:rPr>
      </w:pPr>
      <w:r>
        <w:rPr>
          <w:sz w:val="2"/>
        </w:rPr>
        <mc:AlternateContent>
          <mc:Choice Requires="wps">
            <w:drawing>
              <wp:inline distT="0" distB="0" distL="0" distR="0">
                <wp:extent cx="2897505" cy="6350"/>
                <wp:effectExtent l="0" t="0" r="0" b="0"/>
                <wp:docPr id="62" name="Group 62"/>
                <wp:cNvGraphicFramePr>
                  <a:graphicFrameLocks/>
                </wp:cNvGraphicFramePr>
                <a:graphic>
                  <a:graphicData uri="http://schemas.microsoft.com/office/word/2010/wordprocessingGroup">
                    <wpg:wgp>
                      <wpg:cNvPr id="62" name="Group 62"/>
                      <wpg:cNvGrpSpPr/>
                      <wpg:grpSpPr>
                        <a:xfrm>
                          <a:off x="0" y="0"/>
                          <a:ext cx="2897505" cy="6350"/>
                          <a:chExt cx="2897505" cy="6350"/>
                        </a:xfrm>
                      </wpg:grpSpPr>
                      <wps:wsp>
                        <wps:cNvPr id="63" name="Graphic 63"/>
                        <wps:cNvSpPr/>
                        <wps:spPr>
                          <a:xfrm>
                            <a:off x="0" y="12"/>
                            <a:ext cx="2897505" cy="6350"/>
                          </a:xfrm>
                          <a:custGeom>
                            <a:avLst/>
                            <a:gdLst/>
                            <a:ahLst/>
                            <a:cxnLst/>
                            <a:rect l="l" t="t" r="r" b="b"/>
                            <a:pathLst>
                              <a:path w="2897505" h="6350">
                                <a:moveTo>
                                  <a:pt x="1909826" y="0"/>
                                </a:moveTo>
                                <a:lnTo>
                                  <a:pt x="298704" y="0"/>
                                </a:lnTo>
                                <a:lnTo>
                                  <a:pt x="292608" y="0"/>
                                </a:lnTo>
                                <a:lnTo>
                                  <a:pt x="0" y="0"/>
                                </a:lnTo>
                                <a:lnTo>
                                  <a:pt x="0" y="6083"/>
                                </a:lnTo>
                                <a:lnTo>
                                  <a:pt x="292608" y="6083"/>
                                </a:lnTo>
                                <a:lnTo>
                                  <a:pt x="298704" y="6083"/>
                                </a:lnTo>
                                <a:lnTo>
                                  <a:pt x="1909826" y="6083"/>
                                </a:lnTo>
                                <a:lnTo>
                                  <a:pt x="1909826" y="0"/>
                                </a:lnTo>
                                <a:close/>
                              </a:path>
                              <a:path w="2897505" h="6350">
                                <a:moveTo>
                                  <a:pt x="2897454" y="0"/>
                                </a:moveTo>
                                <a:lnTo>
                                  <a:pt x="1915998" y="0"/>
                                </a:lnTo>
                                <a:lnTo>
                                  <a:pt x="1909902" y="0"/>
                                </a:lnTo>
                                <a:lnTo>
                                  <a:pt x="1909902" y="6083"/>
                                </a:lnTo>
                                <a:lnTo>
                                  <a:pt x="1915998" y="6083"/>
                                </a:lnTo>
                                <a:lnTo>
                                  <a:pt x="2897454" y="6083"/>
                                </a:lnTo>
                                <a:lnTo>
                                  <a:pt x="28974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15pt;height:.5pt;mso-position-horizontal-relative:char;mso-position-vertical-relative:line" id="docshapegroup58" coordorigin="0,0" coordsize="4563,10">
                <v:shape style="position:absolute;left:0;top:0;width:4563;height:10" id="docshape59" coordorigin="0,0" coordsize="4563,10" path="m3008,0l470,0,461,0,0,0,0,10,461,10,470,10,3008,10,3008,0xm4563,0l3017,0,3008,0,3008,10,3017,10,4563,10,4563,0xe" filled="true" fillcolor="#000000" stroked="false">
                  <v:path arrowok="t"/>
                  <v:fill type="solid"/>
                </v:shape>
              </v:group>
            </w:pict>
          </mc:Fallback>
        </mc:AlternateContent>
      </w:r>
      <w:r>
        <w:rPr>
          <w:sz w:val="2"/>
        </w:rPr>
      </w:r>
    </w:p>
    <w:p>
      <w:pPr>
        <w:pStyle w:val="ListParagraph"/>
        <w:numPr>
          <w:ilvl w:val="2"/>
          <w:numId w:val="1"/>
        </w:numPr>
        <w:tabs>
          <w:tab w:pos="907" w:val="left" w:leader="none"/>
          <w:tab w:pos="3790" w:val="left" w:leader="none"/>
        </w:tabs>
        <w:spacing w:line="219" w:lineRule="exact" w:before="0" w:after="0"/>
        <w:ind w:left="907" w:right="0" w:hanging="389"/>
        <w:jc w:val="left"/>
        <w:rPr>
          <w:sz w:val="20"/>
        </w:rPr>
      </w:pPr>
      <w:r>
        <w:rPr>
          <w:sz w:val="20"/>
        </w:rPr>
        <w:t>Equipment</w:t>
      </w:r>
      <w:r>
        <w:rPr>
          <w:spacing w:val="-7"/>
          <w:sz w:val="20"/>
        </w:rPr>
        <w:t> </w:t>
      </w:r>
      <w:r>
        <w:rPr>
          <w:spacing w:val="-4"/>
          <w:sz w:val="20"/>
        </w:rPr>
        <w:t>Cost</w:t>
      </w:r>
      <w:r>
        <w:rPr>
          <w:sz w:val="20"/>
        </w:rPr>
        <w:tab/>
      </w:r>
      <w:r>
        <w:rPr>
          <w:spacing w:val="-2"/>
          <w:sz w:val="20"/>
        </w:rPr>
        <w:t>111,336,706</w:t>
      </w:r>
    </w:p>
    <w:p>
      <w:pPr>
        <w:pStyle w:val="ListParagraph"/>
        <w:numPr>
          <w:ilvl w:val="2"/>
          <w:numId w:val="1"/>
        </w:numPr>
        <w:tabs>
          <w:tab w:pos="907" w:val="left" w:leader="none"/>
          <w:tab w:pos="3641" w:val="left" w:leader="none"/>
        </w:tabs>
        <w:spacing w:line="229" w:lineRule="exact" w:before="0" w:after="0"/>
        <w:ind w:left="907" w:right="0" w:hanging="389"/>
        <w:jc w:val="left"/>
        <w:rPr>
          <w:sz w:val="20"/>
        </w:rPr>
      </w:pPr>
      <w:r>
        <w:rPr>
          <w:sz w:val="20"/>
        </w:rPr>
        <w:t>Raw</w:t>
      </w:r>
      <w:r>
        <w:rPr>
          <w:spacing w:val="-6"/>
          <w:sz w:val="20"/>
        </w:rPr>
        <w:t> </w:t>
      </w:r>
      <w:r>
        <w:rPr>
          <w:spacing w:val="-2"/>
          <w:sz w:val="20"/>
        </w:rPr>
        <w:t>Material</w:t>
      </w:r>
      <w:r>
        <w:rPr>
          <w:sz w:val="20"/>
        </w:rPr>
        <w:tab/>
      </w:r>
      <w:r>
        <w:rPr>
          <w:spacing w:val="-2"/>
          <w:sz w:val="20"/>
        </w:rPr>
        <w:t>3,206,477,922</w:t>
      </w:r>
    </w:p>
    <w:p>
      <w:pPr>
        <w:pStyle w:val="ListParagraph"/>
        <w:numPr>
          <w:ilvl w:val="2"/>
          <w:numId w:val="1"/>
        </w:numPr>
        <w:tabs>
          <w:tab w:pos="907" w:val="left" w:leader="none"/>
          <w:tab w:pos="4140" w:val="left" w:leader="none"/>
        </w:tabs>
        <w:spacing w:line="240" w:lineRule="auto" w:before="0" w:after="0"/>
        <w:ind w:left="907" w:right="0" w:hanging="389"/>
        <w:jc w:val="left"/>
        <w:rPr>
          <w:sz w:val="20"/>
        </w:rPr>
      </w:pPr>
      <w:r>
        <w:rPr>
          <w:spacing w:val="-2"/>
          <w:sz w:val="20"/>
        </w:rPr>
        <w:t>Utility</w:t>
      </w:r>
      <w:r>
        <w:rPr>
          <w:sz w:val="20"/>
        </w:rPr>
        <w:tab/>
      </w:r>
      <w:r>
        <w:rPr>
          <w:spacing w:val="-2"/>
          <w:sz w:val="20"/>
        </w:rPr>
        <w:t>773,944</w:t>
      </w:r>
    </w:p>
    <w:p>
      <w:pPr>
        <w:pStyle w:val="ListParagraph"/>
        <w:numPr>
          <w:ilvl w:val="2"/>
          <w:numId w:val="1"/>
        </w:numPr>
        <w:tabs>
          <w:tab w:pos="907" w:val="left" w:leader="none"/>
          <w:tab w:pos="3790" w:val="left" w:leader="none"/>
        </w:tabs>
        <w:spacing w:line="240" w:lineRule="auto" w:before="1" w:after="0"/>
        <w:ind w:left="907" w:right="0" w:hanging="389"/>
        <w:jc w:val="left"/>
        <w:rPr>
          <w:sz w:val="20"/>
        </w:rPr>
      </w:pPr>
      <w:r>
        <w:rPr>
          <w:sz w:val="20"/>
        </w:rPr>
        <w:t>Employee</w:t>
      </w:r>
      <w:r>
        <w:rPr>
          <w:spacing w:val="-7"/>
          <w:sz w:val="20"/>
        </w:rPr>
        <w:t> </w:t>
      </w:r>
      <w:r>
        <w:rPr>
          <w:spacing w:val="-2"/>
          <w:sz w:val="20"/>
        </w:rPr>
        <w:t>Salary</w:t>
      </w:r>
      <w:r>
        <w:rPr>
          <w:sz w:val="20"/>
        </w:rPr>
        <w:tab/>
      </w:r>
      <w:r>
        <w:rPr>
          <w:spacing w:val="-2"/>
          <w:sz w:val="20"/>
        </w:rPr>
        <w:t>539,500,000</w:t>
      </w:r>
    </w:p>
    <w:p>
      <w:pPr>
        <w:pStyle w:val="ListParagraph"/>
        <w:numPr>
          <w:ilvl w:val="2"/>
          <w:numId w:val="1"/>
        </w:numPr>
        <w:tabs>
          <w:tab w:pos="907" w:val="left" w:leader="none"/>
          <w:tab w:pos="3641" w:val="left" w:leader="none"/>
        </w:tabs>
        <w:spacing w:line="240" w:lineRule="auto" w:before="0" w:after="0"/>
        <w:ind w:left="907" w:right="0" w:hanging="389"/>
        <w:jc w:val="left"/>
        <w:rPr>
          <w:sz w:val="20"/>
        </w:rPr>
      </w:pPr>
      <w:r>
        <w:rPr>
          <w:sz w:val="20"/>
        </w:rPr>
        <w:t>Product</w:t>
      </w:r>
      <w:r>
        <w:rPr>
          <w:spacing w:val="-4"/>
          <w:sz w:val="20"/>
        </w:rPr>
        <w:t> </w:t>
      </w:r>
      <w:r>
        <w:rPr>
          <w:spacing w:val="-2"/>
          <w:sz w:val="20"/>
        </w:rPr>
        <w:t>Sales</w:t>
      </w:r>
      <w:r>
        <w:rPr>
          <w:sz w:val="20"/>
        </w:rPr>
        <w:tab/>
      </w:r>
      <w:r>
        <w:rPr>
          <w:spacing w:val="-2"/>
          <w:sz w:val="20"/>
        </w:rPr>
        <w:t>9.089,511,589</w:t>
      </w:r>
    </w:p>
    <w:p>
      <w:pPr>
        <w:pStyle w:val="ListParagraph"/>
        <w:numPr>
          <w:ilvl w:val="2"/>
          <w:numId w:val="1"/>
        </w:numPr>
        <w:tabs>
          <w:tab w:pos="907" w:val="left" w:leader="none"/>
        </w:tabs>
        <w:spacing w:line="240" w:lineRule="auto" w:before="1" w:after="0"/>
        <w:ind w:left="907" w:right="0" w:hanging="389"/>
        <w:jc w:val="left"/>
        <w:rPr>
          <w:sz w:val="20"/>
        </w:rPr>
      </w:pPr>
      <w:r>
        <w:rPr>
          <w:sz w:val="20"/>
        </w:rPr>
        <w:t>Total</w:t>
      </w:r>
      <w:r>
        <w:rPr>
          <w:spacing w:val="-5"/>
          <w:sz w:val="20"/>
        </w:rPr>
        <w:t> </w:t>
      </w:r>
      <w:r>
        <w:rPr>
          <w:sz w:val="20"/>
        </w:rPr>
        <w:t>Capital</w:t>
      </w:r>
      <w:r>
        <w:rPr>
          <w:spacing w:val="-5"/>
          <w:sz w:val="20"/>
        </w:rPr>
        <w:t> </w:t>
      </w:r>
      <w:r>
        <w:rPr>
          <w:spacing w:val="-2"/>
          <w:sz w:val="20"/>
        </w:rPr>
        <w:t>Investment</w:t>
      </w:r>
    </w:p>
    <w:p>
      <w:pPr>
        <w:pStyle w:val="BodyText"/>
        <w:tabs>
          <w:tab w:pos="3790" w:val="left" w:leader="none"/>
        </w:tabs>
        <w:ind w:left="907" w:right="150"/>
        <w:jc w:val="left"/>
      </w:pPr>
      <w:r>
        <w:rPr/>
        <w:t>Fixed Capital Investment</w:t>
        <w:tab/>
      </w:r>
      <w:r>
        <w:rPr>
          <w:spacing w:val="-2"/>
        </w:rPr>
        <w:t>218,086,340 </w:t>
      </w:r>
      <w:r>
        <w:rPr/>
        <w:t>Working</w:t>
      </w:r>
      <w:r>
        <w:rPr>
          <w:spacing w:val="-6"/>
        </w:rPr>
        <w:t> </w:t>
      </w:r>
      <w:r>
        <w:rPr/>
        <w:t>Capital</w:t>
      </w:r>
      <w:r>
        <w:rPr>
          <w:spacing w:val="-6"/>
        </w:rPr>
        <w:t> </w:t>
      </w:r>
      <w:r>
        <w:rPr>
          <w:spacing w:val="-2"/>
        </w:rPr>
        <w:t>Investment</w:t>
      </w:r>
      <w:r>
        <w:rPr/>
        <w:tab/>
      </w:r>
      <w:r>
        <w:rPr>
          <w:spacing w:val="-2"/>
        </w:rPr>
        <w:t>256,572,164</w:t>
      </w:r>
    </w:p>
    <w:p>
      <w:pPr>
        <w:pStyle w:val="ListParagraph"/>
        <w:numPr>
          <w:ilvl w:val="2"/>
          <w:numId w:val="1"/>
        </w:numPr>
        <w:tabs>
          <w:tab w:pos="907" w:val="left" w:leader="none"/>
        </w:tabs>
        <w:spacing w:line="228" w:lineRule="exact" w:before="0" w:after="0"/>
        <w:ind w:left="907" w:right="0" w:hanging="389"/>
        <w:jc w:val="left"/>
        <w:rPr>
          <w:sz w:val="20"/>
        </w:rPr>
      </w:pPr>
      <w:r>
        <w:rPr>
          <w:sz w:val="20"/>
        </w:rPr>
        <w:t>Total</w:t>
      </w:r>
      <w:r>
        <w:rPr>
          <w:spacing w:val="-6"/>
          <w:sz w:val="20"/>
        </w:rPr>
        <w:t> </w:t>
      </w:r>
      <w:r>
        <w:rPr>
          <w:sz w:val="20"/>
        </w:rPr>
        <w:t>Production</w:t>
      </w:r>
      <w:r>
        <w:rPr>
          <w:spacing w:val="-4"/>
          <w:sz w:val="20"/>
        </w:rPr>
        <w:t> Cost</w:t>
      </w:r>
    </w:p>
    <w:p>
      <w:pPr>
        <w:pStyle w:val="BodyText"/>
        <w:tabs>
          <w:tab w:pos="3641" w:val="left" w:leader="none"/>
        </w:tabs>
        <w:spacing w:before="1"/>
        <w:ind w:left="907"/>
        <w:jc w:val="left"/>
      </w:pPr>
      <w:r>
        <w:rPr/>
        <w:t>Direct</w:t>
      </w:r>
      <w:r>
        <w:rPr>
          <w:spacing w:val="-6"/>
        </w:rPr>
        <w:t> </w:t>
      </w:r>
      <w:r>
        <w:rPr/>
        <w:t>Production</w:t>
      </w:r>
      <w:r>
        <w:rPr>
          <w:spacing w:val="-4"/>
        </w:rPr>
        <w:t> Cost</w:t>
      </w:r>
      <w:r>
        <w:rPr/>
        <w:tab/>
      </w:r>
      <w:r>
        <w:rPr>
          <w:spacing w:val="-2"/>
        </w:rPr>
        <w:t>3,783,437,458</w:t>
      </w:r>
    </w:p>
    <w:p>
      <w:pPr>
        <w:pStyle w:val="BodyText"/>
        <w:tabs>
          <w:tab w:pos="3641" w:val="left" w:leader="none"/>
        </w:tabs>
        <w:ind w:left="907"/>
        <w:jc w:val="left"/>
      </w:pPr>
      <w:r>
        <w:rPr/>
        <w:t>Fixed</w:t>
      </w:r>
      <w:r>
        <w:rPr>
          <w:spacing w:val="-4"/>
        </w:rPr>
        <w:t> </w:t>
      </w:r>
      <w:r>
        <w:rPr>
          <w:spacing w:val="-2"/>
        </w:rPr>
        <w:t>Charge</w:t>
      </w:r>
      <w:r>
        <w:rPr/>
        <w:tab/>
      </w:r>
      <w:r>
        <w:rPr>
          <w:spacing w:val="-2"/>
        </w:rPr>
        <w:t>1,013,160,809</w:t>
      </w:r>
    </w:p>
    <w:p>
      <w:pPr>
        <w:pStyle w:val="Heading1"/>
        <w:tabs>
          <w:tab w:pos="1130" w:val="left" w:leader="none"/>
          <w:tab w:pos="3010" w:val="left" w:leader="none"/>
        </w:tabs>
        <w:spacing w:line="220" w:lineRule="exact"/>
        <w:ind w:left="0" w:right="163"/>
        <w:jc w:val="right"/>
      </w:pPr>
      <w:r>
        <w:rPr>
          <w:b w:val="0"/>
        </w:rPr>
        <w:br w:type="column"/>
      </w:r>
      <w:r>
        <w:rPr>
          <w:spacing w:val="-5"/>
        </w:rPr>
        <w:t>No</w:t>
      </w:r>
      <w:r>
        <w:rPr/>
        <w:tab/>
      </w:r>
      <w:r>
        <w:rPr>
          <w:spacing w:val="-2"/>
        </w:rPr>
        <w:t>Description</w:t>
      </w:r>
      <w:r>
        <w:rPr/>
        <w:tab/>
        <w:t>Total</w:t>
      </w:r>
      <w:r>
        <w:rPr>
          <w:spacing w:val="-5"/>
        </w:rPr>
        <w:t> </w:t>
      </w:r>
      <w:r>
        <w:rPr/>
        <w:t>Cost</w:t>
      </w:r>
      <w:r>
        <w:rPr>
          <w:spacing w:val="-4"/>
        </w:rPr>
        <w:t> (Rp)</w:t>
      </w:r>
    </w:p>
    <w:p>
      <w:pPr>
        <w:pStyle w:val="BodyText"/>
        <w:spacing w:line="20" w:lineRule="exact"/>
        <w:ind w:right="-15"/>
        <w:jc w:val="left"/>
        <w:rPr>
          <w:sz w:val="2"/>
        </w:rPr>
      </w:pPr>
      <w:r>
        <w:rPr>
          <w:sz w:val="2"/>
        </w:rPr>
        <mc:AlternateContent>
          <mc:Choice Requires="wps">
            <w:drawing>
              <wp:inline distT="0" distB="0" distL="0" distR="0">
                <wp:extent cx="2898140" cy="6350"/>
                <wp:effectExtent l="0" t="0" r="0" b="0"/>
                <wp:docPr id="64" name="Group 64"/>
                <wp:cNvGraphicFramePr>
                  <a:graphicFrameLocks/>
                </wp:cNvGraphicFramePr>
                <a:graphic>
                  <a:graphicData uri="http://schemas.microsoft.com/office/word/2010/wordprocessingGroup">
                    <wpg:wgp>
                      <wpg:cNvPr id="64" name="Group 64"/>
                      <wpg:cNvGrpSpPr/>
                      <wpg:grpSpPr>
                        <a:xfrm>
                          <a:off x="0" y="0"/>
                          <a:ext cx="2898140" cy="6350"/>
                          <a:chExt cx="2898140" cy="6350"/>
                        </a:xfrm>
                      </wpg:grpSpPr>
                      <wps:wsp>
                        <wps:cNvPr id="65" name="Graphic 65"/>
                        <wps:cNvSpPr/>
                        <wps:spPr>
                          <a:xfrm>
                            <a:off x="0" y="0"/>
                            <a:ext cx="2898140" cy="6350"/>
                          </a:xfrm>
                          <a:custGeom>
                            <a:avLst/>
                            <a:gdLst/>
                            <a:ahLst/>
                            <a:cxnLst/>
                            <a:rect l="l" t="t" r="r" b="b"/>
                            <a:pathLst>
                              <a:path w="2898140" h="6350">
                                <a:moveTo>
                                  <a:pt x="1909813" y="0"/>
                                </a:moveTo>
                                <a:lnTo>
                                  <a:pt x="298958" y="0"/>
                                </a:lnTo>
                                <a:lnTo>
                                  <a:pt x="292912" y="0"/>
                                </a:lnTo>
                                <a:lnTo>
                                  <a:pt x="0" y="0"/>
                                </a:lnTo>
                                <a:lnTo>
                                  <a:pt x="0" y="6096"/>
                                </a:lnTo>
                                <a:lnTo>
                                  <a:pt x="292862" y="6096"/>
                                </a:lnTo>
                                <a:lnTo>
                                  <a:pt x="298958" y="6096"/>
                                </a:lnTo>
                                <a:lnTo>
                                  <a:pt x="1909813" y="6096"/>
                                </a:lnTo>
                                <a:lnTo>
                                  <a:pt x="1909813" y="0"/>
                                </a:lnTo>
                                <a:close/>
                              </a:path>
                              <a:path w="2898140" h="6350">
                                <a:moveTo>
                                  <a:pt x="2897682" y="0"/>
                                </a:moveTo>
                                <a:lnTo>
                                  <a:pt x="1915922" y="0"/>
                                </a:lnTo>
                                <a:lnTo>
                                  <a:pt x="1909826" y="0"/>
                                </a:lnTo>
                                <a:lnTo>
                                  <a:pt x="1909826" y="6096"/>
                                </a:lnTo>
                                <a:lnTo>
                                  <a:pt x="1915922" y="6096"/>
                                </a:lnTo>
                                <a:lnTo>
                                  <a:pt x="2897682" y="6096"/>
                                </a:lnTo>
                                <a:lnTo>
                                  <a:pt x="28976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2pt;height:.5pt;mso-position-horizontal-relative:char;mso-position-vertical-relative:line" id="docshapegroup60" coordorigin="0,0" coordsize="4564,10">
                <v:shape style="position:absolute;left:0;top:0;width:4564;height:10" id="docshape61" coordorigin="0,0" coordsize="4564,10" path="m3008,0l471,0,461,0,461,0,0,0,0,10,461,10,461,10,471,10,3008,10,3008,0xm4563,0l3017,0,3008,0,3008,10,3017,10,4563,10,4563,0xe" filled="true" fillcolor="#000000" stroked="false">
                  <v:path arrowok="t"/>
                  <v:fill type="solid"/>
                </v:shape>
              </v:group>
            </w:pict>
          </mc:Fallback>
        </mc:AlternateContent>
      </w:r>
      <w:r>
        <w:rPr>
          <w:sz w:val="2"/>
        </w:rPr>
      </w:r>
    </w:p>
    <w:p>
      <w:pPr>
        <w:pStyle w:val="BodyText"/>
        <w:tabs>
          <w:tab w:pos="2734" w:val="left" w:leader="none"/>
        </w:tabs>
        <w:spacing w:line="209" w:lineRule="exact"/>
        <w:ind w:left="0" w:right="162"/>
        <w:jc w:val="right"/>
      </w:pPr>
      <w:r>
        <w:rPr/>
        <w:t>Plant</w:t>
      </w:r>
      <w:r>
        <w:rPr>
          <w:spacing w:val="-6"/>
        </w:rPr>
        <w:t> </w:t>
      </w:r>
      <w:r>
        <w:rPr/>
        <w:t>Overhead</w:t>
      </w:r>
      <w:r>
        <w:rPr>
          <w:spacing w:val="-3"/>
        </w:rPr>
        <w:t> </w:t>
      </w:r>
      <w:r>
        <w:rPr>
          <w:spacing w:val="-4"/>
        </w:rPr>
        <w:t>Cost</w:t>
      </w:r>
      <w:r>
        <w:rPr/>
        <w:tab/>
      </w:r>
      <w:r>
        <w:rPr>
          <w:spacing w:val="-2"/>
        </w:rPr>
        <w:t>2,648,406,221</w:t>
      </w:r>
    </w:p>
    <w:p>
      <w:pPr>
        <w:pStyle w:val="BodyText"/>
        <w:tabs>
          <w:tab w:pos="2885" w:val="left" w:leader="none"/>
        </w:tabs>
        <w:spacing w:line="229" w:lineRule="exact"/>
        <w:ind w:left="0" w:right="159"/>
        <w:jc w:val="right"/>
      </w:pPr>
      <w:r>
        <w:rPr/>
        <w:t>General</w:t>
      </w:r>
      <w:r>
        <w:rPr>
          <w:spacing w:val="-5"/>
        </w:rPr>
        <w:t> </w:t>
      </w:r>
      <w:r>
        <w:rPr>
          <w:spacing w:val="-2"/>
        </w:rPr>
        <w:t>Expense</w:t>
      </w:r>
      <w:r>
        <w:rPr/>
        <w:tab/>
      </w:r>
      <w:r>
        <w:rPr>
          <w:spacing w:val="-2"/>
        </w:rPr>
        <w:t>636,642,476</w:t>
      </w:r>
    </w:p>
    <w:p>
      <w:pPr>
        <w:pStyle w:val="BodyText"/>
        <w:spacing w:line="20" w:lineRule="exact"/>
        <w:ind w:left="324" w:right="-15"/>
        <w:jc w:val="left"/>
        <w:rPr>
          <w:sz w:val="2"/>
        </w:rPr>
      </w:pPr>
      <w:r>
        <w:rPr>
          <w:sz w:val="2"/>
        </w:rPr>
        <mc:AlternateContent>
          <mc:Choice Requires="wps">
            <w:drawing>
              <wp:inline distT="0" distB="0" distL="0" distR="0">
                <wp:extent cx="2907030" cy="6350"/>
                <wp:effectExtent l="0" t="0" r="0" b="0"/>
                <wp:docPr id="66" name="Group 66"/>
                <wp:cNvGraphicFramePr>
                  <a:graphicFrameLocks/>
                </wp:cNvGraphicFramePr>
                <a:graphic>
                  <a:graphicData uri="http://schemas.microsoft.com/office/word/2010/wordprocessingGroup">
                    <wpg:wgp>
                      <wpg:cNvPr id="66" name="Group 66"/>
                      <wpg:cNvGrpSpPr/>
                      <wpg:grpSpPr>
                        <a:xfrm>
                          <a:off x="0" y="0"/>
                          <a:ext cx="2907030" cy="6350"/>
                          <a:chExt cx="2907030" cy="6350"/>
                        </a:xfrm>
                      </wpg:grpSpPr>
                      <wps:wsp>
                        <wps:cNvPr id="67" name="Graphic 67"/>
                        <wps:cNvSpPr/>
                        <wps:spPr>
                          <a:xfrm>
                            <a:off x="0" y="0"/>
                            <a:ext cx="2907030" cy="6350"/>
                          </a:xfrm>
                          <a:custGeom>
                            <a:avLst/>
                            <a:gdLst/>
                            <a:ahLst/>
                            <a:cxnLst/>
                            <a:rect l="l" t="t" r="r" b="b"/>
                            <a:pathLst>
                              <a:path w="2907030" h="6350">
                                <a:moveTo>
                                  <a:pt x="2906826" y="0"/>
                                </a:moveTo>
                                <a:lnTo>
                                  <a:pt x="2906826" y="0"/>
                                </a:lnTo>
                                <a:lnTo>
                                  <a:pt x="0" y="0"/>
                                </a:lnTo>
                                <a:lnTo>
                                  <a:pt x="0" y="6096"/>
                                </a:lnTo>
                                <a:lnTo>
                                  <a:pt x="2906826" y="6096"/>
                                </a:lnTo>
                                <a:lnTo>
                                  <a:pt x="29068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9pt;height:.5pt;mso-position-horizontal-relative:char;mso-position-vertical-relative:line" id="docshapegroup62" coordorigin="0,0" coordsize="4578,10">
                <v:rect style="position:absolute;left:0;top:0;width:4578;height:10" id="docshape63" filled="true" fillcolor="#000000" stroked="false">
                  <v:fill type="solid"/>
                </v:rect>
              </v:group>
            </w:pict>
          </mc:Fallback>
        </mc:AlternateContent>
      </w:r>
      <w:r>
        <w:rPr>
          <w:sz w:val="2"/>
        </w:rPr>
      </w:r>
    </w:p>
    <w:p>
      <w:pPr>
        <w:pStyle w:val="BodyText"/>
        <w:spacing w:before="220"/>
        <w:ind w:right="47" w:firstLine="566"/>
      </w:pPr>
      <w:r>
        <w:rPr/>
        <w:t>Equipment</w:t>
      </w:r>
      <w:r>
        <w:rPr>
          <w:spacing w:val="-11"/>
        </w:rPr>
        <w:t> </w:t>
      </w:r>
      <w:r>
        <w:rPr/>
        <w:t>costs</w:t>
      </w:r>
      <w:r>
        <w:rPr>
          <w:spacing w:val="-12"/>
        </w:rPr>
        <w:t> </w:t>
      </w:r>
      <w:r>
        <w:rPr/>
        <w:t>were</w:t>
      </w:r>
      <w:r>
        <w:rPr>
          <w:spacing w:val="-10"/>
        </w:rPr>
        <w:t> </w:t>
      </w:r>
      <w:r>
        <w:rPr/>
        <w:t>estimated</w:t>
      </w:r>
      <w:r>
        <w:rPr>
          <w:spacing w:val="-9"/>
        </w:rPr>
        <w:t> </w:t>
      </w:r>
      <w:r>
        <w:rPr/>
        <w:t>based</w:t>
      </w:r>
      <w:r>
        <w:rPr>
          <w:spacing w:val="-10"/>
        </w:rPr>
        <w:t> </w:t>
      </w:r>
      <w:r>
        <w:rPr/>
        <w:t>on</w:t>
      </w:r>
      <w:r>
        <w:rPr>
          <w:spacing w:val="-10"/>
        </w:rPr>
        <w:t> </w:t>
      </w:r>
      <w:r>
        <w:rPr/>
        <w:t>primary market data. The author initially determined the daily production target, followed by market surveys and benchmarking activities to evaluate suitable equipment types, designs, and pricing. After identifying the appropriate</w:t>
      </w:r>
      <w:r>
        <w:rPr>
          <w:spacing w:val="-6"/>
        </w:rPr>
        <w:t> </w:t>
      </w:r>
      <w:r>
        <w:rPr/>
        <w:t>equipment,</w:t>
      </w:r>
      <w:r>
        <w:rPr>
          <w:spacing w:val="-6"/>
        </w:rPr>
        <w:t> </w:t>
      </w:r>
      <w:r>
        <w:rPr/>
        <w:t>resizing</w:t>
      </w:r>
      <w:r>
        <w:rPr>
          <w:spacing w:val="-5"/>
        </w:rPr>
        <w:t> </w:t>
      </w:r>
      <w:r>
        <w:rPr/>
        <w:t>was</w:t>
      </w:r>
      <w:r>
        <w:rPr>
          <w:spacing w:val="-7"/>
        </w:rPr>
        <w:t> </w:t>
      </w:r>
      <w:r>
        <w:rPr/>
        <w:t>performed</w:t>
      </w:r>
      <w:r>
        <w:rPr>
          <w:spacing w:val="-5"/>
        </w:rPr>
        <w:t> </w:t>
      </w:r>
      <w:r>
        <w:rPr/>
        <w:t>using</w:t>
      </w:r>
      <w:r>
        <w:rPr>
          <w:spacing w:val="-5"/>
        </w:rPr>
        <w:t> </w:t>
      </w:r>
      <w:r>
        <w:rPr/>
        <w:t>the Sixth-Tenths Factor Rule to match the required production capacity. This method ensures that the estimated costs are both realistic and scalable for pilot- scale implementation.</w:t>
      </w:r>
    </w:p>
    <w:p>
      <w:pPr>
        <w:pStyle w:val="BodyText"/>
        <w:ind w:right="47" w:firstLine="566"/>
      </w:pPr>
      <w:r>
        <w:rPr/>
        <w:t>Capital</w:t>
      </w:r>
      <w:r>
        <w:rPr>
          <w:spacing w:val="-3"/>
        </w:rPr>
        <w:t> </w:t>
      </w:r>
      <w:r>
        <w:rPr/>
        <w:t>investment</w:t>
      </w:r>
      <w:r>
        <w:rPr>
          <w:spacing w:val="-3"/>
        </w:rPr>
        <w:t> </w:t>
      </w:r>
      <w:r>
        <w:rPr/>
        <w:t>in</w:t>
      </w:r>
      <w:r>
        <w:rPr>
          <w:spacing w:val="-2"/>
        </w:rPr>
        <w:t> </w:t>
      </w:r>
      <w:r>
        <w:rPr/>
        <w:t>this</w:t>
      </w:r>
      <w:r>
        <w:rPr>
          <w:spacing w:val="-4"/>
        </w:rPr>
        <w:t> </w:t>
      </w:r>
      <w:r>
        <w:rPr/>
        <w:t>study</w:t>
      </w:r>
      <w:r>
        <w:rPr>
          <w:spacing w:val="-2"/>
        </w:rPr>
        <w:t> </w:t>
      </w:r>
      <w:r>
        <w:rPr/>
        <w:t>includes</w:t>
      </w:r>
      <w:r>
        <w:rPr>
          <w:spacing w:val="-3"/>
        </w:rPr>
        <w:t> </w:t>
      </w:r>
      <w:r>
        <w:rPr/>
        <w:t>costs</w:t>
      </w:r>
      <w:r>
        <w:rPr>
          <w:spacing w:val="-4"/>
        </w:rPr>
        <w:t> </w:t>
      </w:r>
      <w:r>
        <w:rPr/>
        <w:t>for procuring processing equipment and raw materials such as tanks, chemicals, pumps, reactors, processing and separation equipment, and valves. The calculation of processing</w:t>
      </w:r>
      <w:r>
        <w:rPr>
          <w:spacing w:val="-13"/>
        </w:rPr>
        <w:t> </w:t>
      </w:r>
      <w:r>
        <w:rPr/>
        <w:t>equipment</w:t>
      </w:r>
      <w:r>
        <w:rPr>
          <w:spacing w:val="-12"/>
        </w:rPr>
        <w:t> </w:t>
      </w:r>
      <w:r>
        <w:rPr/>
        <w:t>costs</w:t>
      </w:r>
      <w:r>
        <w:rPr>
          <w:spacing w:val="-13"/>
        </w:rPr>
        <w:t> </w:t>
      </w:r>
      <w:r>
        <w:rPr/>
        <w:t>includes</w:t>
      </w:r>
      <w:r>
        <w:rPr>
          <w:spacing w:val="-12"/>
        </w:rPr>
        <w:t> </w:t>
      </w:r>
      <w:r>
        <w:rPr/>
        <w:t>an</w:t>
      </w:r>
      <w:r>
        <w:rPr>
          <w:spacing w:val="-13"/>
        </w:rPr>
        <w:t> </w:t>
      </w:r>
      <w:r>
        <w:rPr/>
        <w:t>additional</w:t>
      </w:r>
      <w:r>
        <w:rPr>
          <w:spacing w:val="-12"/>
        </w:rPr>
        <w:t> </w:t>
      </w:r>
      <w:r>
        <w:rPr/>
        <w:t>27%</w:t>
      </w:r>
      <w:r>
        <w:rPr>
          <w:spacing w:val="-13"/>
        </w:rPr>
        <w:t> </w:t>
      </w:r>
      <w:r>
        <w:rPr/>
        <w:t>of the total equipment price as a safety factor, as recommended by Turton et al. (2009) and Peters et al. (1991). They also mention that a contingency or safety factor of 20–30% is commonly applied during the early design phase. The projected price for 2030 results in a tools price of Rp111,336,706.</w:t>
      </w:r>
    </w:p>
    <w:p>
      <w:pPr>
        <w:pStyle w:val="BodyText"/>
        <w:spacing w:before="3"/>
        <w:ind w:right="53" w:firstLine="566"/>
      </w:pPr>
      <w:r>
        <w:rPr/>
        <w:t>The</w:t>
      </w:r>
      <w:r>
        <w:rPr>
          <w:spacing w:val="-13"/>
        </w:rPr>
        <w:t> </w:t>
      </w:r>
      <w:r>
        <w:rPr/>
        <w:t>calculation</w:t>
      </w:r>
      <w:r>
        <w:rPr>
          <w:spacing w:val="-12"/>
        </w:rPr>
        <w:t> </w:t>
      </w:r>
      <w:r>
        <w:rPr/>
        <w:t>of</w:t>
      </w:r>
      <w:r>
        <w:rPr>
          <w:spacing w:val="-13"/>
        </w:rPr>
        <w:t> </w:t>
      </w:r>
      <w:r>
        <w:rPr/>
        <w:t>raw</w:t>
      </w:r>
      <w:r>
        <w:rPr>
          <w:spacing w:val="-12"/>
        </w:rPr>
        <w:t> </w:t>
      </w:r>
      <w:r>
        <w:rPr/>
        <w:t>material</w:t>
      </w:r>
      <w:r>
        <w:rPr>
          <w:spacing w:val="-13"/>
        </w:rPr>
        <w:t> </w:t>
      </w:r>
      <w:r>
        <w:rPr/>
        <w:t>costs,</w:t>
      </w:r>
      <w:r>
        <w:rPr>
          <w:spacing w:val="-12"/>
        </w:rPr>
        <w:t> </w:t>
      </w:r>
      <w:r>
        <w:rPr/>
        <w:t>utilities,</w:t>
      </w:r>
      <w:r>
        <w:rPr>
          <w:spacing w:val="-13"/>
        </w:rPr>
        <w:t> </w:t>
      </w:r>
      <w:r>
        <w:rPr/>
        <w:t>and </w:t>
      </w:r>
      <w:r>
        <w:rPr>
          <w:spacing w:val="-2"/>
        </w:rPr>
        <w:t>product</w:t>
      </w:r>
      <w:r>
        <w:rPr>
          <w:spacing w:val="-5"/>
        </w:rPr>
        <w:t> </w:t>
      </w:r>
      <w:r>
        <w:rPr>
          <w:spacing w:val="-2"/>
        </w:rPr>
        <w:t>sales</w:t>
      </w:r>
      <w:r>
        <w:rPr>
          <w:spacing w:val="-5"/>
        </w:rPr>
        <w:t> </w:t>
      </w:r>
      <w:r>
        <w:rPr>
          <w:spacing w:val="-2"/>
        </w:rPr>
        <w:t>involves</w:t>
      </w:r>
      <w:r>
        <w:rPr>
          <w:spacing w:val="-5"/>
        </w:rPr>
        <w:t> </w:t>
      </w:r>
      <w:r>
        <w:rPr>
          <w:spacing w:val="-2"/>
        </w:rPr>
        <w:t>estimating</w:t>
      </w:r>
      <w:r>
        <w:rPr>
          <w:spacing w:val="-3"/>
        </w:rPr>
        <w:t> </w:t>
      </w:r>
      <w:r>
        <w:rPr>
          <w:spacing w:val="-2"/>
        </w:rPr>
        <w:t>the</w:t>
      </w:r>
      <w:r>
        <w:rPr>
          <w:spacing w:val="-5"/>
        </w:rPr>
        <w:t> </w:t>
      </w:r>
      <w:r>
        <w:rPr>
          <w:spacing w:val="-2"/>
        </w:rPr>
        <w:t>costs</w:t>
      </w:r>
      <w:r>
        <w:rPr>
          <w:spacing w:val="-6"/>
        </w:rPr>
        <w:t> </w:t>
      </w:r>
      <w:r>
        <w:rPr>
          <w:spacing w:val="-2"/>
        </w:rPr>
        <w:t>of</w:t>
      </w:r>
      <w:r>
        <w:rPr>
          <w:spacing w:val="-3"/>
        </w:rPr>
        <w:t> </w:t>
      </w:r>
      <w:r>
        <w:rPr>
          <w:spacing w:val="-2"/>
        </w:rPr>
        <w:t>primary</w:t>
      </w:r>
      <w:r>
        <w:rPr>
          <w:spacing w:val="-3"/>
        </w:rPr>
        <w:t> </w:t>
      </w:r>
      <w:r>
        <w:rPr>
          <w:spacing w:val="-2"/>
        </w:rPr>
        <w:t>raw </w:t>
      </w:r>
      <w:r>
        <w:rPr/>
        <w:t>materials</w:t>
      </w:r>
      <w:r>
        <w:rPr>
          <w:spacing w:val="-1"/>
        </w:rPr>
        <w:t> </w:t>
      </w:r>
      <w:r>
        <w:rPr/>
        <w:t>such as</w:t>
      </w:r>
      <w:r>
        <w:rPr>
          <w:spacing w:val="-1"/>
        </w:rPr>
        <w:t> </w:t>
      </w:r>
      <w:r>
        <w:rPr/>
        <w:t>RBDPO,</w:t>
      </w:r>
      <w:r>
        <w:rPr>
          <w:spacing w:val="-1"/>
        </w:rPr>
        <w:t> </w:t>
      </w:r>
      <w:r>
        <w:rPr/>
        <w:t>H₂O₂,</w:t>
      </w:r>
      <w:r>
        <w:rPr>
          <w:spacing w:val="-1"/>
        </w:rPr>
        <w:t> </w:t>
      </w:r>
      <w:r>
        <w:rPr/>
        <w:t>formic</w:t>
      </w:r>
      <w:r>
        <w:rPr>
          <w:spacing w:val="-3"/>
        </w:rPr>
        <w:t> </w:t>
      </w:r>
      <w:r>
        <w:rPr/>
        <w:t>acid,</w:t>
      </w:r>
      <w:r>
        <w:rPr>
          <w:spacing w:val="-2"/>
        </w:rPr>
        <w:t> </w:t>
      </w:r>
      <w:r>
        <w:rPr/>
        <w:t>oleic</w:t>
      </w:r>
      <w:r>
        <w:rPr>
          <w:spacing w:val="-1"/>
        </w:rPr>
        <w:t> </w:t>
      </w:r>
      <w:r>
        <w:rPr/>
        <w:t>acid, LABSA,</w:t>
      </w:r>
      <w:r>
        <w:rPr>
          <w:spacing w:val="-4"/>
        </w:rPr>
        <w:t> </w:t>
      </w:r>
      <w:r>
        <w:rPr/>
        <w:t>and</w:t>
      </w:r>
      <w:r>
        <w:rPr>
          <w:spacing w:val="-3"/>
        </w:rPr>
        <w:t> </w:t>
      </w:r>
      <w:r>
        <w:rPr/>
        <w:t>other</w:t>
      </w:r>
      <w:r>
        <w:rPr>
          <w:spacing w:val="-3"/>
        </w:rPr>
        <w:t> </w:t>
      </w:r>
      <w:r>
        <w:rPr/>
        <w:t>additives,</w:t>
      </w:r>
      <w:r>
        <w:rPr>
          <w:spacing w:val="-4"/>
        </w:rPr>
        <w:t> </w:t>
      </w:r>
      <w:r>
        <w:rPr/>
        <w:t>as</w:t>
      </w:r>
      <w:r>
        <w:rPr>
          <w:spacing w:val="-5"/>
        </w:rPr>
        <w:t> </w:t>
      </w:r>
      <w:r>
        <w:rPr/>
        <w:t>well</w:t>
      </w:r>
      <w:r>
        <w:rPr>
          <w:spacing w:val="-5"/>
        </w:rPr>
        <w:t> </w:t>
      </w:r>
      <w:r>
        <w:rPr/>
        <w:t>as</w:t>
      </w:r>
      <w:r>
        <w:rPr>
          <w:spacing w:val="-5"/>
        </w:rPr>
        <w:t> </w:t>
      </w:r>
      <w:r>
        <w:rPr/>
        <w:t>operational</w:t>
      </w:r>
      <w:r>
        <w:rPr>
          <w:spacing w:val="-4"/>
        </w:rPr>
        <w:t> </w:t>
      </w:r>
      <w:r>
        <w:rPr/>
        <w:t>costs such as water and electricity. The total raw material cost per year reaches Rp3,206,477,922.</w:t>
      </w:r>
    </w:p>
    <w:p>
      <w:pPr>
        <w:pStyle w:val="BodyText"/>
        <w:ind w:right="48" w:firstLine="566"/>
      </w:pPr>
      <w:r>
        <w:rPr/>
        <w:t>Regarding other utility costs, electricity is primarily consumed to power the agitator and heater in the Continuous Stirred Tank Reactor (CSTR). Waste treatment expenses are not included in the current cost structure because the process involves temporary waste storage followed by disposal through third-party treatment services. Laboratory expenses have been accounted for following Turton et al. (2009) method, where laboratory costs are estimated as 15% of the operating labor costs.</w:t>
      </w:r>
    </w:p>
    <w:p>
      <w:pPr>
        <w:pStyle w:val="BodyText"/>
        <w:ind w:right="50" w:firstLine="566"/>
      </w:pPr>
      <w:r>
        <w:rPr/>
        <w:t>In this study, the Capital Expenditure, or CapEx, consists of two main components: Fixed Capital Investment and Working Capital Investment. The Fixed Capital Investment amounts to Rp126,582,770 and includes</w:t>
      </w:r>
      <w:r>
        <w:rPr>
          <w:spacing w:val="-13"/>
        </w:rPr>
        <w:t> </w:t>
      </w:r>
      <w:r>
        <w:rPr/>
        <w:t>the</w:t>
      </w:r>
      <w:r>
        <w:rPr>
          <w:spacing w:val="-12"/>
        </w:rPr>
        <w:t> </w:t>
      </w:r>
      <w:r>
        <w:rPr/>
        <w:t>procurement</w:t>
      </w:r>
      <w:r>
        <w:rPr>
          <w:spacing w:val="-13"/>
        </w:rPr>
        <w:t> </w:t>
      </w:r>
      <w:r>
        <w:rPr/>
        <w:t>and</w:t>
      </w:r>
      <w:r>
        <w:rPr>
          <w:spacing w:val="-12"/>
        </w:rPr>
        <w:t> </w:t>
      </w:r>
      <w:r>
        <w:rPr/>
        <w:t>installation</w:t>
      </w:r>
      <w:r>
        <w:rPr>
          <w:spacing w:val="-13"/>
        </w:rPr>
        <w:t> </w:t>
      </w:r>
      <w:r>
        <w:rPr/>
        <w:t>of</w:t>
      </w:r>
      <w:r>
        <w:rPr>
          <w:spacing w:val="-12"/>
        </w:rPr>
        <w:t> </w:t>
      </w:r>
      <w:r>
        <w:rPr/>
        <w:t>main</w:t>
      </w:r>
      <w:r>
        <w:rPr>
          <w:spacing w:val="-13"/>
        </w:rPr>
        <w:t> </w:t>
      </w:r>
      <w:r>
        <w:rPr/>
        <w:t>process equipment</w:t>
      </w:r>
      <w:r>
        <w:rPr>
          <w:spacing w:val="-10"/>
        </w:rPr>
        <w:t> </w:t>
      </w:r>
      <w:r>
        <w:rPr/>
        <w:t>such</w:t>
      </w:r>
      <w:r>
        <w:rPr>
          <w:spacing w:val="-6"/>
        </w:rPr>
        <w:t> </w:t>
      </w:r>
      <w:r>
        <w:rPr/>
        <w:t>as</w:t>
      </w:r>
      <w:r>
        <w:rPr>
          <w:spacing w:val="-10"/>
        </w:rPr>
        <w:t> </w:t>
      </w:r>
      <w:r>
        <w:rPr/>
        <w:t>reactors,</w:t>
      </w:r>
      <w:r>
        <w:rPr>
          <w:spacing w:val="-7"/>
        </w:rPr>
        <w:t> </w:t>
      </w:r>
      <w:r>
        <w:rPr/>
        <w:t>tanks,</w:t>
      </w:r>
      <w:r>
        <w:rPr>
          <w:spacing w:val="-7"/>
        </w:rPr>
        <w:t> </w:t>
      </w:r>
      <w:r>
        <w:rPr/>
        <w:t>pumps,</w:t>
      </w:r>
      <w:r>
        <w:rPr>
          <w:spacing w:val="-9"/>
        </w:rPr>
        <w:t> </w:t>
      </w:r>
      <w:r>
        <w:rPr/>
        <w:t>valves,</w:t>
      </w:r>
      <w:r>
        <w:rPr>
          <w:spacing w:val="-7"/>
        </w:rPr>
        <w:t> </w:t>
      </w:r>
      <w:r>
        <w:rPr/>
        <w:t>as</w:t>
      </w:r>
      <w:r>
        <w:rPr>
          <w:spacing w:val="-8"/>
        </w:rPr>
        <w:t> </w:t>
      </w:r>
      <w:r>
        <w:rPr/>
        <w:t>well as construction and infrastructure components. To account for potential uncertainties, a safety factor of 27 percent is applied to the total equipment cost. The Working</w:t>
      </w:r>
      <w:r>
        <w:rPr>
          <w:spacing w:val="-6"/>
        </w:rPr>
        <w:t> </w:t>
      </w:r>
      <w:r>
        <w:rPr/>
        <w:t>Capital</w:t>
      </w:r>
      <w:r>
        <w:rPr>
          <w:spacing w:val="-8"/>
        </w:rPr>
        <w:t> </w:t>
      </w:r>
      <w:r>
        <w:rPr/>
        <w:t>Investment</w:t>
      </w:r>
      <w:r>
        <w:rPr>
          <w:spacing w:val="-8"/>
        </w:rPr>
        <w:t> </w:t>
      </w:r>
      <w:r>
        <w:rPr/>
        <w:t>totals</w:t>
      </w:r>
      <w:r>
        <w:rPr>
          <w:spacing w:val="-8"/>
        </w:rPr>
        <w:t> </w:t>
      </w:r>
      <w:r>
        <w:rPr/>
        <w:t>Rp148,920,907</w:t>
      </w:r>
      <w:r>
        <w:rPr>
          <w:spacing w:val="-6"/>
        </w:rPr>
        <w:t> </w:t>
      </w:r>
      <w:r>
        <w:rPr/>
        <w:t>and</w:t>
      </w:r>
      <w:r>
        <w:rPr>
          <w:spacing w:val="-6"/>
        </w:rPr>
        <w:t> </w:t>
      </w:r>
      <w:r>
        <w:rPr/>
        <w:t>is allocated for operational needs such as initial raw material</w:t>
      </w:r>
      <w:r>
        <w:rPr>
          <w:spacing w:val="25"/>
        </w:rPr>
        <w:t> </w:t>
      </w:r>
      <w:r>
        <w:rPr/>
        <w:t>supply,</w:t>
      </w:r>
      <w:r>
        <w:rPr>
          <w:spacing w:val="24"/>
        </w:rPr>
        <w:t> </w:t>
      </w:r>
      <w:r>
        <w:rPr/>
        <w:t>utility</w:t>
      </w:r>
      <w:r>
        <w:rPr>
          <w:spacing w:val="25"/>
        </w:rPr>
        <w:t> </w:t>
      </w:r>
      <w:r>
        <w:rPr/>
        <w:t>expenses,</w:t>
      </w:r>
      <w:r>
        <w:rPr>
          <w:spacing w:val="25"/>
        </w:rPr>
        <w:t> </w:t>
      </w:r>
      <w:r>
        <w:rPr/>
        <w:t>and</w:t>
      </w:r>
      <w:r>
        <w:rPr>
          <w:spacing w:val="25"/>
        </w:rPr>
        <w:t> </w:t>
      </w:r>
      <w:r>
        <w:rPr/>
        <w:t>buffer</w:t>
      </w:r>
      <w:r>
        <w:rPr>
          <w:spacing w:val="27"/>
        </w:rPr>
        <w:t> </w:t>
      </w:r>
      <w:r>
        <w:rPr>
          <w:spacing w:val="-2"/>
        </w:rPr>
        <w:t>inventory.</w:t>
      </w:r>
    </w:p>
    <w:p>
      <w:pPr>
        <w:pStyle w:val="BodyText"/>
        <w:spacing w:after="0"/>
        <w:sectPr>
          <w:type w:val="continuous"/>
          <w:pgSz w:w="12240" w:h="15840"/>
          <w:pgMar w:header="851" w:footer="1027" w:top="640" w:bottom="1180" w:left="1080" w:right="1080"/>
          <w:cols w:num="2" w:equalWidth="0">
            <w:col w:w="4944" w:space="181"/>
            <w:col w:w="4955"/>
          </w:cols>
        </w:sectPr>
      </w:pPr>
    </w:p>
    <w:p>
      <w:pPr>
        <w:pStyle w:val="BodyText"/>
        <w:spacing w:line="20" w:lineRule="exact"/>
        <w:ind w:left="324"/>
        <w:jc w:val="left"/>
        <w:rPr>
          <w:sz w:val="2"/>
        </w:rPr>
      </w:pPr>
      <w:r>
        <w:rPr>
          <w:sz w:val="2"/>
        </w:rPr>
        <mc:AlternateContent>
          <mc:Choice Requires="wps">
            <w:drawing>
              <wp:inline distT="0" distB="0" distL="0" distR="0">
                <wp:extent cx="2907030" cy="6350"/>
                <wp:effectExtent l="0" t="0" r="0" b="0"/>
                <wp:docPr id="68" name="Group 68"/>
                <wp:cNvGraphicFramePr>
                  <a:graphicFrameLocks/>
                </wp:cNvGraphicFramePr>
                <a:graphic>
                  <a:graphicData uri="http://schemas.microsoft.com/office/word/2010/wordprocessingGroup">
                    <wpg:wgp>
                      <wpg:cNvPr id="68" name="Group 68"/>
                      <wpg:cNvGrpSpPr/>
                      <wpg:grpSpPr>
                        <a:xfrm>
                          <a:off x="0" y="0"/>
                          <a:ext cx="2907030" cy="6350"/>
                          <a:chExt cx="2907030" cy="6350"/>
                        </a:xfrm>
                      </wpg:grpSpPr>
                      <wps:wsp>
                        <wps:cNvPr id="69" name="Graphic 69"/>
                        <wps:cNvSpPr/>
                        <wps:spPr>
                          <a:xfrm>
                            <a:off x="0" y="12"/>
                            <a:ext cx="2907030" cy="6350"/>
                          </a:xfrm>
                          <a:custGeom>
                            <a:avLst/>
                            <a:gdLst/>
                            <a:ahLst/>
                            <a:cxnLst/>
                            <a:rect l="l" t="t" r="r" b="b"/>
                            <a:pathLst>
                              <a:path w="2907030" h="6350">
                                <a:moveTo>
                                  <a:pt x="2906598" y="0"/>
                                </a:moveTo>
                                <a:lnTo>
                                  <a:pt x="2906598" y="0"/>
                                </a:lnTo>
                                <a:lnTo>
                                  <a:pt x="0" y="0"/>
                                </a:lnTo>
                                <a:lnTo>
                                  <a:pt x="0" y="6083"/>
                                </a:lnTo>
                                <a:lnTo>
                                  <a:pt x="2906598" y="6083"/>
                                </a:lnTo>
                                <a:lnTo>
                                  <a:pt x="29065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9pt;height:.5pt;mso-position-horizontal-relative:char;mso-position-vertical-relative:line" id="docshapegroup64" coordorigin="0,0" coordsize="4578,10">
                <v:rect style="position:absolute;left:0;top:0;width:4578;height:10" id="docshape65" filled="true" fillcolor="#000000" stroked="false">
                  <v:fill type="solid"/>
                </v:rect>
              </v:group>
            </w:pict>
          </mc:Fallback>
        </mc:AlternateContent>
      </w:r>
      <w:r>
        <w:rPr>
          <w:sz w:val="2"/>
        </w:rPr>
      </w:r>
    </w:p>
    <w:p>
      <w:pPr>
        <w:pStyle w:val="BodyText"/>
        <w:spacing w:after="0" w:line="20" w:lineRule="exact"/>
        <w:jc w:val="left"/>
        <w:rPr>
          <w:sz w:val="2"/>
        </w:rPr>
        <w:sectPr>
          <w:type w:val="continuous"/>
          <w:pgSz w:w="12240" w:h="15840"/>
          <w:pgMar w:header="851" w:footer="1027" w:top="640" w:bottom="1180" w:left="1080" w:right="1080"/>
        </w:sectPr>
      </w:pPr>
    </w:p>
    <w:p>
      <w:pPr>
        <w:pStyle w:val="BodyText"/>
        <w:spacing w:before="219"/>
        <w:ind w:left="0"/>
        <w:jc w:val="left"/>
      </w:pPr>
    </w:p>
    <w:p>
      <w:pPr>
        <w:pStyle w:val="BodyText"/>
        <w:spacing w:after="0"/>
        <w:jc w:val="left"/>
        <w:sectPr>
          <w:pgSz w:w="12240" w:h="15840"/>
          <w:pgMar w:header="851" w:footer="1027" w:top="1160" w:bottom="1220" w:left="1080" w:right="1080"/>
        </w:sectPr>
      </w:pPr>
    </w:p>
    <w:p>
      <w:pPr>
        <w:pStyle w:val="BodyText"/>
        <w:spacing w:before="91"/>
        <w:ind w:right="43"/>
      </w:pPr>
      <w:r>
        <w:rPr/>
        <w:t>Accordingly, the total CapEx for the project reaches </w:t>
      </w:r>
      <w:r>
        <w:rPr>
          <w:spacing w:val="-2"/>
        </w:rPr>
        <w:t>Rp275,503,677.</w:t>
      </w:r>
    </w:p>
    <w:p>
      <w:pPr>
        <w:pStyle w:val="BodyText"/>
        <w:ind w:right="38" w:firstLine="566"/>
      </w:pPr>
      <w:r>
        <w:rPr/>
        <w:t>Employee salaries for one year, based on the regional minimum wage (UMK) in West Java, are estimated</w:t>
      </w:r>
      <w:r>
        <w:rPr>
          <w:spacing w:val="-7"/>
        </w:rPr>
        <w:t> </w:t>
      </w:r>
      <w:r>
        <w:rPr/>
        <w:t>at</w:t>
      </w:r>
      <w:r>
        <w:rPr>
          <w:spacing w:val="-6"/>
        </w:rPr>
        <w:t> </w:t>
      </w:r>
      <w:r>
        <w:rPr/>
        <w:t>Rp539,500,000.</w:t>
      </w:r>
      <w:r>
        <w:rPr>
          <w:spacing w:val="-10"/>
        </w:rPr>
        <w:t> </w:t>
      </w:r>
      <w:r>
        <w:rPr/>
        <w:t>The</w:t>
      </w:r>
      <w:r>
        <w:rPr>
          <w:spacing w:val="-8"/>
        </w:rPr>
        <w:t> </w:t>
      </w:r>
      <w:r>
        <w:rPr/>
        <w:t>total</w:t>
      </w:r>
      <w:r>
        <w:rPr>
          <w:spacing w:val="-8"/>
        </w:rPr>
        <w:t> </w:t>
      </w:r>
      <w:r>
        <w:rPr/>
        <w:t>capital</w:t>
      </w:r>
      <w:r>
        <w:rPr>
          <w:spacing w:val="-9"/>
        </w:rPr>
        <w:t> </w:t>
      </w:r>
      <w:r>
        <w:rPr/>
        <w:t>investment amounts to Rp474,658,504. With the selling price of the produced bio grease set at Rp251,000/kg, the total product price is Rp9.089,511,589, while the total production cost is Rp8,081,646,963.</w:t>
      </w:r>
    </w:p>
    <w:p>
      <w:pPr>
        <w:pStyle w:val="BodyText"/>
        <w:ind w:right="38" w:firstLine="566"/>
      </w:pPr>
      <w:r>
        <w:rPr/>
        <w:t>The Micro, Small, and Medium Enterprise (MSME) operations are managed by a dedicated production</w:t>
      </w:r>
      <w:r>
        <w:rPr>
          <w:spacing w:val="-13"/>
        </w:rPr>
        <w:t> </w:t>
      </w:r>
      <w:r>
        <w:rPr/>
        <w:t>team</w:t>
      </w:r>
      <w:r>
        <w:rPr>
          <w:spacing w:val="-12"/>
        </w:rPr>
        <w:t> </w:t>
      </w:r>
      <w:r>
        <w:rPr/>
        <w:t>to</w:t>
      </w:r>
      <w:r>
        <w:rPr>
          <w:spacing w:val="-13"/>
        </w:rPr>
        <w:t> </w:t>
      </w:r>
      <w:r>
        <w:rPr/>
        <w:t>ensure</w:t>
      </w:r>
      <w:r>
        <w:rPr>
          <w:spacing w:val="-12"/>
        </w:rPr>
        <w:t> </w:t>
      </w:r>
      <w:r>
        <w:rPr/>
        <w:t>efficient</w:t>
      </w:r>
      <w:r>
        <w:rPr>
          <w:spacing w:val="-13"/>
        </w:rPr>
        <w:t> </w:t>
      </w:r>
      <w:r>
        <w:rPr/>
        <w:t>and</w:t>
      </w:r>
      <w:r>
        <w:rPr>
          <w:spacing w:val="-12"/>
        </w:rPr>
        <w:t> </w:t>
      </w:r>
      <w:r>
        <w:rPr/>
        <w:t>quality-controlled production. The team consists of two Process Supervisors,</w:t>
      </w:r>
      <w:r>
        <w:rPr>
          <w:spacing w:val="-6"/>
        </w:rPr>
        <w:t> </w:t>
      </w:r>
      <w:r>
        <w:rPr/>
        <w:t>both</w:t>
      </w:r>
      <w:r>
        <w:rPr>
          <w:spacing w:val="-7"/>
        </w:rPr>
        <w:t> </w:t>
      </w:r>
      <w:r>
        <w:rPr/>
        <w:t>graduates</w:t>
      </w:r>
      <w:r>
        <w:rPr>
          <w:spacing w:val="-7"/>
        </w:rPr>
        <w:t> </w:t>
      </w:r>
      <w:r>
        <w:rPr/>
        <w:t>in</w:t>
      </w:r>
      <w:r>
        <w:rPr>
          <w:spacing w:val="-5"/>
        </w:rPr>
        <w:t> </w:t>
      </w:r>
      <w:r>
        <w:rPr/>
        <w:t>Chemical</w:t>
      </w:r>
      <w:r>
        <w:rPr>
          <w:spacing w:val="-6"/>
        </w:rPr>
        <w:t> </w:t>
      </w:r>
      <w:r>
        <w:rPr/>
        <w:t>and</w:t>
      </w:r>
      <w:r>
        <w:rPr>
          <w:spacing w:val="-5"/>
        </w:rPr>
        <w:t> </w:t>
      </w:r>
      <w:r>
        <w:rPr/>
        <w:t>Mechanical Engineering, who oversee daily operations, maintain ISO-compliant quality control, and manage batch processing and formulation. They lead eight vocational- trained operators organized into functional units: three Process Operators responsible for raw material preparation (vegetable base oils, thickeners, and additives), reactor operation, and homogenization; three Equipment Technicians who maintain reactors, grease pumps,</w:t>
      </w:r>
      <w:r>
        <w:rPr>
          <w:spacing w:val="-13"/>
        </w:rPr>
        <w:t> </w:t>
      </w:r>
      <w:r>
        <w:rPr/>
        <w:t>and</w:t>
      </w:r>
      <w:r>
        <w:rPr>
          <w:spacing w:val="-12"/>
        </w:rPr>
        <w:t> </w:t>
      </w:r>
      <w:r>
        <w:rPr/>
        <w:t>filling</w:t>
      </w:r>
      <w:r>
        <w:rPr>
          <w:spacing w:val="-13"/>
        </w:rPr>
        <w:t> </w:t>
      </w:r>
      <w:r>
        <w:rPr/>
        <w:t>lines;</w:t>
      </w:r>
      <w:r>
        <w:rPr>
          <w:spacing w:val="-12"/>
        </w:rPr>
        <w:t> </w:t>
      </w:r>
      <w:r>
        <w:rPr/>
        <w:t>and</w:t>
      </w:r>
      <w:r>
        <w:rPr>
          <w:spacing w:val="-13"/>
        </w:rPr>
        <w:t> </w:t>
      </w:r>
      <w:r>
        <w:rPr/>
        <w:t>four</w:t>
      </w:r>
      <w:r>
        <w:rPr>
          <w:spacing w:val="-12"/>
        </w:rPr>
        <w:t> </w:t>
      </w:r>
      <w:r>
        <w:rPr/>
        <w:t>QC/Logistics</w:t>
      </w:r>
      <w:r>
        <w:rPr>
          <w:spacing w:val="-13"/>
        </w:rPr>
        <w:t> </w:t>
      </w:r>
      <w:r>
        <w:rPr/>
        <w:t>Operators who conduct in-process quality checks, perform laboratory analyses, coordinate packaging into pails/drums, and manage inventory.</w:t>
      </w:r>
    </w:p>
    <w:p>
      <w:pPr>
        <w:pStyle w:val="BodyText"/>
        <w:ind w:right="38" w:firstLine="566"/>
      </w:pPr>
      <w:r>
        <w:rPr/>
        <w:t>This management system was chosen for its balance between technical expertise and operational efficiency,</w:t>
      </w:r>
      <w:r>
        <w:rPr>
          <w:spacing w:val="-8"/>
        </w:rPr>
        <w:t> </w:t>
      </w:r>
      <w:r>
        <w:rPr/>
        <w:t>ensuring</w:t>
      </w:r>
      <w:r>
        <w:rPr>
          <w:spacing w:val="-7"/>
        </w:rPr>
        <w:t> </w:t>
      </w:r>
      <w:r>
        <w:rPr/>
        <w:t>strict</w:t>
      </w:r>
      <w:r>
        <w:rPr>
          <w:spacing w:val="-8"/>
        </w:rPr>
        <w:t> </w:t>
      </w:r>
      <w:r>
        <w:rPr/>
        <w:t>adherence</w:t>
      </w:r>
      <w:r>
        <w:rPr>
          <w:spacing w:val="-8"/>
        </w:rPr>
        <w:t> </w:t>
      </w:r>
      <w:r>
        <w:rPr/>
        <w:t>to</w:t>
      </w:r>
      <w:r>
        <w:rPr>
          <w:spacing w:val="-8"/>
        </w:rPr>
        <w:t> </w:t>
      </w:r>
      <w:r>
        <w:rPr/>
        <w:t>quality</w:t>
      </w:r>
      <w:r>
        <w:rPr>
          <w:spacing w:val="-8"/>
        </w:rPr>
        <w:t> </w:t>
      </w:r>
      <w:r>
        <w:rPr/>
        <w:t>and</w:t>
      </w:r>
      <w:r>
        <w:rPr>
          <w:spacing w:val="-7"/>
        </w:rPr>
        <w:t> </w:t>
      </w:r>
      <w:r>
        <w:rPr/>
        <w:t>safety standards</w:t>
      </w:r>
      <w:r>
        <w:rPr>
          <w:spacing w:val="-12"/>
        </w:rPr>
        <w:t> </w:t>
      </w:r>
      <w:r>
        <w:rPr/>
        <w:t>while</w:t>
      </w:r>
      <w:r>
        <w:rPr>
          <w:spacing w:val="-11"/>
        </w:rPr>
        <w:t> </w:t>
      </w:r>
      <w:r>
        <w:rPr/>
        <w:t>enabling</w:t>
      </w:r>
      <w:r>
        <w:rPr>
          <w:spacing w:val="-11"/>
        </w:rPr>
        <w:t> </w:t>
      </w:r>
      <w:r>
        <w:rPr/>
        <w:t>flexible</w:t>
      </w:r>
      <w:r>
        <w:rPr>
          <w:spacing w:val="-11"/>
        </w:rPr>
        <w:t> </w:t>
      </w:r>
      <w:r>
        <w:rPr/>
        <w:t>production</w:t>
      </w:r>
      <w:r>
        <w:rPr>
          <w:spacing w:val="-12"/>
        </w:rPr>
        <w:t> </w:t>
      </w:r>
      <w:r>
        <w:rPr/>
        <w:t>scaling.</w:t>
      </w:r>
      <w:r>
        <w:rPr>
          <w:spacing w:val="-11"/>
        </w:rPr>
        <w:t> </w:t>
      </w:r>
      <w:r>
        <w:rPr/>
        <w:t>The production system yields approximately 100 kg of product daily through three batches per day, each requiring</w:t>
      </w:r>
      <w:r>
        <w:rPr>
          <w:spacing w:val="-1"/>
        </w:rPr>
        <w:t> </w:t>
      </w:r>
      <w:r>
        <w:rPr/>
        <w:t>3-5</w:t>
      </w:r>
      <w:r>
        <w:rPr>
          <w:spacing w:val="-2"/>
        </w:rPr>
        <w:t> </w:t>
      </w:r>
      <w:r>
        <w:rPr/>
        <w:t>hours</w:t>
      </w:r>
      <w:r>
        <w:rPr>
          <w:spacing w:val="-2"/>
        </w:rPr>
        <w:t> </w:t>
      </w:r>
      <w:r>
        <w:rPr/>
        <w:t>of</w:t>
      </w:r>
      <w:r>
        <w:rPr>
          <w:spacing w:val="-1"/>
        </w:rPr>
        <w:t> </w:t>
      </w:r>
      <w:r>
        <w:rPr/>
        <w:t>processing</w:t>
      </w:r>
      <w:r>
        <w:rPr>
          <w:spacing w:val="-1"/>
        </w:rPr>
        <w:t> </w:t>
      </w:r>
      <w:r>
        <w:rPr/>
        <w:t>followed</w:t>
      </w:r>
      <w:r>
        <w:rPr>
          <w:spacing w:val="-2"/>
        </w:rPr>
        <w:t> </w:t>
      </w:r>
      <w:r>
        <w:rPr/>
        <w:t>by</w:t>
      </w:r>
      <w:r>
        <w:rPr>
          <w:spacing w:val="-1"/>
        </w:rPr>
        <w:t> </w:t>
      </w:r>
      <w:r>
        <w:rPr/>
        <w:t>3</w:t>
      </w:r>
      <w:r>
        <w:rPr>
          <w:spacing w:val="-2"/>
        </w:rPr>
        <w:t> </w:t>
      </w:r>
      <w:r>
        <w:rPr/>
        <w:t>hours</w:t>
      </w:r>
      <w:r>
        <w:rPr>
          <w:spacing w:val="-2"/>
        </w:rPr>
        <w:t> </w:t>
      </w:r>
      <w:r>
        <w:rPr/>
        <w:t>of </w:t>
      </w:r>
      <w:r>
        <w:rPr>
          <w:spacing w:val="-2"/>
        </w:rPr>
        <w:t>cleaning.</w:t>
      </w:r>
    </w:p>
    <w:p>
      <w:pPr>
        <w:pStyle w:val="BodyText"/>
        <w:spacing w:before="1"/>
        <w:ind w:right="41" w:firstLine="566"/>
      </w:pPr>
      <w:r>
        <w:rPr/>
        <w:t>Strict</w:t>
      </w:r>
      <w:r>
        <w:rPr>
          <w:spacing w:val="-9"/>
        </w:rPr>
        <w:t> </w:t>
      </w:r>
      <w:r>
        <w:rPr/>
        <w:t>safety</w:t>
      </w:r>
      <w:r>
        <w:rPr>
          <w:spacing w:val="-8"/>
        </w:rPr>
        <w:t> </w:t>
      </w:r>
      <w:r>
        <w:rPr/>
        <w:t>protocols</w:t>
      </w:r>
      <w:r>
        <w:rPr>
          <w:spacing w:val="-9"/>
        </w:rPr>
        <w:t> </w:t>
      </w:r>
      <w:r>
        <w:rPr/>
        <w:t>are</w:t>
      </w:r>
      <w:r>
        <w:rPr>
          <w:spacing w:val="-9"/>
        </w:rPr>
        <w:t> </w:t>
      </w:r>
      <w:r>
        <w:rPr/>
        <w:t>implemented,</w:t>
      </w:r>
      <w:r>
        <w:rPr>
          <w:spacing w:val="-9"/>
        </w:rPr>
        <w:t> </w:t>
      </w:r>
      <w:r>
        <w:rPr/>
        <w:t>including staggered breaks, mandatory personal protective equipment (heat-resistant gear and respirators), hazardous</w:t>
      </w:r>
      <w:r>
        <w:rPr>
          <w:spacing w:val="-11"/>
        </w:rPr>
        <w:t> </w:t>
      </w:r>
      <w:r>
        <w:rPr/>
        <w:t>chemical</w:t>
      </w:r>
      <w:r>
        <w:rPr>
          <w:spacing w:val="-10"/>
        </w:rPr>
        <w:t> </w:t>
      </w:r>
      <w:r>
        <w:rPr/>
        <w:t>handling</w:t>
      </w:r>
      <w:r>
        <w:rPr>
          <w:spacing w:val="-13"/>
        </w:rPr>
        <w:t> </w:t>
      </w:r>
      <w:r>
        <w:rPr/>
        <w:t>compliant</w:t>
      </w:r>
      <w:r>
        <w:rPr>
          <w:spacing w:val="-10"/>
        </w:rPr>
        <w:t> </w:t>
      </w:r>
      <w:r>
        <w:rPr/>
        <w:t>with</w:t>
      </w:r>
      <w:r>
        <w:rPr>
          <w:spacing w:val="-10"/>
        </w:rPr>
        <w:t> </w:t>
      </w:r>
      <w:r>
        <w:rPr/>
        <w:t>regulations, and environmental controls such as VOC (Volatile Organic Compound) capture systems. These measures guarantee workplace safety and sustainable operations while maintaining consistent product quality.</w:t>
      </w:r>
    </w:p>
    <w:p>
      <w:pPr>
        <w:pStyle w:val="BodyText"/>
        <w:ind w:right="42" w:firstLine="566"/>
      </w:pPr>
      <w:r>
        <w:rPr/>
        <w:t>The salaries of the Process Supervisors are included in the operating costs, reflecting competitive compensation aligned with industry standards for technical management roles in MSME manufacturing settings. This consideration ensures motivation and retention of qualified personnel critical for plant operation success.</w:t>
      </w:r>
    </w:p>
    <w:p>
      <w:pPr>
        <w:pStyle w:val="BodyText"/>
        <w:ind w:left="0"/>
        <w:jc w:val="left"/>
      </w:pPr>
    </w:p>
    <w:p>
      <w:pPr>
        <w:pStyle w:val="Heading1"/>
        <w:numPr>
          <w:ilvl w:val="1"/>
          <w:numId w:val="1"/>
        </w:numPr>
        <w:tabs>
          <w:tab w:pos="639" w:val="left" w:leader="none"/>
        </w:tabs>
        <w:spacing w:line="240" w:lineRule="auto" w:before="0" w:after="0"/>
        <w:ind w:left="639" w:right="0" w:hanging="301"/>
        <w:jc w:val="both"/>
      </w:pPr>
      <w:r>
        <w:rPr/>
        <w:t>Profitability</w:t>
      </w:r>
      <w:r>
        <w:rPr>
          <w:spacing w:val="-6"/>
        </w:rPr>
        <w:t> </w:t>
      </w:r>
      <w:r>
        <w:rPr/>
        <w:t>Analysis</w:t>
      </w:r>
      <w:r>
        <w:rPr>
          <w:spacing w:val="-7"/>
        </w:rPr>
        <w:t> </w:t>
      </w:r>
      <w:r>
        <w:rPr/>
        <w:t>of</w:t>
      </w:r>
      <w:r>
        <w:rPr>
          <w:spacing w:val="-8"/>
        </w:rPr>
        <w:t> </w:t>
      </w:r>
      <w:r>
        <w:rPr/>
        <w:t>Heavy-duty</w:t>
      </w:r>
      <w:r>
        <w:rPr>
          <w:spacing w:val="-5"/>
        </w:rPr>
        <w:t> </w:t>
      </w:r>
      <w:r>
        <w:rPr/>
        <w:t>Bio</w:t>
      </w:r>
      <w:r>
        <w:rPr>
          <w:spacing w:val="-8"/>
        </w:rPr>
        <w:t> </w:t>
      </w:r>
      <w:r>
        <w:rPr>
          <w:spacing w:val="-2"/>
        </w:rPr>
        <w:t>grease</w:t>
      </w:r>
    </w:p>
    <w:p>
      <w:pPr>
        <w:pStyle w:val="BodyText"/>
        <w:spacing w:before="1"/>
        <w:ind w:right="41" w:firstLine="566"/>
      </w:pPr>
      <w:r>
        <w:rPr/>
        <w:t>Profitability analysis consists of gross profit, NPV, IRR, ROI, PP, and BEP. The results of the profitability analysis can be seen in Table 5.</w:t>
      </w:r>
    </w:p>
    <w:p>
      <w:pPr>
        <w:pStyle w:val="BodyText"/>
        <w:spacing w:before="91"/>
        <w:ind w:left="353"/>
        <w:jc w:val="left"/>
      </w:pPr>
      <w:r>
        <w:rPr/>
        <w:br w:type="column"/>
      </w:r>
      <w:r>
        <w:rPr>
          <w:b/>
          <w:u w:val="single"/>
        </w:rPr>
        <w:t>Table</w:t>
      </w:r>
      <w:r>
        <w:rPr>
          <w:b/>
          <w:spacing w:val="-13"/>
          <w:u w:val="single"/>
        </w:rPr>
        <w:t> </w:t>
      </w:r>
      <w:r>
        <w:rPr>
          <w:b/>
          <w:u w:val="single"/>
        </w:rPr>
        <w:t>5</w:t>
      </w:r>
      <w:r>
        <w:rPr>
          <w:u w:val="single"/>
        </w:rPr>
        <w:t>.</w:t>
      </w:r>
      <w:r>
        <w:rPr>
          <w:spacing w:val="-12"/>
          <w:u w:val="single"/>
        </w:rPr>
        <w:t> </w:t>
      </w:r>
      <w:r>
        <w:rPr>
          <w:u w:val="single"/>
        </w:rPr>
        <w:t>Profitability</w:t>
      </w:r>
      <w:r>
        <w:rPr>
          <w:spacing w:val="-11"/>
          <w:u w:val="single"/>
        </w:rPr>
        <w:t> </w:t>
      </w:r>
      <w:r>
        <w:rPr>
          <w:u w:val="single"/>
        </w:rPr>
        <w:t>Analysis</w:t>
      </w:r>
      <w:r>
        <w:rPr>
          <w:spacing w:val="-12"/>
          <w:u w:val="single"/>
        </w:rPr>
        <w:t> </w:t>
      </w:r>
      <w:r>
        <w:rPr>
          <w:u w:val="single"/>
        </w:rPr>
        <w:t>of</w:t>
      </w:r>
      <w:r>
        <w:rPr>
          <w:spacing w:val="-11"/>
          <w:u w:val="single"/>
        </w:rPr>
        <w:t> </w:t>
      </w:r>
      <w:r>
        <w:rPr>
          <w:u w:val="single"/>
        </w:rPr>
        <w:t>Heavy-duty</w:t>
      </w:r>
      <w:r>
        <w:rPr>
          <w:spacing w:val="-11"/>
          <w:u w:val="single"/>
        </w:rPr>
        <w:t> </w:t>
      </w:r>
      <w:r>
        <w:rPr>
          <w:u w:val="single"/>
        </w:rPr>
        <w:t>Bio</w:t>
      </w:r>
      <w:r>
        <w:rPr>
          <w:spacing w:val="-12"/>
          <w:u w:val="single"/>
        </w:rPr>
        <w:t> </w:t>
      </w:r>
      <w:r>
        <w:rPr>
          <w:spacing w:val="-2"/>
          <w:u w:val="single"/>
        </w:rPr>
        <w:t>grease.</w:t>
      </w:r>
    </w:p>
    <w:p>
      <w:pPr>
        <w:tabs>
          <w:tab w:pos="1447" w:val="left" w:leader="none"/>
          <w:tab w:pos="3704" w:val="left" w:leader="none"/>
          <w:tab w:pos="4916" w:val="left" w:leader="none"/>
        </w:tabs>
        <w:spacing w:before="10"/>
        <w:ind w:left="353" w:right="0" w:firstLine="0"/>
        <w:jc w:val="left"/>
        <w:rPr>
          <w:b/>
          <w:sz w:val="20"/>
        </w:rPr>
      </w:pPr>
      <w:r>
        <w:rPr>
          <w:b/>
          <w:spacing w:val="70"/>
          <w:w w:val="150"/>
          <w:sz w:val="20"/>
          <w:u w:val="single"/>
        </w:rPr>
        <w:t> </w:t>
      </w:r>
      <w:r>
        <w:rPr>
          <w:b/>
          <w:spacing w:val="-5"/>
          <w:sz w:val="20"/>
          <w:u w:val="single"/>
        </w:rPr>
        <w:t>No</w:t>
      </w:r>
      <w:r>
        <w:rPr>
          <w:b/>
          <w:sz w:val="20"/>
          <w:u w:val="single"/>
        </w:rPr>
        <w:tab/>
      </w:r>
      <w:r>
        <w:rPr>
          <w:b/>
          <w:spacing w:val="-2"/>
          <w:sz w:val="20"/>
          <w:u w:val="single"/>
        </w:rPr>
        <w:t>Description</w:t>
      </w:r>
      <w:r>
        <w:rPr>
          <w:b/>
          <w:sz w:val="20"/>
          <w:u w:val="single"/>
        </w:rPr>
        <w:tab/>
      </w:r>
      <w:r>
        <w:rPr>
          <w:b/>
          <w:spacing w:val="-2"/>
          <w:sz w:val="20"/>
          <w:u w:val="single"/>
        </w:rPr>
        <w:t>Value</w:t>
      </w:r>
      <w:r>
        <w:rPr>
          <w:b/>
          <w:sz w:val="20"/>
          <w:u w:val="single"/>
        </w:rPr>
        <w:tab/>
      </w:r>
    </w:p>
    <w:p>
      <w:pPr>
        <w:pStyle w:val="ListParagraph"/>
        <w:numPr>
          <w:ilvl w:val="2"/>
          <w:numId w:val="1"/>
        </w:numPr>
        <w:tabs>
          <w:tab w:pos="1001" w:val="left" w:leader="none"/>
          <w:tab w:pos="3476" w:val="left" w:leader="none"/>
        </w:tabs>
        <w:spacing w:line="229" w:lineRule="exact" w:before="10" w:after="0"/>
        <w:ind w:left="1001" w:right="0" w:hanging="430"/>
        <w:jc w:val="left"/>
        <w:rPr>
          <w:sz w:val="20"/>
        </w:rPr>
      </w:pPr>
      <w:r>
        <w:rPr>
          <w:sz w:val="20"/>
        </w:rPr>
        <w:t>Gross</w:t>
      </w:r>
      <w:r>
        <w:rPr>
          <w:spacing w:val="-6"/>
          <w:sz w:val="20"/>
        </w:rPr>
        <w:t> </w:t>
      </w:r>
      <w:r>
        <w:rPr>
          <w:spacing w:val="-2"/>
          <w:sz w:val="20"/>
        </w:rPr>
        <w:t>Profit</w:t>
      </w:r>
      <w:r>
        <w:rPr>
          <w:sz w:val="20"/>
        </w:rPr>
        <w:tab/>
        <w:t>Rp.</w:t>
      </w:r>
      <w:r>
        <w:rPr>
          <w:spacing w:val="-2"/>
          <w:sz w:val="20"/>
        </w:rPr>
        <w:t> 977,264,626</w:t>
      </w:r>
    </w:p>
    <w:p>
      <w:pPr>
        <w:pStyle w:val="ListParagraph"/>
        <w:numPr>
          <w:ilvl w:val="2"/>
          <w:numId w:val="1"/>
        </w:numPr>
        <w:tabs>
          <w:tab w:pos="1001" w:val="left" w:leader="none"/>
          <w:tab w:pos="3377" w:val="left" w:leader="none"/>
        </w:tabs>
        <w:spacing w:line="229" w:lineRule="exact" w:before="0" w:after="0"/>
        <w:ind w:left="1001" w:right="0" w:hanging="430"/>
        <w:jc w:val="left"/>
        <w:rPr>
          <w:sz w:val="20"/>
        </w:rPr>
      </w:pPr>
      <w:r>
        <w:rPr>
          <w:sz w:val="20"/>
        </w:rPr>
        <w:t>Net</w:t>
      </w:r>
      <w:r>
        <w:rPr>
          <w:spacing w:val="-5"/>
          <w:sz w:val="20"/>
        </w:rPr>
        <w:t> </w:t>
      </w:r>
      <w:r>
        <w:rPr>
          <w:sz w:val="20"/>
        </w:rPr>
        <w:t>Present</w:t>
      </w:r>
      <w:r>
        <w:rPr>
          <w:spacing w:val="-5"/>
          <w:sz w:val="20"/>
        </w:rPr>
        <w:t> </w:t>
      </w:r>
      <w:r>
        <w:rPr>
          <w:spacing w:val="-4"/>
          <w:sz w:val="20"/>
        </w:rPr>
        <w:t>Value</w:t>
      </w:r>
      <w:r>
        <w:rPr>
          <w:sz w:val="20"/>
        </w:rPr>
        <w:tab/>
      </w:r>
      <w:r>
        <w:rPr>
          <w:spacing w:val="-2"/>
          <w:sz w:val="20"/>
        </w:rPr>
        <w:t>Rp.1,256,154,781</w:t>
      </w:r>
    </w:p>
    <w:p>
      <w:pPr>
        <w:pStyle w:val="ListParagraph"/>
        <w:numPr>
          <w:ilvl w:val="2"/>
          <w:numId w:val="1"/>
        </w:numPr>
        <w:tabs>
          <w:tab w:pos="1001" w:val="left" w:leader="none"/>
          <w:tab w:pos="4443" w:val="left" w:leader="none"/>
        </w:tabs>
        <w:spacing w:line="240" w:lineRule="auto" w:before="0" w:after="0"/>
        <w:ind w:left="1001" w:right="0" w:hanging="430"/>
        <w:jc w:val="left"/>
        <w:rPr>
          <w:sz w:val="20"/>
        </w:rPr>
      </w:pPr>
      <w:r>
        <w:rPr>
          <w:sz w:val="20"/>
        </w:rPr>
        <w:t>Internal</w:t>
      </w:r>
      <w:r>
        <w:rPr>
          <w:spacing w:val="-5"/>
          <w:sz w:val="20"/>
        </w:rPr>
        <w:t> </w:t>
      </w:r>
      <w:r>
        <w:rPr>
          <w:sz w:val="20"/>
        </w:rPr>
        <w:t>Rate</w:t>
      </w:r>
      <w:r>
        <w:rPr>
          <w:spacing w:val="-4"/>
          <w:sz w:val="20"/>
        </w:rPr>
        <w:t> </w:t>
      </w:r>
      <w:r>
        <w:rPr>
          <w:spacing w:val="-2"/>
          <w:sz w:val="20"/>
        </w:rPr>
        <w:t>Return</w:t>
      </w:r>
      <w:r>
        <w:rPr>
          <w:sz w:val="20"/>
        </w:rPr>
        <w:tab/>
      </w:r>
      <w:r>
        <w:rPr>
          <w:spacing w:val="-5"/>
          <w:sz w:val="20"/>
        </w:rPr>
        <w:t>13%</w:t>
      </w:r>
    </w:p>
    <w:p>
      <w:pPr>
        <w:pStyle w:val="ListParagraph"/>
        <w:numPr>
          <w:ilvl w:val="2"/>
          <w:numId w:val="1"/>
        </w:numPr>
        <w:tabs>
          <w:tab w:pos="1001" w:val="left" w:leader="none"/>
          <w:tab w:pos="4345" w:val="left" w:leader="none"/>
        </w:tabs>
        <w:spacing w:line="240" w:lineRule="auto" w:before="1" w:after="0"/>
        <w:ind w:left="1001" w:right="0" w:hanging="430"/>
        <w:jc w:val="left"/>
        <w:rPr>
          <w:sz w:val="20"/>
        </w:rPr>
      </w:pPr>
      <w:r>
        <w:rPr>
          <w:sz w:val="20"/>
        </w:rPr>
        <w:t>Return</w:t>
      </w:r>
      <w:r>
        <w:rPr>
          <w:spacing w:val="-3"/>
          <w:sz w:val="20"/>
        </w:rPr>
        <w:t> </w:t>
      </w:r>
      <w:r>
        <w:rPr>
          <w:sz w:val="20"/>
        </w:rPr>
        <w:t>on</w:t>
      </w:r>
      <w:r>
        <w:rPr>
          <w:spacing w:val="-2"/>
          <w:sz w:val="20"/>
        </w:rPr>
        <w:t> Investment</w:t>
      </w:r>
      <w:r>
        <w:rPr>
          <w:sz w:val="20"/>
        </w:rPr>
        <w:tab/>
      </w:r>
      <w:r>
        <w:rPr>
          <w:spacing w:val="-4"/>
          <w:sz w:val="20"/>
        </w:rPr>
        <w:t>206%</w:t>
      </w:r>
    </w:p>
    <w:p>
      <w:pPr>
        <w:pStyle w:val="ListParagraph"/>
        <w:numPr>
          <w:ilvl w:val="2"/>
          <w:numId w:val="1"/>
        </w:numPr>
        <w:tabs>
          <w:tab w:pos="1001" w:val="left" w:leader="none"/>
          <w:tab w:pos="4239" w:val="left" w:leader="none"/>
        </w:tabs>
        <w:spacing w:line="240" w:lineRule="auto" w:before="0" w:after="0"/>
        <w:ind w:left="1001" w:right="0" w:hanging="430"/>
        <w:jc w:val="left"/>
        <w:rPr>
          <w:sz w:val="20"/>
        </w:rPr>
      </w:pPr>
      <w:r>
        <w:rPr>
          <w:sz w:val="20"/>
        </w:rPr>
        <w:t>Payout</w:t>
      </w:r>
      <w:r>
        <w:rPr>
          <w:spacing w:val="-4"/>
          <w:sz w:val="20"/>
        </w:rPr>
        <w:t> Time</w:t>
      </w:r>
      <w:r>
        <w:rPr>
          <w:sz w:val="20"/>
        </w:rPr>
        <w:tab/>
        <w:t>2 </w:t>
      </w:r>
      <w:r>
        <w:rPr>
          <w:spacing w:val="-2"/>
          <w:sz w:val="20"/>
        </w:rPr>
        <w:t>years</w:t>
      </w:r>
    </w:p>
    <w:p>
      <w:pPr>
        <w:pStyle w:val="BodyText"/>
        <w:tabs>
          <w:tab w:pos="1001" w:val="left" w:leader="none"/>
          <w:tab w:pos="4443" w:val="left" w:leader="none"/>
        </w:tabs>
        <w:spacing w:before="1"/>
        <w:jc w:val="left"/>
      </w:pPr>
      <w:r>
        <w:rPr>
          <w:spacing w:val="64"/>
          <w:u w:val="single"/>
        </w:rPr>
        <w:t>  </w:t>
      </w:r>
      <w:r>
        <w:rPr>
          <w:spacing w:val="-10"/>
          <w:u w:val="single"/>
        </w:rPr>
        <w:t>6</w:t>
      </w:r>
      <w:r>
        <w:rPr>
          <w:u w:val="single"/>
        </w:rPr>
        <w:tab/>
        <w:t>Break</w:t>
      </w:r>
      <w:r>
        <w:rPr>
          <w:spacing w:val="-4"/>
          <w:u w:val="single"/>
        </w:rPr>
        <w:t> </w:t>
      </w:r>
      <w:r>
        <w:rPr>
          <w:u w:val="single"/>
        </w:rPr>
        <w:t>Even</w:t>
      </w:r>
      <w:r>
        <w:rPr>
          <w:spacing w:val="-3"/>
          <w:u w:val="single"/>
        </w:rPr>
        <w:t> </w:t>
      </w:r>
      <w:r>
        <w:rPr>
          <w:spacing w:val="-2"/>
          <w:u w:val="single"/>
        </w:rPr>
        <w:t>Point</w:t>
      </w:r>
      <w:r>
        <w:rPr>
          <w:u w:val="single"/>
        </w:rPr>
        <w:tab/>
      </w:r>
      <w:r>
        <w:rPr>
          <w:spacing w:val="-5"/>
          <w:u w:val="single"/>
        </w:rPr>
        <w:t>83%</w:t>
      </w:r>
      <w:r>
        <w:rPr>
          <w:spacing w:val="80"/>
          <w:u w:val="single"/>
        </w:rPr>
        <w:t> </w:t>
      </w:r>
    </w:p>
    <w:p>
      <w:pPr>
        <w:pStyle w:val="BodyText"/>
        <w:spacing w:before="10"/>
        <w:ind w:left="0"/>
        <w:jc w:val="left"/>
      </w:pPr>
    </w:p>
    <w:p>
      <w:pPr>
        <w:pStyle w:val="BodyText"/>
        <w:ind w:left="353" w:right="49" w:firstLine="566"/>
      </w:pPr>
      <w:r>
        <w:rPr/>
        <w:t>The calculated gross revenue obtained is Rp. 977,264,626 on a pilot scale for an area of 200 m². According to Soekartawi (1995), net income is revenue minus Total Production Cost (TPC), including variable and fixed costs. Based on Law Number 36 of 1983 on Income Tax and Law Number 16 of 2009 on General Provisions and Tax Procedures, the income tax calculation</w:t>
      </w:r>
      <w:r>
        <w:rPr>
          <w:spacing w:val="-13"/>
        </w:rPr>
        <w:t> </w:t>
      </w:r>
      <w:r>
        <w:rPr/>
        <w:t>is</w:t>
      </w:r>
      <w:r>
        <w:rPr>
          <w:spacing w:val="-12"/>
        </w:rPr>
        <w:t> </w:t>
      </w:r>
      <w:r>
        <w:rPr/>
        <w:t>22%</w:t>
      </w:r>
      <w:r>
        <w:rPr>
          <w:spacing w:val="-13"/>
        </w:rPr>
        <w:t> </w:t>
      </w:r>
      <w:r>
        <w:rPr/>
        <w:t>of</w:t>
      </w:r>
      <w:r>
        <w:rPr>
          <w:spacing w:val="-12"/>
        </w:rPr>
        <w:t> </w:t>
      </w:r>
      <w:r>
        <w:rPr/>
        <w:t>taxable</w:t>
      </w:r>
      <w:r>
        <w:rPr>
          <w:spacing w:val="-13"/>
        </w:rPr>
        <w:t> </w:t>
      </w:r>
      <w:r>
        <w:rPr/>
        <w:t>income,</w:t>
      </w:r>
      <w:r>
        <w:rPr>
          <w:spacing w:val="-12"/>
        </w:rPr>
        <w:t> </w:t>
      </w:r>
      <w:r>
        <w:rPr/>
        <w:t>not</w:t>
      </w:r>
      <w:r>
        <w:rPr>
          <w:spacing w:val="-13"/>
        </w:rPr>
        <w:t> </w:t>
      </w:r>
      <w:r>
        <w:rPr/>
        <w:t>directly</w:t>
      </w:r>
      <w:r>
        <w:rPr>
          <w:spacing w:val="-12"/>
        </w:rPr>
        <w:t> </w:t>
      </w:r>
      <w:r>
        <w:rPr/>
        <w:t>of</w:t>
      </w:r>
      <w:r>
        <w:rPr>
          <w:spacing w:val="-13"/>
        </w:rPr>
        <w:t> </w:t>
      </w:r>
      <w:r>
        <w:rPr/>
        <w:t>gross </w:t>
      </w:r>
      <w:r>
        <w:rPr>
          <w:spacing w:val="-2"/>
        </w:rPr>
        <w:t>profit.</w:t>
      </w:r>
    </w:p>
    <w:p>
      <w:pPr>
        <w:pStyle w:val="BodyText"/>
        <w:ind w:left="353" w:right="49" w:firstLine="566"/>
      </w:pPr>
      <w:r>
        <w:rPr/>
        <w:t>The NPV value is calculated by discounting cash flows over 10 years using an inflation rate of 4% and an interest</w:t>
      </w:r>
      <w:r>
        <w:rPr>
          <w:spacing w:val="-13"/>
        </w:rPr>
        <w:t> </w:t>
      </w:r>
      <w:r>
        <w:rPr/>
        <w:t>rate</w:t>
      </w:r>
      <w:r>
        <w:rPr>
          <w:spacing w:val="-11"/>
        </w:rPr>
        <w:t> </w:t>
      </w:r>
      <w:r>
        <w:rPr/>
        <w:t>of</w:t>
      </w:r>
      <w:r>
        <w:rPr>
          <w:spacing w:val="-11"/>
        </w:rPr>
        <w:t> </w:t>
      </w:r>
      <w:r>
        <w:rPr/>
        <w:t>6%</w:t>
      </w:r>
      <w:r>
        <w:rPr>
          <w:spacing w:val="-13"/>
        </w:rPr>
        <w:t> </w:t>
      </w:r>
      <w:r>
        <w:rPr/>
        <w:t>per</w:t>
      </w:r>
      <w:r>
        <w:rPr>
          <w:spacing w:val="-10"/>
        </w:rPr>
        <w:t> </w:t>
      </w:r>
      <w:r>
        <w:rPr/>
        <w:t>year.</w:t>
      </w:r>
      <w:r>
        <w:rPr>
          <w:spacing w:val="-11"/>
        </w:rPr>
        <w:t> </w:t>
      </w:r>
      <w:r>
        <w:rPr/>
        <w:t>Were</w:t>
      </w:r>
      <w:r>
        <w:rPr>
          <w:spacing w:val="-11"/>
        </w:rPr>
        <w:t> </w:t>
      </w:r>
      <w:r>
        <w:rPr/>
        <w:t>based</w:t>
      </w:r>
      <w:r>
        <w:rPr>
          <w:spacing w:val="-10"/>
        </w:rPr>
        <w:t> </w:t>
      </w:r>
      <w:r>
        <w:rPr/>
        <w:t>on</w:t>
      </w:r>
      <w:r>
        <w:rPr>
          <w:spacing w:val="-10"/>
        </w:rPr>
        <w:t> </w:t>
      </w:r>
      <w:r>
        <w:rPr/>
        <w:t>historical</w:t>
      </w:r>
      <w:r>
        <w:rPr>
          <w:spacing w:val="-11"/>
        </w:rPr>
        <w:t> </w:t>
      </w:r>
      <w:r>
        <w:rPr/>
        <w:t>data from Bank Indonesia, representing conservative estimates that reflect a “bad case” or lower-bound scenario of Indonesia’s macroeconomic conditions. The NPV value is Rp. 1,256,154,781, meaning this plant is feasible because the NPV is positive. According to Hendra et al. (2024), an NPV greater than zero indicates that the plant is feasible for operation. The IRR value obtained from the calculation is 13%, which is higher than the bank interest rate of 6%. Therefore, in terms of the IRR indicator, this plant is feasible to establish. According</w:t>
      </w:r>
      <w:r>
        <w:rPr>
          <w:spacing w:val="-4"/>
        </w:rPr>
        <w:t> </w:t>
      </w:r>
      <w:r>
        <w:rPr/>
        <w:t>to</w:t>
      </w:r>
      <w:r>
        <w:rPr>
          <w:spacing w:val="-5"/>
        </w:rPr>
        <w:t> </w:t>
      </w:r>
      <w:r>
        <w:rPr/>
        <w:t>Rani</w:t>
      </w:r>
      <w:r>
        <w:rPr>
          <w:spacing w:val="-6"/>
        </w:rPr>
        <w:t> </w:t>
      </w:r>
      <w:r>
        <w:rPr/>
        <w:t>et</w:t>
      </w:r>
      <w:r>
        <w:rPr>
          <w:spacing w:val="-5"/>
        </w:rPr>
        <w:t> </w:t>
      </w:r>
      <w:r>
        <w:rPr/>
        <w:t>al.</w:t>
      </w:r>
      <w:r>
        <w:rPr>
          <w:spacing w:val="-5"/>
        </w:rPr>
        <w:t> </w:t>
      </w:r>
      <w:r>
        <w:rPr/>
        <w:t>(2024),</w:t>
      </w:r>
      <w:r>
        <w:rPr>
          <w:spacing w:val="-5"/>
        </w:rPr>
        <w:t> </w:t>
      </w:r>
      <w:r>
        <w:rPr/>
        <w:t>if</w:t>
      </w:r>
      <w:r>
        <w:rPr>
          <w:spacing w:val="-5"/>
        </w:rPr>
        <w:t> </w:t>
      </w:r>
      <w:r>
        <w:rPr/>
        <w:t>the</w:t>
      </w:r>
      <w:r>
        <w:rPr>
          <w:spacing w:val="-5"/>
        </w:rPr>
        <w:t> </w:t>
      </w:r>
      <w:r>
        <w:rPr/>
        <w:t>IRR</w:t>
      </w:r>
      <w:r>
        <w:rPr>
          <w:spacing w:val="-6"/>
        </w:rPr>
        <w:t> </w:t>
      </w:r>
      <w:r>
        <w:rPr/>
        <w:t>is</w:t>
      </w:r>
      <w:r>
        <w:rPr>
          <w:spacing w:val="-6"/>
        </w:rPr>
        <w:t> </w:t>
      </w:r>
      <w:r>
        <w:rPr/>
        <w:t>greater</w:t>
      </w:r>
      <w:r>
        <w:rPr>
          <w:spacing w:val="-5"/>
        </w:rPr>
        <w:t> </w:t>
      </w:r>
      <w:r>
        <w:rPr/>
        <w:t>than the bank interest rate, the business or plant is viable for continuation and development.</w:t>
      </w:r>
    </w:p>
    <w:p>
      <w:pPr>
        <w:pStyle w:val="BodyText"/>
        <w:ind w:left="353" w:right="49" w:firstLine="566"/>
      </w:pPr>
      <w:r>
        <w:rPr/>
        <w:t>The ROI value is calculated by comparing net income to TCI. The ROI value is 206%, making this project</w:t>
      </w:r>
      <w:r>
        <w:rPr>
          <w:spacing w:val="-1"/>
        </w:rPr>
        <w:t> </w:t>
      </w:r>
      <w:r>
        <w:rPr/>
        <w:t>highly</w:t>
      </w:r>
      <w:r>
        <w:rPr>
          <w:spacing w:val="-3"/>
        </w:rPr>
        <w:t> </w:t>
      </w:r>
      <w:r>
        <w:rPr/>
        <w:t>profitable</w:t>
      </w:r>
      <w:r>
        <w:rPr>
          <w:spacing w:val="-2"/>
        </w:rPr>
        <w:t> </w:t>
      </w:r>
      <w:r>
        <w:rPr/>
        <w:t>as</w:t>
      </w:r>
      <w:r>
        <w:rPr>
          <w:spacing w:val="-2"/>
        </w:rPr>
        <w:t> </w:t>
      </w:r>
      <w:r>
        <w:rPr/>
        <w:t>it</w:t>
      </w:r>
      <w:r>
        <w:rPr>
          <w:spacing w:val="-5"/>
        </w:rPr>
        <w:t> </w:t>
      </w:r>
      <w:r>
        <w:rPr/>
        <w:t>is</w:t>
      </w:r>
      <w:r>
        <w:rPr>
          <w:spacing w:val="-3"/>
        </w:rPr>
        <w:t> </w:t>
      </w:r>
      <w:r>
        <w:rPr/>
        <w:t>well</w:t>
      </w:r>
      <w:r>
        <w:rPr>
          <w:spacing w:val="-2"/>
        </w:rPr>
        <w:t> </w:t>
      </w:r>
      <w:r>
        <w:rPr/>
        <w:t>above</w:t>
      </w:r>
      <w:r>
        <w:rPr>
          <w:spacing w:val="-4"/>
        </w:rPr>
        <w:t> </w:t>
      </w:r>
      <w:r>
        <w:rPr/>
        <w:t>the</w:t>
      </w:r>
      <w:r>
        <w:rPr>
          <w:spacing w:val="-4"/>
        </w:rPr>
        <w:t> </w:t>
      </w:r>
      <w:r>
        <w:rPr/>
        <w:t>minimum ROI</w:t>
      </w:r>
      <w:r>
        <w:rPr>
          <w:spacing w:val="-3"/>
        </w:rPr>
        <w:t> </w:t>
      </w:r>
      <w:r>
        <w:rPr/>
        <w:t>for</w:t>
      </w:r>
      <w:r>
        <w:rPr>
          <w:spacing w:val="-4"/>
        </w:rPr>
        <w:t> </w:t>
      </w:r>
      <w:r>
        <w:rPr/>
        <w:t>a</w:t>
      </w:r>
      <w:r>
        <w:rPr>
          <w:spacing w:val="-4"/>
        </w:rPr>
        <w:t> </w:t>
      </w:r>
      <w:r>
        <w:rPr/>
        <w:t>low-risk</w:t>
      </w:r>
      <w:r>
        <w:rPr>
          <w:spacing w:val="-3"/>
        </w:rPr>
        <w:t> </w:t>
      </w:r>
      <w:r>
        <w:rPr/>
        <w:t>chemical</w:t>
      </w:r>
      <w:r>
        <w:rPr>
          <w:spacing w:val="-4"/>
        </w:rPr>
        <w:t> </w:t>
      </w:r>
      <w:r>
        <w:rPr/>
        <w:t>industry,</w:t>
      </w:r>
      <w:r>
        <w:rPr>
          <w:spacing w:val="-4"/>
        </w:rPr>
        <w:t> </w:t>
      </w:r>
      <w:r>
        <w:rPr/>
        <w:t>which</w:t>
      </w:r>
      <w:r>
        <w:rPr>
          <w:spacing w:val="-3"/>
        </w:rPr>
        <w:t> </w:t>
      </w:r>
      <w:r>
        <w:rPr/>
        <w:t>is</w:t>
      </w:r>
      <w:r>
        <w:rPr>
          <w:spacing w:val="-5"/>
        </w:rPr>
        <w:t> </w:t>
      </w:r>
      <w:r>
        <w:rPr/>
        <w:t>only</w:t>
      </w:r>
      <w:r>
        <w:rPr>
          <w:spacing w:val="-3"/>
        </w:rPr>
        <w:t> </w:t>
      </w:r>
      <w:r>
        <w:rPr/>
        <w:t>11% (Aries &amp; Newton, 1995), thus making the plant feasible to establish. The ROI value is high because the total revenue is higher than the CapEx.</w:t>
      </w:r>
    </w:p>
    <w:p>
      <w:pPr>
        <w:pStyle w:val="BodyText"/>
        <w:spacing w:before="1"/>
        <w:ind w:left="353" w:right="49" w:firstLine="566"/>
      </w:pPr>
      <w:r>
        <w:rPr/>
        <w:t>Next, Payout Time measures the time required to recover the investment capital. The calculated Payout Time value is 2 years. Aries &amp; Newton (1995) explain that</w:t>
      </w:r>
      <w:r>
        <w:rPr>
          <w:spacing w:val="-10"/>
        </w:rPr>
        <w:t> </w:t>
      </w:r>
      <w:r>
        <w:rPr/>
        <w:t>the</w:t>
      </w:r>
      <w:r>
        <w:rPr>
          <w:spacing w:val="-9"/>
        </w:rPr>
        <w:t> </w:t>
      </w:r>
      <w:r>
        <w:rPr/>
        <w:t>maximum</w:t>
      </w:r>
      <w:r>
        <w:rPr>
          <w:spacing w:val="-9"/>
        </w:rPr>
        <w:t> </w:t>
      </w:r>
      <w:r>
        <w:rPr/>
        <w:t>Payout</w:t>
      </w:r>
      <w:r>
        <w:rPr>
          <w:spacing w:val="-10"/>
        </w:rPr>
        <w:t> </w:t>
      </w:r>
      <w:r>
        <w:rPr/>
        <w:t>Time</w:t>
      </w:r>
      <w:r>
        <w:rPr>
          <w:spacing w:val="-9"/>
        </w:rPr>
        <w:t> </w:t>
      </w:r>
      <w:r>
        <w:rPr/>
        <w:t>for</w:t>
      </w:r>
      <w:r>
        <w:rPr>
          <w:spacing w:val="-9"/>
        </w:rPr>
        <w:t> </w:t>
      </w:r>
      <w:r>
        <w:rPr/>
        <w:t>the</w:t>
      </w:r>
      <w:r>
        <w:rPr>
          <w:spacing w:val="-9"/>
        </w:rPr>
        <w:t> </w:t>
      </w:r>
      <w:r>
        <w:rPr/>
        <w:t>low-risk</w:t>
      </w:r>
      <w:r>
        <w:rPr>
          <w:spacing w:val="-9"/>
        </w:rPr>
        <w:t> </w:t>
      </w:r>
      <w:r>
        <w:rPr/>
        <w:t>chemical industry category is 5 years, and Kusnarjo (2010) states that</w:t>
      </w:r>
      <w:r>
        <w:rPr>
          <w:spacing w:val="3"/>
        </w:rPr>
        <w:t> </w:t>
      </w:r>
      <w:r>
        <w:rPr/>
        <w:t>the</w:t>
      </w:r>
      <w:r>
        <w:rPr>
          <w:spacing w:val="3"/>
        </w:rPr>
        <w:t> </w:t>
      </w:r>
      <w:r>
        <w:rPr/>
        <w:t>fastest</w:t>
      </w:r>
      <w:r>
        <w:rPr>
          <w:spacing w:val="3"/>
        </w:rPr>
        <w:t> </w:t>
      </w:r>
      <w:r>
        <w:rPr/>
        <w:t>Payout</w:t>
      </w:r>
      <w:r>
        <w:rPr>
          <w:spacing w:val="3"/>
        </w:rPr>
        <w:t> </w:t>
      </w:r>
      <w:r>
        <w:rPr/>
        <w:t>Time</w:t>
      </w:r>
      <w:r>
        <w:rPr>
          <w:spacing w:val="3"/>
        </w:rPr>
        <w:t> </w:t>
      </w:r>
      <w:r>
        <w:rPr/>
        <w:t>is</w:t>
      </w:r>
      <w:r>
        <w:rPr>
          <w:spacing w:val="3"/>
        </w:rPr>
        <w:t> </w:t>
      </w:r>
      <w:r>
        <w:rPr/>
        <w:t>2</w:t>
      </w:r>
      <w:r>
        <w:rPr>
          <w:spacing w:val="4"/>
        </w:rPr>
        <w:t> </w:t>
      </w:r>
      <w:r>
        <w:rPr/>
        <w:t>years</w:t>
      </w:r>
      <w:r>
        <w:rPr>
          <w:spacing w:val="2"/>
        </w:rPr>
        <w:t> </w:t>
      </w:r>
      <w:r>
        <w:rPr/>
        <w:t>and</w:t>
      </w:r>
      <w:r>
        <w:rPr>
          <w:spacing w:val="4"/>
        </w:rPr>
        <w:t> </w:t>
      </w:r>
      <w:r>
        <w:rPr/>
        <w:t>the</w:t>
      </w:r>
      <w:r>
        <w:rPr>
          <w:spacing w:val="3"/>
        </w:rPr>
        <w:t> </w:t>
      </w:r>
      <w:r>
        <w:rPr/>
        <w:t>longest</w:t>
      </w:r>
      <w:r>
        <w:rPr>
          <w:spacing w:val="4"/>
        </w:rPr>
        <w:t> </w:t>
      </w:r>
      <w:r>
        <w:rPr>
          <w:spacing w:val="-5"/>
        </w:rPr>
        <w:t>is</w:t>
      </w:r>
    </w:p>
    <w:p>
      <w:pPr>
        <w:pStyle w:val="BodyText"/>
        <w:ind w:left="353" w:right="55"/>
      </w:pPr>
      <w:r>
        <w:rPr/>
        <w:t>5 years. The calculated PP value remains below the maximum limit, confirming the plant's feasibility.</w:t>
      </w:r>
    </w:p>
    <w:p>
      <w:pPr>
        <w:pStyle w:val="BodyText"/>
        <w:spacing w:before="1"/>
        <w:ind w:left="353" w:right="50" w:firstLine="566"/>
      </w:pPr>
      <w:r>
        <w:rPr/>
        <w:t>The BEP is calculated as the point where total revenue equals total cost. The BEP value determines the minimum</w:t>
      </w:r>
      <w:r>
        <w:rPr>
          <w:spacing w:val="-13"/>
        </w:rPr>
        <w:t> </w:t>
      </w:r>
      <w:r>
        <w:rPr/>
        <w:t>working</w:t>
      </w:r>
      <w:r>
        <w:rPr>
          <w:spacing w:val="-12"/>
        </w:rPr>
        <w:t> </w:t>
      </w:r>
      <w:r>
        <w:rPr/>
        <w:t>capacity</w:t>
      </w:r>
      <w:r>
        <w:rPr>
          <w:spacing w:val="-13"/>
        </w:rPr>
        <w:t> </w:t>
      </w:r>
      <w:r>
        <w:rPr/>
        <w:t>required</w:t>
      </w:r>
      <w:r>
        <w:rPr>
          <w:spacing w:val="-12"/>
        </w:rPr>
        <w:t> </w:t>
      </w:r>
      <w:r>
        <w:rPr/>
        <w:t>for</w:t>
      </w:r>
      <w:r>
        <w:rPr>
          <w:spacing w:val="-13"/>
        </w:rPr>
        <w:t> </w:t>
      </w:r>
      <w:r>
        <w:rPr/>
        <w:t>the</w:t>
      </w:r>
      <w:r>
        <w:rPr>
          <w:spacing w:val="-12"/>
        </w:rPr>
        <w:t> </w:t>
      </w:r>
      <w:r>
        <w:rPr/>
        <w:t>plant</w:t>
      </w:r>
      <w:r>
        <w:rPr>
          <w:spacing w:val="-13"/>
        </w:rPr>
        <w:t> </w:t>
      </w:r>
      <w:r>
        <w:rPr/>
        <w:t>to</w:t>
      </w:r>
      <w:r>
        <w:rPr>
          <w:spacing w:val="-12"/>
        </w:rPr>
        <w:t> </w:t>
      </w:r>
      <w:r>
        <w:rPr/>
        <w:t>avoid losses (Ekawati et al., 2020). The Break-Even Point occurs</w:t>
      </w:r>
      <w:r>
        <w:rPr>
          <w:spacing w:val="29"/>
        </w:rPr>
        <w:t>  </w:t>
      </w:r>
      <w:r>
        <w:rPr/>
        <w:t>at</w:t>
      </w:r>
      <w:r>
        <w:rPr>
          <w:spacing w:val="30"/>
        </w:rPr>
        <w:t>  </w:t>
      </w:r>
      <w:r>
        <w:rPr/>
        <w:t>a</w:t>
      </w:r>
      <w:r>
        <w:rPr>
          <w:spacing w:val="30"/>
        </w:rPr>
        <w:t>  </w:t>
      </w:r>
      <w:r>
        <w:rPr/>
        <w:t>capacity</w:t>
      </w:r>
      <w:r>
        <w:rPr>
          <w:spacing w:val="28"/>
        </w:rPr>
        <w:t>  </w:t>
      </w:r>
      <w:r>
        <w:rPr/>
        <w:t>of</w:t>
      </w:r>
      <w:r>
        <w:rPr>
          <w:spacing w:val="29"/>
        </w:rPr>
        <w:t>  </w:t>
      </w:r>
      <w:r>
        <w:rPr/>
        <w:t>36</w:t>
      </w:r>
      <w:r>
        <w:rPr>
          <w:spacing w:val="30"/>
        </w:rPr>
        <w:t>  </w:t>
      </w:r>
      <w:r>
        <w:rPr/>
        <w:t>tons/year.</w:t>
      </w:r>
      <w:r>
        <w:rPr>
          <w:spacing w:val="29"/>
        </w:rPr>
        <w:t>  </w:t>
      </w:r>
      <w:r>
        <w:rPr/>
        <w:t>Based</w:t>
      </w:r>
      <w:r>
        <w:rPr>
          <w:spacing w:val="33"/>
        </w:rPr>
        <w:t>  </w:t>
      </w:r>
      <w:r>
        <w:rPr>
          <w:spacing w:val="-5"/>
        </w:rPr>
        <w:t>on</w:t>
      </w:r>
    </w:p>
    <w:p>
      <w:pPr>
        <w:pStyle w:val="BodyText"/>
        <w:spacing w:after="0"/>
        <w:sectPr>
          <w:type w:val="continuous"/>
          <w:pgSz w:w="12240" w:h="15840"/>
          <w:pgMar w:header="851" w:footer="1027" w:top="640" w:bottom="1180" w:left="1080" w:right="1080"/>
          <w:cols w:num="2" w:equalWidth="0">
            <w:col w:w="4944" w:space="166"/>
            <w:col w:w="4970"/>
          </w:cols>
        </w:sectPr>
      </w:pPr>
    </w:p>
    <w:p>
      <w:pPr>
        <w:pStyle w:val="BodyText"/>
        <w:spacing w:before="219"/>
        <w:ind w:left="0"/>
        <w:jc w:val="left"/>
      </w:pPr>
    </w:p>
    <w:p>
      <w:pPr>
        <w:pStyle w:val="BodyText"/>
        <w:spacing w:after="0"/>
        <w:jc w:val="left"/>
        <w:sectPr>
          <w:pgSz w:w="12240" w:h="15840"/>
          <w:pgMar w:header="851" w:footer="1027" w:top="1160" w:bottom="1220" w:left="1080" w:right="1080"/>
        </w:sectPr>
      </w:pPr>
    </w:p>
    <w:p>
      <w:pPr>
        <w:pStyle w:val="BodyText"/>
        <w:spacing w:before="91"/>
        <w:ind w:right="39"/>
      </w:pPr>
      <w:r>
        <w:rPr/>
        <w:t>calculations, the BEP is reached at 83% of production capacity as shown in Figure 3. In other words, at this production level, total revenue equals total production cost, meaning the company neither gains nor loses money. If the plant operates above 83% of its installed production capacity, it begins to generate profit. The higher the utilization above this break-even point, the greater the potential</w:t>
      </w:r>
      <w:r>
        <w:rPr>
          <w:spacing w:val="-1"/>
        </w:rPr>
        <w:t> </w:t>
      </w:r>
      <w:r>
        <w:rPr/>
        <w:t>profit. Therefore, this</w:t>
      </w:r>
      <w:r>
        <w:rPr>
          <w:spacing w:val="-1"/>
        </w:rPr>
        <w:t> </w:t>
      </w:r>
      <w:r>
        <w:rPr/>
        <w:t>relatively low BEP value (83% of capacity utilization) indicates substantial</w:t>
      </w:r>
      <w:r>
        <w:rPr>
          <w:spacing w:val="-12"/>
        </w:rPr>
        <w:t> </w:t>
      </w:r>
      <w:r>
        <w:rPr/>
        <w:t>profit</w:t>
      </w:r>
      <w:r>
        <w:rPr>
          <w:spacing w:val="-11"/>
        </w:rPr>
        <w:t> </w:t>
      </w:r>
      <w:r>
        <w:rPr/>
        <w:t>potential,</w:t>
      </w:r>
      <w:r>
        <w:rPr>
          <w:spacing w:val="-11"/>
        </w:rPr>
        <w:t> </w:t>
      </w:r>
      <w:r>
        <w:rPr/>
        <w:t>assuming</w:t>
      </w:r>
      <w:r>
        <w:rPr>
          <w:spacing w:val="-11"/>
        </w:rPr>
        <w:t> </w:t>
      </w:r>
      <w:r>
        <w:rPr/>
        <w:t>that</w:t>
      </w:r>
      <w:r>
        <w:rPr>
          <w:spacing w:val="-13"/>
        </w:rPr>
        <w:t> </w:t>
      </w:r>
      <w:r>
        <w:rPr/>
        <w:t>market</w:t>
      </w:r>
      <w:r>
        <w:rPr>
          <w:spacing w:val="-12"/>
        </w:rPr>
        <w:t> </w:t>
      </w:r>
      <w:r>
        <w:rPr/>
        <w:t>demand supports higher output and production costs remain </w:t>
      </w:r>
      <w:r>
        <w:rPr>
          <w:spacing w:val="-2"/>
        </w:rPr>
        <w:t>controlled.</w:t>
      </w:r>
    </w:p>
    <w:p>
      <w:pPr>
        <w:pStyle w:val="BodyText"/>
        <w:ind w:right="40" w:firstLine="566"/>
      </w:pPr>
      <w:r>
        <w:rPr/>
        <w:t>Moreover,</w:t>
      </w:r>
      <w:r>
        <w:rPr>
          <w:spacing w:val="-13"/>
        </w:rPr>
        <w:t> </w:t>
      </w:r>
      <w:r>
        <w:rPr/>
        <w:t>the</w:t>
      </w:r>
      <w:r>
        <w:rPr>
          <w:spacing w:val="-12"/>
        </w:rPr>
        <w:t> </w:t>
      </w:r>
      <w:r>
        <w:rPr/>
        <w:t>shutdown</w:t>
      </w:r>
      <w:r>
        <w:rPr>
          <w:spacing w:val="-13"/>
        </w:rPr>
        <w:t> </w:t>
      </w:r>
      <w:r>
        <w:rPr/>
        <w:t>point</w:t>
      </w:r>
      <w:r>
        <w:rPr>
          <w:spacing w:val="-12"/>
        </w:rPr>
        <w:t> </w:t>
      </w:r>
      <w:r>
        <w:rPr/>
        <w:t>is</w:t>
      </w:r>
      <w:r>
        <w:rPr>
          <w:spacing w:val="-13"/>
        </w:rPr>
        <w:t> </w:t>
      </w:r>
      <w:r>
        <w:rPr/>
        <w:t>calculated</w:t>
      </w:r>
      <w:r>
        <w:rPr>
          <w:spacing w:val="-12"/>
        </w:rPr>
        <w:t> </w:t>
      </w:r>
      <w:r>
        <w:rPr/>
        <w:t>at</w:t>
      </w:r>
      <w:r>
        <w:rPr>
          <w:spacing w:val="-13"/>
        </w:rPr>
        <w:t> </w:t>
      </w:r>
      <w:r>
        <w:rPr/>
        <w:t>35% of</w:t>
      </w:r>
      <w:r>
        <w:rPr>
          <w:spacing w:val="-13"/>
        </w:rPr>
        <w:t> </w:t>
      </w:r>
      <w:r>
        <w:rPr/>
        <w:t>the</w:t>
      </w:r>
      <w:r>
        <w:rPr>
          <w:spacing w:val="-12"/>
        </w:rPr>
        <w:t> </w:t>
      </w:r>
      <w:r>
        <w:rPr/>
        <w:t>installed</w:t>
      </w:r>
      <w:r>
        <w:rPr>
          <w:spacing w:val="-13"/>
        </w:rPr>
        <w:t> </w:t>
      </w:r>
      <w:r>
        <w:rPr/>
        <w:t>production</w:t>
      </w:r>
      <w:r>
        <w:rPr>
          <w:spacing w:val="-12"/>
        </w:rPr>
        <w:t> </w:t>
      </w:r>
      <w:r>
        <w:rPr/>
        <w:t>capacity.</w:t>
      </w:r>
      <w:r>
        <w:rPr>
          <w:spacing w:val="-13"/>
        </w:rPr>
        <w:t> </w:t>
      </w:r>
      <w:r>
        <w:rPr/>
        <w:t>This</w:t>
      </w:r>
      <w:r>
        <w:rPr>
          <w:spacing w:val="-12"/>
        </w:rPr>
        <w:t> </w:t>
      </w:r>
      <w:r>
        <w:rPr/>
        <w:t>means</w:t>
      </w:r>
      <w:r>
        <w:rPr>
          <w:spacing w:val="-13"/>
        </w:rPr>
        <w:t> </w:t>
      </w:r>
      <w:r>
        <w:rPr/>
        <w:t>that</w:t>
      </w:r>
      <w:r>
        <w:rPr>
          <w:spacing w:val="-12"/>
        </w:rPr>
        <w:t> </w:t>
      </w:r>
      <w:r>
        <w:rPr/>
        <w:t>if</w:t>
      </w:r>
      <w:r>
        <w:rPr>
          <w:spacing w:val="-13"/>
        </w:rPr>
        <w:t> </w:t>
      </w:r>
      <w:r>
        <w:rPr/>
        <w:t>the plant</w:t>
      </w:r>
      <w:r>
        <w:rPr>
          <w:spacing w:val="-13"/>
        </w:rPr>
        <w:t> </w:t>
      </w:r>
      <w:r>
        <w:rPr/>
        <w:t>operates</w:t>
      </w:r>
      <w:r>
        <w:rPr>
          <w:spacing w:val="-12"/>
        </w:rPr>
        <w:t> </w:t>
      </w:r>
      <w:r>
        <w:rPr/>
        <w:t>below</w:t>
      </w:r>
      <w:r>
        <w:rPr>
          <w:spacing w:val="-13"/>
        </w:rPr>
        <w:t> </w:t>
      </w:r>
      <w:r>
        <w:rPr/>
        <w:t>this</w:t>
      </w:r>
      <w:r>
        <w:rPr>
          <w:spacing w:val="-12"/>
        </w:rPr>
        <w:t> </w:t>
      </w:r>
      <w:r>
        <w:rPr/>
        <w:t>threshold,</w:t>
      </w:r>
      <w:r>
        <w:rPr>
          <w:spacing w:val="-13"/>
        </w:rPr>
        <w:t> </w:t>
      </w:r>
      <w:r>
        <w:rPr/>
        <w:t>the</w:t>
      </w:r>
      <w:r>
        <w:rPr>
          <w:spacing w:val="-12"/>
        </w:rPr>
        <w:t> </w:t>
      </w:r>
      <w:r>
        <w:rPr/>
        <w:t>revenue</w:t>
      </w:r>
      <w:r>
        <w:rPr>
          <w:spacing w:val="-13"/>
        </w:rPr>
        <w:t> </w:t>
      </w:r>
      <w:r>
        <w:rPr/>
        <w:t>generated would not even be sufficient to cover the variable costs, leading to greater financial losses the longer it continues operating. Hence,</w:t>
      </w:r>
      <w:r>
        <w:rPr>
          <w:spacing w:val="-1"/>
        </w:rPr>
        <w:t> </w:t>
      </w:r>
      <w:r>
        <w:rPr/>
        <w:t>production</w:t>
      </w:r>
      <w:r>
        <w:rPr>
          <w:spacing w:val="-2"/>
        </w:rPr>
        <w:t> </w:t>
      </w:r>
      <w:r>
        <w:rPr/>
        <w:t>should only</w:t>
      </w:r>
      <w:r>
        <w:rPr>
          <w:spacing w:val="-1"/>
        </w:rPr>
        <w:t> </w:t>
      </w:r>
      <w:r>
        <w:rPr/>
        <w:t>be sustained if capacity utilization remains above this shutdown level.</w:t>
      </w:r>
    </w:p>
    <w:p>
      <w:pPr>
        <w:pStyle w:val="BodyText"/>
        <w:spacing w:before="61"/>
        <w:ind w:left="0"/>
        <w:jc w:val="left"/>
      </w:pPr>
      <w:r>
        <w:rPr/>
        <mc:AlternateContent>
          <mc:Choice Requires="wps">
            <w:drawing>
              <wp:anchor distT="0" distB="0" distL="0" distR="0" allowOverlap="1" layoutInCell="1" locked="0" behindDoc="1" simplePos="0" relativeHeight="487597056">
                <wp:simplePos x="0" y="0"/>
                <wp:positionH relativeFrom="page">
                  <wp:posOffset>1007505</wp:posOffset>
                </wp:positionH>
                <wp:positionV relativeFrom="paragraph">
                  <wp:posOffset>200439</wp:posOffset>
                </wp:positionV>
                <wp:extent cx="2729230" cy="170624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2729230" cy="1706245"/>
                          <a:chExt cx="2729230" cy="1706245"/>
                        </a:xfrm>
                      </wpg:grpSpPr>
                      <pic:pic>
                        <pic:nvPicPr>
                          <pic:cNvPr id="71" name="Image 71"/>
                          <pic:cNvPicPr/>
                        </pic:nvPicPr>
                        <pic:blipFill>
                          <a:blip r:embed="rId13" cstate="print"/>
                          <a:stretch>
                            <a:fillRect/>
                          </a:stretch>
                        </pic:blipFill>
                        <pic:spPr>
                          <a:xfrm>
                            <a:off x="0" y="0"/>
                            <a:ext cx="2728690" cy="1705725"/>
                          </a:xfrm>
                          <a:prstGeom prst="rect">
                            <a:avLst/>
                          </a:prstGeom>
                        </pic:spPr>
                      </pic:pic>
                      <pic:pic>
                        <pic:nvPicPr>
                          <pic:cNvPr id="72" name="Image 72"/>
                          <pic:cNvPicPr/>
                        </pic:nvPicPr>
                        <pic:blipFill>
                          <a:blip r:embed="rId14" cstate="print"/>
                          <a:stretch>
                            <a:fillRect/>
                          </a:stretch>
                        </pic:blipFill>
                        <pic:spPr>
                          <a:xfrm>
                            <a:off x="1116569" y="1350897"/>
                            <a:ext cx="86360" cy="98171"/>
                          </a:xfrm>
                          <a:prstGeom prst="rect">
                            <a:avLst/>
                          </a:prstGeom>
                        </pic:spPr>
                      </pic:pic>
                      <pic:pic>
                        <pic:nvPicPr>
                          <pic:cNvPr id="73" name="Image 73"/>
                          <pic:cNvPicPr/>
                        </pic:nvPicPr>
                        <pic:blipFill>
                          <a:blip r:embed="rId15" cstate="print"/>
                          <a:stretch>
                            <a:fillRect/>
                          </a:stretch>
                        </pic:blipFill>
                        <pic:spPr>
                          <a:xfrm>
                            <a:off x="1730614" y="1350897"/>
                            <a:ext cx="86360" cy="98171"/>
                          </a:xfrm>
                          <a:prstGeom prst="rect">
                            <a:avLst/>
                          </a:prstGeom>
                        </pic:spPr>
                      </pic:pic>
                      <wps:wsp>
                        <wps:cNvPr id="74" name="Textbox 74"/>
                        <wps:cNvSpPr txBox="1"/>
                        <wps:spPr>
                          <a:xfrm>
                            <a:off x="1213216" y="1313163"/>
                            <a:ext cx="140970" cy="71120"/>
                          </a:xfrm>
                          <a:prstGeom prst="rect">
                            <a:avLst/>
                          </a:prstGeom>
                        </wps:spPr>
                        <wps:txbx>
                          <w:txbxContent>
                            <w:p>
                              <w:pPr>
                                <w:spacing w:line="111" w:lineRule="exact" w:before="0"/>
                                <w:ind w:left="0" w:right="0" w:firstLine="0"/>
                                <w:jc w:val="left"/>
                                <w:rPr>
                                  <w:b/>
                                  <w:sz w:val="10"/>
                                </w:rPr>
                              </w:pPr>
                              <w:r>
                                <w:rPr>
                                  <w:b/>
                                  <w:spacing w:val="-5"/>
                                  <w:sz w:val="10"/>
                                </w:rPr>
                                <w:t>35%</w:t>
                              </w:r>
                            </w:p>
                          </w:txbxContent>
                        </wps:txbx>
                        <wps:bodyPr wrap="square" lIns="0" tIns="0" rIns="0" bIns="0" rtlCol="0">
                          <a:noAutofit/>
                        </wps:bodyPr>
                      </wps:wsp>
                      <wps:wsp>
                        <wps:cNvPr id="75" name="Textbox 75"/>
                        <wps:cNvSpPr txBox="1"/>
                        <wps:spPr>
                          <a:xfrm>
                            <a:off x="1832341" y="1307067"/>
                            <a:ext cx="140970" cy="71120"/>
                          </a:xfrm>
                          <a:prstGeom prst="rect">
                            <a:avLst/>
                          </a:prstGeom>
                        </wps:spPr>
                        <wps:txbx>
                          <w:txbxContent>
                            <w:p>
                              <w:pPr>
                                <w:spacing w:line="111" w:lineRule="exact" w:before="0"/>
                                <w:ind w:left="0" w:right="0" w:firstLine="0"/>
                                <w:jc w:val="left"/>
                                <w:rPr>
                                  <w:b/>
                                  <w:sz w:val="10"/>
                                </w:rPr>
                              </w:pPr>
                              <w:r>
                                <w:rPr>
                                  <w:b/>
                                  <w:spacing w:val="-5"/>
                                  <w:sz w:val="10"/>
                                </w:rPr>
                                <w:t>83%</w:t>
                              </w:r>
                            </w:p>
                          </w:txbxContent>
                        </wps:txbx>
                        <wps:bodyPr wrap="square" lIns="0" tIns="0" rIns="0" bIns="0" rtlCol="0">
                          <a:noAutofit/>
                        </wps:bodyPr>
                      </wps:wsp>
                    </wpg:wgp>
                  </a:graphicData>
                </a:graphic>
              </wp:anchor>
            </w:drawing>
          </mc:Choice>
          <mc:Fallback>
            <w:pict>
              <v:group style="position:absolute;margin-left:79.331116pt;margin-top:15.782652pt;width:214.9pt;height:134.35pt;mso-position-horizontal-relative:page;mso-position-vertical-relative:paragraph;z-index:-15719424;mso-wrap-distance-left:0;mso-wrap-distance-right:0" id="docshapegroup66" coordorigin="1587,316" coordsize="4298,2687">
                <v:shape style="position:absolute;left:1586;top:315;width:4298;height:2687" type="#_x0000_t75" id="docshape67" stroked="false">
                  <v:imagedata r:id="rId13" o:title=""/>
                </v:shape>
                <v:shape style="position:absolute;left:3345;top:2443;width:136;height:155" type="#_x0000_t75" id="docshape68" stroked="false">
                  <v:imagedata r:id="rId14" o:title=""/>
                </v:shape>
                <v:shape style="position:absolute;left:4312;top:2443;width:136;height:155" type="#_x0000_t75" id="docshape69" stroked="false">
                  <v:imagedata r:id="rId15" o:title=""/>
                </v:shape>
                <v:shape style="position:absolute;left:3497;top:2383;width:222;height:112" type="#_x0000_t202" id="docshape70" filled="false" stroked="false">
                  <v:textbox inset="0,0,0,0">
                    <w:txbxContent>
                      <w:p>
                        <w:pPr>
                          <w:spacing w:line="111" w:lineRule="exact" w:before="0"/>
                          <w:ind w:left="0" w:right="0" w:firstLine="0"/>
                          <w:jc w:val="left"/>
                          <w:rPr>
                            <w:b/>
                            <w:sz w:val="10"/>
                          </w:rPr>
                        </w:pPr>
                        <w:r>
                          <w:rPr>
                            <w:b/>
                            <w:spacing w:val="-5"/>
                            <w:sz w:val="10"/>
                          </w:rPr>
                          <w:t>35%</w:t>
                        </w:r>
                      </w:p>
                    </w:txbxContent>
                  </v:textbox>
                  <w10:wrap type="none"/>
                </v:shape>
                <v:shape style="position:absolute;left:4472;top:2374;width:222;height:112" type="#_x0000_t202" id="docshape71" filled="false" stroked="false">
                  <v:textbox inset="0,0,0,0">
                    <w:txbxContent>
                      <w:p>
                        <w:pPr>
                          <w:spacing w:line="111" w:lineRule="exact" w:before="0"/>
                          <w:ind w:left="0" w:right="0" w:firstLine="0"/>
                          <w:jc w:val="left"/>
                          <w:rPr>
                            <w:b/>
                            <w:sz w:val="10"/>
                          </w:rPr>
                        </w:pPr>
                        <w:r>
                          <w:rPr>
                            <w:b/>
                            <w:spacing w:val="-5"/>
                            <w:sz w:val="10"/>
                          </w:rPr>
                          <w:t>83%</w:t>
                        </w:r>
                      </w:p>
                    </w:txbxContent>
                  </v:textbox>
                  <w10:wrap type="none"/>
                </v:shape>
                <w10:wrap type="topAndBottom"/>
              </v:group>
            </w:pict>
          </mc:Fallback>
        </mc:AlternateContent>
      </w:r>
    </w:p>
    <w:p>
      <w:pPr>
        <w:spacing w:before="149"/>
        <w:ind w:left="773" w:right="0" w:firstLine="0"/>
        <w:jc w:val="left"/>
        <w:rPr>
          <w:sz w:val="20"/>
        </w:rPr>
      </w:pPr>
      <w:r>
        <w:rPr>
          <w:b/>
          <w:sz w:val="20"/>
        </w:rPr>
        <w:t>Figure</w:t>
      </w:r>
      <w:r>
        <w:rPr>
          <w:b/>
          <w:spacing w:val="-4"/>
          <w:sz w:val="20"/>
        </w:rPr>
        <w:t> </w:t>
      </w:r>
      <w:r>
        <w:rPr>
          <w:b/>
          <w:sz w:val="20"/>
        </w:rPr>
        <w:t>3.</w:t>
      </w:r>
      <w:r>
        <w:rPr>
          <w:b/>
          <w:spacing w:val="-3"/>
          <w:sz w:val="20"/>
        </w:rPr>
        <w:t> </w:t>
      </w:r>
      <w:r>
        <w:rPr>
          <w:sz w:val="20"/>
        </w:rPr>
        <w:t>BEP</w:t>
      </w:r>
      <w:r>
        <w:rPr>
          <w:spacing w:val="-4"/>
          <w:sz w:val="20"/>
        </w:rPr>
        <w:t> </w:t>
      </w:r>
      <w:r>
        <w:rPr>
          <w:sz w:val="20"/>
        </w:rPr>
        <w:t>Chart</w:t>
      </w:r>
      <w:r>
        <w:rPr>
          <w:spacing w:val="-3"/>
          <w:sz w:val="20"/>
        </w:rPr>
        <w:t> </w:t>
      </w:r>
      <w:r>
        <w:rPr>
          <w:sz w:val="20"/>
        </w:rPr>
        <w:t>of</w:t>
      </w:r>
      <w:r>
        <w:rPr>
          <w:spacing w:val="-3"/>
          <w:sz w:val="20"/>
        </w:rPr>
        <w:t> </w:t>
      </w:r>
      <w:r>
        <w:rPr>
          <w:sz w:val="20"/>
        </w:rPr>
        <w:t>capacity</w:t>
      </w:r>
      <w:r>
        <w:rPr>
          <w:spacing w:val="-3"/>
          <w:sz w:val="20"/>
        </w:rPr>
        <w:t> </w:t>
      </w:r>
      <w:r>
        <w:rPr>
          <w:sz w:val="20"/>
        </w:rPr>
        <w:t>36</w:t>
      </w:r>
      <w:r>
        <w:rPr>
          <w:spacing w:val="-2"/>
          <w:sz w:val="20"/>
        </w:rPr>
        <w:t> tons/year.</w:t>
      </w:r>
    </w:p>
    <w:p>
      <w:pPr>
        <w:pStyle w:val="Heading1"/>
        <w:numPr>
          <w:ilvl w:val="1"/>
          <w:numId w:val="1"/>
        </w:numPr>
        <w:tabs>
          <w:tab w:pos="639" w:val="left" w:leader="none"/>
        </w:tabs>
        <w:spacing w:line="240" w:lineRule="auto" w:before="228" w:after="0"/>
        <w:ind w:left="639" w:right="0" w:hanging="301"/>
        <w:jc w:val="both"/>
      </w:pPr>
      <w:r>
        <w:rPr/>
        <w:t>Cost</w:t>
      </w:r>
      <w:r>
        <w:rPr>
          <w:spacing w:val="-4"/>
        </w:rPr>
        <w:t> </w:t>
      </w:r>
      <w:r>
        <w:rPr/>
        <w:t>and</w:t>
      </w:r>
      <w:r>
        <w:rPr>
          <w:spacing w:val="-5"/>
        </w:rPr>
        <w:t> </w:t>
      </w:r>
      <w:r>
        <w:rPr>
          <w:spacing w:val="-2"/>
        </w:rPr>
        <w:t>Benefit</w:t>
      </w:r>
    </w:p>
    <w:p>
      <w:pPr>
        <w:pStyle w:val="BodyText"/>
        <w:spacing w:before="1"/>
        <w:ind w:right="40" w:firstLine="566"/>
      </w:pPr>
      <w:r>
        <w:rPr/>
        <w:t>The</w:t>
      </w:r>
      <w:r>
        <w:rPr>
          <w:spacing w:val="-13"/>
        </w:rPr>
        <w:t> </w:t>
      </w:r>
      <w:r>
        <w:rPr/>
        <w:t>production</w:t>
      </w:r>
      <w:r>
        <w:rPr>
          <w:spacing w:val="-12"/>
        </w:rPr>
        <w:t> </w:t>
      </w:r>
      <w:r>
        <w:rPr/>
        <w:t>of</w:t>
      </w:r>
      <w:r>
        <w:rPr>
          <w:spacing w:val="-13"/>
        </w:rPr>
        <w:t> </w:t>
      </w:r>
      <w:r>
        <w:rPr/>
        <w:t>heavy-duty</w:t>
      </w:r>
      <w:r>
        <w:rPr>
          <w:spacing w:val="-12"/>
        </w:rPr>
        <w:t> </w:t>
      </w:r>
      <w:r>
        <w:rPr/>
        <w:t>Bio</w:t>
      </w:r>
      <w:r>
        <w:rPr>
          <w:spacing w:val="-13"/>
        </w:rPr>
        <w:t> </w:t>
      </w:r>
      <w:r>
        <w:rPr/>
        <w:t>grease</w:t>
      </w:r>
      <w:r>
        <w:rPr>
          <w:spacing w:val="-12"/>
        </w:rPr>
        <w:t> </w:t>
      </w:r>
      <w:r>
        <w:rPr/>
        <w:t>based</w:t>
      </w:r>
      <w:r>
        <w:rPr>
          <w:spacing w:val="-13"/>
        </w:rPr>
        <w:t> </w:t>
      </w:r>
      <w:r>
        <w:rPr/>
        <w:t>on palm oil estolides involves various cost and benefit aspects that need consideration. From the cost perspective, the Total Production Cost reaches Rp8.1 billion, covering all operational production expenses. Although</w:t>
      </w:r>
      <w:r>
        <w:rPr>
          <w:spacing w:val="-10"/>
        </w:rPr>
        <w:t> </w:t>
      </w:r>
      <w:r>
        <w:rPr/>
        <w:t>it</w:t>
      </w:r>
      <w:r>
        <w:rPr>
          <w:spacing w:val="-13"/>
        </w:rPr>
        <w:t> </w:t>
      </w:r>
      <w:r>
        <w:rPr/>
        <w:t>requires</w:t>
      </w:r>
      <w:r>
        <w:rPr>
          <w:spacing w:val="-10"/>
        </w:rPr>
        <w:t> </w:t>
      </w:r>
      <w:r>
        <w:rPr/>
        <w:t>significant</w:t>
      </w:r>
      <w:r>
        <w:rPr>
          <w:spacing w:val="-10"/>
        </w:rPr>
        <w:t> </w:t>
      </w:r>
      <w:r>
        <w:rPr/>
        <w:t>capital,</w:t>
      </w:r>
      <w:r>
        <w:rPr>
          <w:spacing w:val="-10"/>
        </w:rPr>
        <w:t> </w:t>
      </w:r>
      <w:r>
        <w:rPr/>
        <w:t>this</w:t>
      </w:r>
      <w:r>
        <w:rPr>
          <w:spacing w:val="-11"/>
        </w:rPr>
        <w:t> </w:t>
      </w:r>
      <w:r>
        <w:rPr/>
        <w:t>project</w:t>
      </w:r>
      <w:r>
        <w:rPr>
          <w:spacing w:val="-12"/>
        </w:rPr>
        <w:t> </w:t>
      </w:r>
      <w:r>
        <w:rPr/>
        <w:t>offers a rapid return on investment, with a PP of only 2 years, which is still within the feasibility limit for the industry.</w:t>
      </w:r>
    </w:p>
    <w:p>
      <w:pPr>
        <w:pStyle w:val="BodyText"/>
        <w:spacing w:before="1"/>
        <w:ind w:right="38" w:firstLine="566"/>
      </w:pPr>
      <w:r>
        <w:rPr/>
        <w:t>From</w:t>
      </w:r>
      <w:r>
        <w:rPr>
          <w:spacing w:val="-10"/>
        </w:rPr>
        <w:t> </w:t>
      </w:r>
      <w:r>
        <w:rPr/>
        <w:t>the</w:t>
      </w:r>
      <w:r>
        <w:rPr>
          <w:spacing w:val="-13"/>
        </w:rPr>
        <w:t> </w:t>
      </w:r>
      <w:r>
        <w:rPr/>
        <w:t>benefit</w:t>
      </w:r>
      <w:r>
        <w:rPr>
          <w:spacing w:val="-11"/>
        </w:rPr>
        <w:t> </w:t>
      </w:r>
      <w:r>
        <w:rPr/>
        <w:t>perspective,</w:t>
      </w:r>
      <w:r>
        <w:rPr>
          <w:spacing w:val="-10"/>
        </w:rPr>
        <w:t> </w:t>
      </w:r>
      <w:r>
        <w:rPr/>
        <w:t>this</w:t>
      </w:r>
      <w:r>
        <w:rPr>
          <w:spacing w:val="-12"/>
        </w:rPr>
        <w:t> </w:t>
      </w:r>
      <w:r>
        <w:rPr/>
        <w:t>project</w:t>
      </w:r>
      <w:r>
        <w:rPr>
          <w:spacing w:val="-10"/>
        </w:rPr>
        <w:t> </w:t>
      </w:r>
      <w:r>
        <w:rPr/>
        <w:t>provides substantial economic benefits. The NPV indicates that this investment is profitable in the long term. The IRR value</w:t>
      </w:r>
      <w:r>
        <w:rPr>
          <w:spacing w:val="-4"/>
        </w:rPr>
        <w:t> </w:t>
      </w:r>
      <w:r>
        <w:rPr/>
        <w:t>is</w:t>
      </w:r>
      <w:r>
        <w:rPr>
          <w:spacing w:val="-5"/>
        </w:rPr>
        <w:t> </w:t>
      </w:r>
      <w:r>
        <w:rPr/>
        <w:t>significantly</w:t>
      </w:r>
      <w:r>
        <w:rPr>
          <w:spacing w:val="-4"/>
        </w:rPr>
        <w:t> </w:t>
      </w:r>
      <w:r>
        <w:rPr/>
        <w:t>higher</w:t>
      </w:r>
      <w:r>
        <w:rPr>
          <w:spacing w:val="-3"/>
        </w:rPr>
        <w:t> </w:t>
      </w:r>
      <w:r>
        <w:rPr/>
        <w:t>than</w:t>
      </w:r>
      <w:r>
        <w:rPr>
          <w:spacing w:val="-3"/>
        </w:rPr>
        <w:t> </w:t>
      </w:r>
      <w:r>
        <w:rPr/>
        <w:t>the</w:t>
      </w:r>
      <w:r>
        <w:rPr>
          <w:spacing w:val="-4"/>
        </w:rPr>
        <w:t> </w:t>
      </w:r>
      <w:r>
        <w:rPr/>
        <w:t>bank</w:t>
      </w:r>
      <w:r>
        <w:rPr>
          <w:spacing w:val="-3"/>
        </w:rPr>
        <w:t> </w:t>
      </w:r>
      <w:r>
        <w:rPr/>
        <w:t>interest</w:t>
      </w:r>
      <w:r>
        <w:rPr>
          <w:spacing w:val="-5"/>
        </w:rPr>
        <w:t> </w:t>
      </w:r>
      <w:r>
        <w:rPr/>
        <w:t>rate</w:t>
      </w:r>
      <w:r>
        <w:rPr>
          <w:spacing w:val="-4"/>
        </w:rPr>
        <w:t> </w:t>
      </w:r>
      <w:r>
        <w:rPr/>
        <w:t>of 6%, indicating considerable profit potential. Additionally, a ROI of 206% demonstrates that the project has high profitability.</w:t>
      </w:r>
    </w:p>
    <w:p>
      <w:pPr>
        <w:pStyle w:val="BodyText"/>
        <w:spacing w:before="1"/>
        <w:ind w:right="38" w:firstLine="566"/>
      </w:pPr>
      <w:r>
        <w:rPr/>
        <w:t>From a sustainability aspect, palm oil-based bio grease is more environmentally friendly as it is biodegradable and reduces dependency on petroleum- based</w:t>
      </w:r>
      <w:r>
        <w:rPr>
          <w:spacing w:val="27"/>
        </w:rPr>
        <w:t> </w:t>
      </w:r>
      <w:r>
        <w:rPr/>
        <w:t>lubricants.</w:t>
      </w:r>
      <w:r>
        <w:rPr>
          <w:spacing w:val="27"/>
        </w:rPr>
        <w:t> </w:t>
      </w:r>
      <w:r>
        <w:rPr/>
        <w:t>Furthermore,</w:t>
      </w:r>
      <w:r>
        <w:rPr>
          <w:spacing w:val="27"/>
        </w:rPr>
        <w:t> </w:t>
      </w:r>
      <w:r>
        <w:rPr/>
        <w:t>the</w:t>
      </w:r>
      <w:r>
        <w:rPr>
          <w:spacing w:val="24"/>
        </w:rPr>
        <w:t> </w:t>
      </w:r>
      <w:r>
        <w:rPr/>
        <w:t>project</w:t>
      </w:r>
      <w:r>
        <w:rPr>
          <w:spacing w:val="27"/>
        </w:rPr>
        <w:t> </w:t>
      </w:r>
      <w:r>
        <w:rPr/>
        <w:t>supports</w:t>
      </w:r>
      <w:r>
        <w:rPr>
          <w:spacing w:val="26"/>
        </w:rPr>
        <w:t> </w:t>
      </w:r>
      <w:r>
        <w:rPr>
          <w:spacing w:val="-5"/>
        </w:rPr>
        <w:t>the</w:t>
      </w:r>
    </w:p>
    <w:p>
      <w:pPr>
        <w:pStyle w:val="BodyText"/>
        <w:spacing w:before="91"/>
        <w:ind w:right="48"/>
      </w:pPr>
      <w:r>
        <w:rPr/>
        <w:br w:type="column"/>
      </w:r>
      <w:r>
        <w:rPr/>
        <w:t>downstream palm oil industry, creates economic opportunities for MSMEs, and promotes the lubricant industry towards more sustainable products. With the BEP reaching 83% of production capacity, this project remains within the feasible category. Therefore, despite its high initial costs, the economic, environmental, and industrial benefits make heavy-duty Bio grease production a promising and strategic option for </w:t>
      </w:r>
      <w:r>
        <w:rPr>
          <w:spacing w:val="-2"/>
        </w:rPr>
        <w:t>development.</w:t>
      </w:r>
    </w:p>
    <w:p>
      <w:pPr>
        <w:pStyle w:val="Heading1"/>
        <w:numPr>
          <w:ilvl w:val="1"/>
          <w:numId w:val="1"/>
        </w:numPr>
        <w:tabs>
          <w:tab w:pos="629" w:val="left" w:leader="none"/>
        </w:tabs>
        <w:spacing w:line="240" w:lineRule="auto" w:before="229" w:after="0"/>
        <w:ind w:left="338" w:right="51" w:firstLine="0"/>
        <w:jc w:val="both"/>
      </w:pPr>
      <w:r>
        <w:rPr/>
        <w:t>Comparison</w:t>
      </w:r>
      <w:r>
        <w:rPr>
          <w:spacing w:val="-13"/>
        </w:rPr>
        <w:t> </w:t>
      </w:r>
      <w:r>
        <w:rPr/>
        <w:t>of</w:t>
      </w:r>
      <w:r>
        <w:rPr>
          <w:spacing w:val="-12"/>
        </w:rPr>
        <w:t> </w:t>
      </w:r>
      <w:r>
        <w:rPr/>
        <w:t>Heavy-duty</w:t>
      </w:r>
      <w:r>
        <w:rPr>
          <w:spacing w:val="-13"/>
        </w:rPr>
        <w:t> </w:t>
      </w:r>
      <w:r>
        <w:rPr/>
        <w:t>Bio</w:t>
      </w:r>
      <w:r>
        <w:rPr>
          <w:spacing w:val="-12"/>
        </w:rPr>
        <w:t> </w:t>
      </w:r>
      <w:r>
        <w:rPr/>
        <w:t>grease</w:t>
      </w:r>
      <w:r>
        <w:rPr>
          <w:spacing w:val="-13"/>
        </w:rPr>
        <w:t> </w:t>
      </w:r>
      <w:r>
        <w:rPr/>
        <w:t>with</w:t>
      </w:r>
      <w:r>
        <w:rPr>
          <w:spacing w:val="-12"/>
        </w:rPr>
        <w:t> </w:t>
      </w:r>
      <w:r>
        <w:rPr/>
        <w:t>Grease Products in the Market</w:t>
      </w:r>
    </w:p>
    <w:p>
      <w:pPr>
        <w:pStyle w:val="BodyText"/>
        <w:ind w:right="50" w:firstLine="566"/>
      </w:pPr>
      <w:r>
        <w:rPr/>
        <w:t>This</w:t>
      </w:r>
      <w:r>
        <w:rPr>
          <w:spacing w:val="-8"/>
        </w:rPr>
        <w:t> </w:t>
      </w:r>
      <w:r>
        <w:rPr/>
        <w:t>mini</w:t>
      </w:r>
      <w:r>
        <w:rPr>
          <w:spacing w:val="-9"/>
        </w:rPr>
        <w:t> </w:t>
      </w:r>
      <w:r>
        <w:rPr/>
        <w:t>plant</w:t>
      </w:r>
      <w:r>
        <w:rPr>
          <w:spacing w:val="-8"/>
        </w:rPr>
        <w:t> </w:t>
      </w:r>
      <w:r>
        <w:rPr/>
        <w:t>tends</w:t>
      </w:r>
      <w:r>
        <w:rPr>
          <w:spacing w:val="-8"/>
        </w:rPr>
        <w:t> </w:t>
      </w:r>
      <w:r>
        <w:rPr/>
        <w:t>to</w:t>
      </w:r>
      <w:r>
        <w:rPr>
          <w:spacing w:val="-9"/>
        </w:rPr>
        <w:t> </w:t>
      </w:r>
      <w:r>
        <w:rPr/>
        <w:t>use</w:t>
      </w:r>
      <w:r>
        <w:rPr>
          <w:spacing w:val="-7"/>
        </w:rPr>
        <w:t> </w:t>
      </w:r>
      <w:r>
        <w:rPr/>
        <w:t>alternative</w:t>
      </w:r>
      <w:r>
        <w:rPr>
          <w:spacing w:val="-9"/>
        </w:rPr>
        <w:t> </w:t>
      </w:r>
      <w:r>
        <w:rPr/>
        <w:t>grease</w:t>
      </w:r>
      <w:r>
        <w:rPr>
          <w:spacing w:val="-7"/>
        </w:rPr>
        <w:t> </w:t>
      </w:r>
      <w:r>
        <w:rPr/>
        <w:t>as</w:t>
      </w:r>
      <w:r>
        <w:rPr>
          <w:spacing w:val="-8"/>
        </w:rPr>
        <w:t> </w:t>
      </w:r>
      <w:r>
        <w:rPr/>
        <w:t>a substitute for lithium-based grease. One of the substitute materials that has been researched is calcium, as studied by Amin et al. (2023). Calcium is considered an innovation</w:t>
      </w:r>
      <w:r>
        <w:rPr>
          <w:spacing w:val="-13"/>
        </w:rPr>
        <w:t> </w:t>
      </w:r>
      <w:r>
        <w:rPr/>
        <w:t>that</w:t>
      </w:r>
      <w:r>
        <w:rPr>
          <w:spacing w:val="-12"/>
        </w:rPr>
        <w:t> </w:t>
      </w:r>
      <w:r>
        <w:rPr/>
        <w:t>can</w:t>
      </w:r>
      <w:r>
        <w:rPr>
          <w:spacing w:val="-13"/>
        </w:rPr>
        <w:t> </w:t>
      </w:r>
      <w:r>
        <w:rPr/>
        <w:t>replace</w:t>
      </w:r>
      <w:r>
        <w:rPr>
          <w:spacing w:val="-12"/>
        </w:rPr>
        <w:t> </w:t>
      </w:r>
      <w:r>
        <w:rPr/>
        <w:t>lithium</w:t>
      </w:r>
      <w:r>
        <w:rPr>
          <w:spacing w:val="-13"/>
        </w:rPr>
        <w:t> </w:t>
      </w:r>
      <w:r>
        <w:rPr/>
        <w:t>in</w:t>
      </w:r>
      <w:r>
        <w:rPr>
          <w:spacing w:val="-12"/>
        </w:rPr>
        <w:t> </w:t>
      </w:r>
      <w:r>
        <w:rPr/>
        <w:t>grease</w:t>
      </w:r>
      <w:r>
        <w:rPr>
          <w:spacing w:val="-13"/>
        </w:rPr>
        <w:t> </w:t>
      </w:r>
      <w:r>
        <w:rPr/>
        <w:t>formulations and even has the advantage of higher energy density compared</w:t>
      </w:r>
      <w:r>
        <w:rPr>
          <w:spacing w:val="-13"/>
        </w:rPr>
        <w:t> </w:t>
      </w:r>
      <w:r>
        <w:rPr/>
        <w:t>to</w:t>
      </w:r>
      <w:r>
        <w:rPr>
          <w:spacing w:val="-12"/>
        </w:rPr>
        <w:t> </w:t>
      </w:r>
      <w:r>
        <w:rPr/>
        <w:t>lithium</w:t>
      </w:r>
      <w:r>
        <w:rPr>
          <w:spacing w:val="-13"/>
        </w:rPr>
        <w:t> </w:t>
      </w:r>
      <w:r>
        <w:rPr/>
        <w:t>(Hosein,</w:t>
      </w:r>
      <w:r>
        <w:rPr>
          <w:spacing w:val="-12"/>
        </w:rPr>
        <w:t> </w:t>
      </w:r>
      <w:r>
        <w:rPr/>
        <w:t>2021).</w:t>
      </w:r>
      <w:r>
        <w:rPr>
          <w:spacing w:val="-13"/>
        </w:rPr>
        <w:t> </w:t>
      </w:r>
      <w:r>
        <w:rPr/>
        <w:t>Additionally,</w:t>
      </w:r>
      <w:r>
        <w:rPr>
          <w:spacing w:val="-12"/>
        </w:rPr>
        <w:t> </w:t>
      </w:r>
      <w:r>
        <w:rPr/>
        <w:t>the</w:t>
      </w:r>
      <w:r>
        <w:rPr>
          <w:spacing w:val="-13"/>
        </w:rPr>
        <w:t> </w:t>
      </w:r>
      <w:r>
        <w:rPr/>
        <w:t>use of calcium as a base material for grease is more environmentally friendly and has a more abundant availability than lithium, making it a potentially more sustainable alternative solution.</w:t>
      </w:r>
    </w:p>
    <w:p>
      <w:pPr>
        <w:pStyle w:val="BodyText"/>
        <w:spacing w:before="2"/>
        <w:ind w:right="50" w:firstLine="566"/>
      </w:pPr>
      <w:r>
        <w:rPr/>
        <w:t>The</w:t>
      </w:r>
      <w:r>
        <w:rPr>
          <w:spacing w:val="-6"/>
        </w:rPr>
        <w:t> </w:t>
      </w:r>
      <w:r>
        <w:rPr/>
        <w:t>selling</w:t>
      </w:r>
      <w:r>
        <w:rPr>
          <w:spacing w:val="-5"/>
        </w:rPr>
        <w:t> </w:t>
      </w:r>
      <w:r>
        <w:rPr/>
        <w:t>price</w:t>
      </w:r>
      <w:r>
        <w:rPr>
          <w:spacing w:val="-8"/>
        </w:rPr>
        <w:t> </w:t>
      </w:r>
      <w:r>
        <w:rPr/>
        <w:t>of</w:t>
      </w:r>
      <w:r>
        <w:rPr>
          <w:spacing w:val="-8"/>
        </w:rPr>
        <w:t> </w:t>
      </w:r>
      <w:r>
        <w:rPr/>
        <w:t>heavy-duty</w:t>
      </w:r>
      <w:r>
        <w:rPr>
          <w:spacing w:val="-5"/>
        </w:rPr>
        <w:t> </w:t>
      </w:r>
      <w:r>
        <w:rPr/>
        <w:t>Bio</w:t>
      </w:r>
      <w:r>
        <w:rPr>
          <w:spacing w:val="-5"/>
        </w:rPr>
        <w:t> </w:t>
      </w:r>
      <w:r>
        <w:rPr/>
        <w:t>grease,</w:t>
      </w:r>
      <w:r>
        <w:rPr>
          <w:spacing w:val="-5"/>
        </w:rPr>
        <w:t> </w:t>
      </w:r>
      <w:r>
        <w:rPr/>
        <w:t>which </w:t>
      </w:r>
      <w:r>
        <w:rPr>
          <w:spacing w:val="-2"/>
        </w:rPr>
        <w:t>is</w:t>
      </w:r>
      <w:r>
        <w:rPr>
          <w:spacing w:val="-3"/>
        </w:rPr>
        <w:t> </w:t>
      </w:r>
      <w:r>
        <w:rPr>
          <w:spacing w:val="-2"/>
        </w:rPr>
        <w:t>calcium-based, is</w:t>
      </w:r>
      <w:r>
        <w:rPr>
          <w:spacing w:val="-3"/>
        </w:rPr>
        <w:t> </w:t>
      </w:r>
      <w:r>
        <w:rPr>
          <w:spacing w:val="-2"/>
        </w:rPr>
        <w:t>recorded</w:t>
      </w:r>
      <w:r>
        <w:rPr>
          <w:spacing w:val="-3"/>
        </w:rPr>
        <w:t> </w:t>
      </w:r>
      <w:r>
        <w:rPr>
          <w:spacing w:val="-2"/>
        </w:rPr>
        <w:t>at Rp251,000/kg. Compared </w:t>
      </w:r>
      <w:r>
        <w:rPr/>
        <w:t>to the price of lithium-based grease available on several e-commerce</w:t>
      </w:r>
      <w:r>
        <w:rPr>
          <w:spacing w:val="-5"/>
        </w:rPr>
        <w:t> </w:t>
      </w:r>
      <w:r>
        <w:rPr/>
        <w:t>platforms</w:t>
      </w:r>
      <w:r>
        <w:rPr>
          <w:spacing w:val="-5"/>
        </w:rPr>
        <w:t> </w:t>
      </w:r>
      <w:r>
        <w:rPr/>
        <w:t>in</w:t>
      </w:r>
      <w:r>
        <w:rPr>
          <w:spacing w:val="-5"/>
        </w:rPr>
        <w:t> </w:t>
      </w:r>
      <w:r>
        <w:rPr/>
        <w:t>Indonesia,</w:t>
      </w:r>
      <w:r>
        <w:rPr>
          <w:spacing w:val="-4"/>
        </w:rPr>
        <w:t> </w:t>
      </w:r>
      <w:r>
        <w:rPr/>
        <w:t>there</w:t>
      </w:r>
      <w:r>
        <w:rPr>
          <w:spacing w:val="-6"/>
        </w:rPr>
        <w:t> </w:t>
      </w:r>
      <w:r>
        <w:rPr/>
        <w:t>is</w:t>
      </w:r>
      <w:r>
        <w:rPr>
          <w:spacing w:val="-5"/>
        </w:rPr>
        <w:t> </w:t>
      </w:r>
      <w:r>
        <w:rPr/>
        <w:t>a</w:t>
      </w:r>
      <w:r>
        <w:rPr>
          <w:spacing w:val="-3"/>
        </w:rPr>
        <w:t> </w:t>
      </w:r>
      <w:r>
        <w:rPr/>
        <w:t>significant price difference. Figure 4 presents the price comparison data of grease per kilogram from various e-commerce </w:t>
      </w:r>
      <w:r>
        <w:rPr>
          <w:spacing w:val="-2"/>
        </w:rPr>
        <w:t>platforms.</w:t>
      </w:r>
    </w:p>
    <w:p>
      <w:pPr>
        <w:pStyle w:val="BodyText"/>
        <w:spacing w:before="66"/>
        <w:ind w:left="0"/>
        <w:jc w:val="left"/>
      </w:pPr>
      <w:r>
        <w:rPr/>
        <w:drawing>
          <wp:anchor distT="0" distB="0" distL="0" distR="0" allowOverlap="1" layoutInCell="1" locked="0" behindDoc="1" simplePos="0" relativeHeight="487597568">
            <wp:simplePos x="0" y="0"/>
            <wp:positionH relativeFrom="page">
              <wp:posOffset>4272818</wp:posOffset>
            </wp:positionH>
            <wp:positionV relativeFrom="paragraph">
              <wp:posOffset>203350</wp:posOffset>
            </wp:positionV>
            <wp:extent cx="2727838" cy="1569910"/>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16" cstate="print"/>
                    <a:stretch>
                      <a:fillRect/>
                    </a:stretch>
                  </pic:blipFill>
                  <pic:spPr>
                    <a:xfrm>
                      <a:off x="0" y="0"/>
                      <a:ext cx="2727838" cy="1569910"/>
                    </a:xfrm>
                    <a:prstGeom prst="rect">
                      <a:avLst/>
                    </a:prstGeom>
                  </pic:spPr>
                </pic:pic>
              </a:graphicData>
            </a:graphic>
          </wp:anchor>
        </w:drawing>
      </w:r>
    </w:p>
    <w:p>
      <w:pPr>
        <w:pStyle w:val="BodyText"/>
        <w:spacing w:before="196"/>
        <w:ind w:left="1210" w:hanging="838"/>
        <w:jc w:val="left"/>
      </w:pPr>
      <w:r>
        <w:rPr>
          <w:b/>
        </w:rPr>
        <w:t>Figure</w:t>
      </w:r>
      <w:r>
        <w:rPr>
          <w:b/>
          <w:spacing w:val="-5"/>
        </w:rPr>
        <w:t> </w:t>
      </w:r>
      <w:r>
        <w:rPr>
          <w:b/>
        </w:rPr>
        <w:t>4.</w:t>
      </w:r>
      <w:r>
        <w:rPr>
          <w:b/>
          <w:spacing w:val="-3"/>
        </w:rPr>
        <w:t> </w:t>
      </w:r>
      <w:r>
        <w:rPr/>
        <w:t>Price</w:t>
      </w:r>
      <w:r>
        <w:rPr>
          <w:spacing w:val="-5"/>
        </w:rPr>
        <w:t> </w:t>
      </w:r>
      <w:r>
        <w:rPr/>
        <w:t>Comparison</w:t>
      </w:r>
      <w:r>
        <w:rPr>
          <w:spacing w:val="-6"/>
        </w:rPr>
        <w:t> </w:t>
      </w:r>
      <w:r>
        <w:rPr/>
        <w:t>of</w:t>
      </w:r>
      <w:r>
        <w:rPr>
          <w:spacing w:val="-5"/>
        </w:rPr>
        <w:t> </w:t>
      </w:r>
      <w:r>
        <w:rPr/>
        <w:t>Grease</w:t>
      </w:r>
      <w:r>
        <w:rPr>
          <w:spacing w:val="-5"/>
        </w:rPr>
        <w:t> </w:t>
      </w:r>
      <w:r>
        <w:rPr/>
        <w:t>on</w:t>
      </w:r>
      <w:r>
        <w:rPr>
          <w:spacing w:val="-4"/>
        </w:rPr>
        <w:t> </w:t>
      </w:r>
      <w:r>
        <w:rPr/>
        <w:t>Indonesian</w:t>
      </w:r>
      <w:r>
        <w:rPr>
          <w:spacing w:val="-4"/>
        </w:rPr>
        <w:t> </w:t>
      </w:r>
      <w:r>
        <w:rPr/>
        <w:t>E- commerce Platforms.</w:t>
      </w:r>
    </w:p>
    <w:p>
      <w:pPr>
        <w:pStyle w:val="BodyText"/>
        <w:spacing w:before="2"/>
        <w:ind w:left="0"/>
        <w:jc w:val="left"/>
      </w:pPr>
    </w:p>
    <w:p>
      <w:pPr>
        <w:pStyle w:val="BodyText"/>
        <w:ind w:right="49" w:firstLine="566"/>
      </w:pPr>
      <w:r>
        <w:rPr/>
        <w:t>According to the data, the average price of lithium-based grease on e-commerce platforms is Rp77,809/kg.</w:t>
      </w:r>
      <w:r>
        <w:rPr>
          <w:spacing w:val="-7"/>
        </w:rPr>
        <w:t> </w:t>
      </w:r>
      <w:r>
        <w:rPr/>
        <w:t>Thus,</w:t>
      </w:r>
      <w:r>
        <w:rPr>
          <w:spacing w:val="-7"/>
        </w:rPr>
        <w:t> </w:t>
      </w:r>
      <w:r>
        <w:rPr/>
        <w:t>the</w:t>
      </w:r>
      <w:r>
        <w:rPr>
          <w:spacing w:val="-9"/>
        </w:rPr>
        <w:t> </w:t>
      </w:r>
      <w:r>
        <w:rPr/>
        <w:t>price</w:t>
      </w:r>
      <w:r>
        <w:rPr>
          <w:spacing w:val="-9"/>
        </w:rPr>
        <w:t> </w:t>
      </w:r>
      <w:r>
        <w:rPr/>
        <w:t>of</w:t>
      </w:r>
      <w:r>
        <w:rPr>
          <w:spacing w:val="-7"/>
        </w:rPr>
        <w:t> </w:t>
      </w:r>
      <w:r>
        <w:rPr/>
        <w:t>heavy-duty</w:t>
      </w:r>
      <w:r>
        <w:rPr>
          <w:spacing w:val="-7"/>
        </w:rPr>
        <w:t> </w:t>
      </w:r>
      <w:r>
        <w:rPr/>
        <w:t>Bio</w:t>
      </w:r>
      <w:r>
        <w:rPr>
          <w:spacing w:val="-7"/>
        </w:rPr>
        <w:t> </w:t>
      </w:r>
      <w:r>
        <w:rPr/>
        <w:t>grease</w:t>
      </w:r>
      <w:r>
        <w:rPr>
          <w:spacing w:val="-7"/>
        </w:rPr>
        <w:t> </w:t>
      </w:r>
      <w:r>
        <w:rPr/>
        <w:t>is higher than that of lithium-based grease available in the market. Heavy-duty Bio grease is often designed with more environmentally friendly base materials, such as synthetic lubricants that have better degradation </w:t>
      </w:r>
      <w:r>
        <w:rPr>
          <w:spacing w:val="-2"/>
        </w:rPr>
        <w:t>compared</w:t>
      </w:r>
      <w:r>
        <w:rPr>
          <w:spacing w:val="-1"/>
        </w:rPr>
        <w:t> </w:t>
      </w:r>
      <w:r>
        <w:rPr>
          <w:spacing w:val="-2"/>
        </w:rPr>
        <w:t>to</w:t>
      </w:r>
      <w:r>
        <w:rPr>
          <w:spacing w:val="1"/>
        </w:rPr>
        <w:t> </w:t>
      </w:r>
      <w:r>
        <w:rPr>
          <w:spacing w:val="-2"/>
        </w:rPr>
        <w:t>conventional</w:t>
      </w:r>
      <w:r>
        <w:rPr>
          <w:spacing w:val="1"/>
        </w:rPr>
        <w:t> </w:t>
      </w:r>
      <w:r>
        <w:rPr>
          <w:spacing w:val="-2"/>
        </w:rPr>
        <w:t>grease.</w:t>
      </w:r>
      <w:r>
        <w:rPr/>
        <w:t> </w:t>
      </w:r>
      <w:r>
        <w:rPr>
          <w:spacing w:val="-2"/>
        </w:rPr>
        <w:t>Therefore,</w:t>
      </w:r>
      <w:r>
        <w:rPr>
          <w:spacing w:val="1"/>
        </w:rPr>
        <w:t> </w:t>
      </w:r>
      <w:r>
        <w:rPr>
          <w:spacing w:val="-2"/>
        </w:rPr>
        <w:t>although</w:t>
      </w:r>
      <w:r>
        <w:rPr>
          <w:spacing w:val="1"/>
        </w:rPr>
        <w:t> </w:t>
      </w:r>
      <w:r>
        <w:rPr>
          <w:spacing w:val="-5"/>
        </w:rPr>
        <w:t>the</w:t>
      </w:r>
    </w:p>
    <w:p>
      <w:pPr>
        <w:pStyle w:val="BodyText"/>
        <w:spacing w:after="0"/>
        <w:sectPr>
          <w:type w:val="continuous"/>
          <w:pgSz w:w="12240" w:h="15840"/>
          <w:pgMar w:header="851" w:footer="1027" w:top="640" w:bottom="1180" w:left="1080" w:right="1080"/>
          <w:cols w:num="2" w:equalWidth="0">
            <w:col w:w="4944" w:space="181"/>
            <w:col w:w="4955"/>
          </w:cols>
        </w:sectPr>
      </w:pPr>
    </w:p>
    <w:p>
      <w:pPr>
        <w:pStyle w:val="BodyText"/>
        <w:spacing w:before="219"/>
        <w:ind w:left="0"/>
        <w:jc w:val="left"/>
      </w:pPr>
    </w:p>
    <w:p>
      <w:pPr>
        <w:pStyle w:val="BodyText"/>
        <w:spacing w:after="0"/>
        <w:jc w:val="left"/>
        <w:sectPr>
          <w:pgSz w:w="12240" w:h="15840"/>
          <w:pgMar w:header="851" w:footer="1027" w:top="1160" w:bottom="1220" w:left="1080" w:right="1080"/>
        </w:sectPr>
      </w:pPr>
    </w:p>
    <w:p>
      <w:pPr>
        <w:pStyle w:val="BodyText"/>
        <w:spacing w:before="91"/>
        <w:ind w:right="41"/>
      </w:pPr>
      <w:r>
        <w:rPr/>
        <w:t>initial price of heavy-duty Bio grease is higher, it offers several advantages.</w:t>
      </w:r>
    </w:p>
    <w:p>
      <w:pPr>
        <w:pStyle w:val="BodyText"/>
        <w:ind w:right="38" w:firstLine="566"/>
      </w:pPr>
      <w:r>
        <w:rPr/>
        <w:t>First, this bio grease is more environmentally friendly because it uses palm oil-based estolides as its base material, which is a renewable and biodegradable source (Goyan et al., 1987). The use of these raw materials</w:t>
      </w:r>
      <w:r>
        <w:rPr>
          <w:spacing w:val="-13"/>
        </w:rPr>
        <w:t> </w:t>
      </w:r>
      <w:r>
        <w:rPr/>
        <w:t>contributes</w:t>
      </w:r>
      <w:r>
        <w:rPr>
          <w:spacing w:val="-12"/>
        </w:rPr>
        <w:t> </w:t>
      </w:r>
      <w:r>
        <w:rPr/>
        <w:t>to</w:t>
      </w:r>
      <w:r>
        <w:rPr>
          <w:spacing w:val="-13"/>
        </w:rPr>
        <w:t> </w:t>
      </w:r>
      <w:r>
        <w:rPr/>
        <w:t>reducing</w:t>
      </w:r>
      <w:r>
        <w:rPr>
          <w:spacing w:val="-12"/>
        </w:rPr>
        <w:t> </w:t>
      </w:r>
      <w:r>
        <w:rPr/>
        <w:t>environmental</w:t>
      </w:r>
      <w:r>
        <w:rPr>
          <w:spacing w:val="-13"/>
        </w:rPr>
        <w:t> </w:t>
      </w:r>
      <w:r>
        <w:rPr/>
        <w:t>pollution and enhances sustainability in the lubricant industry (Diphare et al., 2013).</w:t>
      </w:r>
    </w:p>
    <w:p>
      <w:pPr>
        <w:pStyle w:val="BodyText"/>
        <w:ind w:right="40" w:firstLine="566"/>
      </w:pPr>
      <w:r>
        <w:rPr/>
        <w:t>Second, this bio grease has excellent thermal stability and oxidation resistance (Sharma et al., 2006), making it capable of withstanding extreme working conditions, including high temperatures and heavy pressures (Honary &amp; Richter, 2011). This advantage makes</w:t>
      </w:r>
      <w:r>
        <w:rPr>
          <w:spacing w:val="-5"/>
        </w:rPr>
        <w:t> </w:t>
      </w:r>
      <w:r>
        <w:rPr/>
        <w:t>it</w:t>
      </w:r>
      <w:r>
        <w:rPr>
          <w:spacing w:val="-5"/>
        </w:rPr>
        <w:t> </w:t>
      </w:r>
      <w:r>
        <w:rPr/>
        <w:t>an</w:t>
      </w:r>
      <w:r>
        <w:rPr>
          <w:spacing w:val="-3"/>
        </w:rPr>
        <w:t> </w:t>
      </w:r>
      <w:r>
        <w:rPr/>
        <w:t>ideal</w:t>
      </w:r>
      <w:r>
        <w:rPr>
          <w:spacing w:val="-5"/>
        </w:rPr>
        <w:t> </w:t>
      </w:r>
      <w:r>
        <w:rPr/>
        <w:t>choice</w:t>
      </w:r>
      <w:r>
        <w:rPr>
          <w:spacing w:val="-4"/>
        </w:rPr>
        <w:t> </w:t>
      </w:r>
      <w:r>
        <w:rPr/>
        <w:t>for</w:t>
      </w:r>
      <w:r>
        <w:rPr>
          <w:spacing w:val="-4"/>
        </w:rPr>
        <w:t> </w:t>
      </w:r>
      <w:r>
        <w:rPr/>
        <w:t>heavy</w:t>
      </w:r>
      <w:r>
        <w:rPr>
          <w:spacing w:val="-3"/>
        </w:rPr>
        <w:t> </w:t>
      </w:r>
      <w:r>
        <w:rPr/>
        <w:t>industrial</w:t>
      </w:r>
      <w:r>
        <w:rPr>
          <w:spacing w:val="-4"/>
        </w:rPr>
        <w:t> </w:t>
      </w:r>
      <w:r>
        <w:rPr/>
        <w:t>applications that</w:t>
      </w:r>
      <w:r>
        <w:rPr>
          <w:spacing w:val="-1"/>
        </w:rPr>
        <w:t> </w:t>
      </w:r>
      <w:r>
        <w:rPr/>
        <w:t>require</w:t>
      </w:r>
      <w:r>
        <w:rPr>
          <w:spacing w:val="-3"/>
        </w:rPr>
        <w:t> </w:t>
      </w:r>
      <w:r>
        <w:rPr/>
        <w:t>reliable</w:t>
      </w:r>
      <w:r>
        <w:rPr>
          <w:spacing w:val="-1"/>
        </w:rPr>
        <w:t> </w:t>
      </w:r>
      <w:r>
        <w:rPr/>
        <w:t>and</w:t>
      </w:r>
      <w:r>
        <w:rPr>
          <w:spacing w:val="-1"/>
        </w:rPr>
        <w:t> </w:t>
      </w:r>
      <w:r>
        <w:rPr/>
        <w:t>durable</w:t>
      </w:r>
      <w:r>
        <w:rPr>
          <w:spacing w:val="-1"/>
        </w:rPr>
        <w:t> </w:t>
      </w:r>
      <w:r>
        <w:rPr/>
        <w:t>lubrication</w:t>
      </w:r>
      <w:r>
        <w:rPr>
          <w:spacing w:val="-3"/>
        </w:rPr>
        <w:t> </w:t>
      </w:r>
      <w:r>
        <w:rPr/>
        <w:t>(Gow,</w:t>
      </w:r>
      <w:r>
        <w:rPr>
          <w:spacing w:val="-1"/>
        </w:rPr>
        <w:t> </w:t>
      </w:r>
      <w:r>
        <w:rPr/>
        <w:t>2011; Mortier et al., 2011). Moreover, this bio grease also has superior anti-wear and corrosion protection properties (Ren et al.,</w:t>
      </w:r>
      <w:r>
        <w:rPr>
          <w:spacing w:val="-1"/>
        </w:rPr>
        <w:t> </w:t>
      </w:r>
      <w:r>
        <w:rPr/>
        <w:t>2021).</w:t>
      </w:r>
      <w:r>
        <w:rPr>
          <w:spacing w:val="-1"/>
        </w:rPr>
        <w:t> </w:t>
      </w:r>
      <w:r>
        <w:rPr/>
        <w:t>This is due</w:t>
      </w:r>
      <w:r>
        <w:rPr>
          <w:spacing w:val="-3"/>
        </w:rPr>
        <w:t> </w:t>
      </w:r>
      <w:r>
        <w:rPr/>
        <w:t>to the</w:t>
      </w:r>
      <w:r>
        <w:rPr>
          <w:spacing w:val="-1"/>
        </w:rPr>
        <w:t> </w:t>
      </w:r>
      <w:r>
        <w:rPr/>
        <w:t>presence</w:t>
      </w:r>
      <w:r>
        <w:rPr>
          <w:spacing w:val="-1"/>
        </w:rPr>
        <w:t> </w:t>
      </w:r>
      <w:r>
        <w:rPr/>
        <w:t>of</w:t>
      </w:r>
      <w:r>
        <w:rPr>
          <w:spacing w:val="-1"/>
        </w:rPr>
        <w:t> </w:t>
      </w:r>
      <w:r>
        <w:rPr/>
        <w:t>calcium sulfo-oleate,</w:t>
      </w:r>
      <w:r>
        <w:rPr>
          <w:spacing w:val="-13"/>
        </w:rPr>
        <w:t> </w:t>
      </w:r>
      <w:r>
        <w:rPr/>
        <w:t>which</w:t>
      </w:r>
      <w:r>
        <w:rPr>
          <w:spacing w:val="-12"/>
        </w:rPr>
        <w:t> </w:t>
      </w:r>
      <w:r>
        <w:rPr/>
        <w:t>helps</w:t>
      </w:r>
      <w:r>
        <w:rPr>
          <w:spacing w:val="-13"/>
        </w:rPr>
        <w:t> </w:t>
      </w:r>
      <w:r>
        <w:rPr/>
        <w:t>form</w:t>
      </w:r>
      <w:r>
        <w:rPr>
          <w:spacing w:val="-12"/>
        </w:rPr>
        <w:t> </w:t>
      </w:r>
      <w:r>
        <w:rPr/>
        <w:t>a</w:t>
      </w:r>
      <w:r>
        <w:rPr>
          <w:spacing w:val="-13"/>
        </w:rPr>
        <w:t> </w:t>
      </w:r>
      <w:r>
        <w:rPr/>
        <w:t>protective</w:t>
      </w:r>
      <w:r>
        <w:rPr>
          <w:spacing w:val="-12"/>
        </w:rPr>
        <w:t> </w:t>
      </w:r>
      <w:r>
        <w:rPr/>
        <w:t>layer</w:t>
      </w:r>
      <w:r>
        <w:rPr>
          <w:spacing w:val="-13"/>
        </w:rPr>
        <w:t> </w:t>
      </w:r>
      <w:r>
        <w:rPr/>
        <w:t>on</w:t>
      </w:r>
      <w:r>
        <w:rPr>
          <w:spacing w:val="-12"/>
        </w:rPr>
        <w:t> </w:t>
      </w:r>
      <w:r>
        <w:rPr/>
        <w:t>metal surfaces, thereby reducing friction and preventing degradation caused by environmental exposure (Sultana et al., 2022; Shah et al., 2021).</w:t>
      </w:r>
    </w:p>
    <w:p>
      <w:pPr>
        <w:pStyle w:val="BodyText"/>
        <w:spacing w:before="1"/>
        <w:ind w:right="38" w:firstLine="566"/>
      </w:pPr>
      <w:r>
        <w:rPr/>
        <w:t>Another</w:t>
      </w:r>
      <w:r>
        <w:rPr>
          <w:spacing w:val="-7"/>
        </w:rPr>
        <w:t> </w:t>
      </w:r>
      <w:r>
        <w:rPr/>
        <w:t>benefit</w:t>
      </w:r>
      <w:r>
        <w:rPr>
          <w:spacing w:val="-8"/>
        </w:rPr>
        <w:t> </w:t>
      </w:r>
      <w:r>
        <w:rPr/>
        <w:t>is</w:t>
      </w:r>
      <w:r>
        <w:rPr>
          <w:spacing w:val="-8"/>
        </w:rPr>
        <w:t> </w:t>
      </w:r>
      <w:r>
        <w:rPr/>
        <w:t>long-term</w:t>
      </w:r>
      <w:r>
        <w:rPr>
          <w:spacing w:val="-7"/>
        </w:rPr>
        <w:t> </w:t>
      </w:r>
      <w:r>
        <w:rPr/>
        <w:t>cost</w:t>
      </w:r>
      <w:r>
        <w:rPr>
          <w:spacing w:val="-8"/>
        </w:rPr>
        <w:t> </w:t>
      </w:r>
      <w:r>
        <w:rPr/>
        <w:t>efficiency.</w:t>
      </w:r>
      <w:r>
        <w:rPr>
          <w:spacing w:val="-7"/>
        </w:rPr>
        <w:t> </w:t>
      </w:r>
      <w:r>
        <w:rPr/>
        <w:t>With a longer lifespan compared to conventional grease (Allmaier,</w:t>
      </w:r>
      <w:r>
        <w:rPr>
          <w:spacing w:val="-13"/>
        </w:rPr>
        <w:t> </w:t>
      </w:r>
      <w:r>
        <w:rPr/>
        <w:t>2022),</w:t>
      </w:r>
      <w:r>
        <w:rPr>
          <w:spacing w:val="-12"/>
        </w:rPr>
        <w:t> </w:t>
      </w:r>
      <w:r>
        <w:rPr/>
        <w:t>this</w:t>
      </w:r>
      <w:r>
        <w:rPr>
          <w:spacing w:val="-13"/>
        </w:rPr>
        <w:t> </w:t>
      </w:r>
      <w:r>
        <w:rPr/>
        <w:t>bio</w:t>
      </w:r>
      <w:r>
        <w:rPr>
          <w:spacing w:val="-12"/>
        </w:rPr>
        <w:t> </w:t>
      </w:r>
      <w:r>
        <w:rPr/>
        <w:t>grease</w:t>
      </w:r>
      <w:r>
        <w:rPr>
          <w:spacing w:val="-13"/>
        </w:rPr>
        <w:t> </w:t>
      </w:r>
      <w:r>
        <w:rPr/>
        <w:t>can</w:t>
      </w:r>
      <w:r>
        <w:rPr>
          <w:spacing w:val="-12"/>
        </w:rPr>
        <w:t> </w:t>
      </w:r>
      <w:r>
        <w:rPr/>
        <w:t>reduce</w:t>
      </w:r>
      <w:r>
        <w:rPr>
          <w:spacing w:val="-13"/>
        </w:rPr>
        <w:t> </w:t>
      </w:r>
      <w:r>
        <w:rPr/>
        <w:t>the</w:t>
      </w:r>
      <w:r>
        <w:rPr>
          <w:spacing w:val="-12"/>
        </w:rPr>
        <w:t> </w:t>
      </w:r>
      <w:r>
        <w:rPr/>
        <w:t>frequency of lubricant replacement (Lugt, 2016), ultimately lowering operational and machine maintenance costs (Shah &amp; Precilla, 2024). With a mini</w:t>
      </w:r>
      <w:r>
        <w:rPr>
          <w:spacing w:val="-1"/>
        </w:rPr>
        <w:t> </w:t>
      </w:r>
      <w:r>
        <w:rPr/>
        <w:t>plant</w:t>
      </w:r>
      <w:r>
        <w:rPr>
          <w:spacing w:val="-1"/>
        </w:rPr>
        <w:t> </w:t>
      </w:r>
      <w:r>
        <w:rPr/>
        <w:t>(SME)-based production</w:t>
      </w:r>
      <w:r>
        <w:rPr>
          <w:spacing w:val="-12"/>
        </w:rPr>
        <w:t> </w:t>
      </w:r>
      <w:r>
        <w:rPr/>
        <w:t>approach,</w:t>
      </w:r>
      <w:r>
        <w:rPr>
          <w:spacing w:val="-11"/>
        </w:rPr>
        <w:t> </w:t>
      </w:r>
      <w:r>
        <w:rPr/>
        <w:t>this</w:t>
      </w:r>
      <w:r>
        <w:rPr>
          <w:spacing w:val="-13"/>
        </w:rPr>
        <w:t> </w:t>
      </w:r>
      <w:r>
        <w:rPr/>
        <w:t>bio</w:t>
      </w:r>
      <w:r>
        <w:rPr>
          <w:spacing w:val="-12"/>
        </w:rPr>
        <w:t> </w:t>
      </w:r>
      <w:r>
        <w:rPr/>
        <w:t>grease</w:t>
      </w:r>
      <w:r>
        <w:rPr>
          <w:spacing w:val="-12"/>
        </w:rPr>
        <w:t> </w:t>
      </w:r>
      <w:r>
        <w:rPr/>
        <w:t>also</w:t>
      </w:r>
      <w:r>
        <w:rPr>
          <w:spacing w:val="-12"/>
        </w:rPr>
        <w:t> </w:t>
      </w:r>
      <w:r>
        <w:rPr/>
        <w:t>creates</w:t>
      </w:r>
      <w:r>
        <w:rPr>
          <w:spacing w:val="-13"/>
        </w:rPr>
        <w:t> </w:t>
      </w:r>
      <w:r>
        <w:rPr/>
        <w:t>business opportunities for the industry and supports the development of industries based on local raw materials.</w:t>
      </w:r>
    </w:p>
    <w:p>
      <w:pPr>
        <w:pStyle w:val="Heading1"/>
        <w:numPr>
          <w:ilvl w:val="1"/>
          <w:numId w:val="1"/>
        </w:numPr>
        <w:tabs>
          <w:tab w:pos="663" w:val="left" w:leader="none"/>
        </w:tabs>
        <w:spacing w:line="240" w:lineRule="auto" w:before="229" w:after="0"/>
        <w:ind w:left="338" w:right="45" w:firstLine="0"/>
        <w:jc w:val="left"/>
      </w:pPr>
      <w:r>
        <w:rPr/>
        <w:t>Potential Development of MSMEs in the Grease </w:t>
      </w:r>
      <w:r>
        <w:rPr>
          <w:spacing w:val="-2"/>
        </w:rPr>
        <w:t>Sector</w:t>
      </w:r>
    </w:p>
    <w:p>
      <w:pPr>
        <w:pStyle w:val="BodyText"/>
        <w:spacing w:before="91"/>
        <w:ind w:left="339" w:right="49"/>
      </w:pPr>
      <w:r>
        <w:rPr/>
        <w:br w:type="column"/>
      </w:r>
      <w:r>
        <w:rPr/>
        <w:t>large-scale plants. According to the Ministry of Industry (2023), there are 52 companies registered as lubricant producers</w:t>
      </w:r>
      <w:r>
        <w:rPr>
          <w:spacing w:val="-2"/>
        </w:rPr>
        <w:t> </w:t>
      </w:r>
      <w:r>
        <w:rPr/>
        <w:t>in</w:t>
      </w:r>
      <w:r>
        <w:rPr>
          <w:spacing w:val="-2"/>
        </w:rPr>
        <w:t> </w:t>
      </w:r>
      <w:r>
        <w:rPr/>
        <w:t>the</w:t>
      </w:r>
      <w:r>
        <w:rPr>
          <w:spacing w:val="-2"/>
        </w:rPr>
        <w:t> </w:t>
      </w:r>
      <w:r>
        <w:rPr/>
        <w:t>National</w:t>
      </w:r>
      <w:r>
        <w:rPr>
          <w:spacing w:val="-4"/>
        </w:rPr>
        <w:t> </w:t>
      </w:r>
      <w:r>
        <w:rPr/>
        <w:t>Industrial</w:t>
      </w:r>
      <w:r>
        <w:rPr>
          <w:spacing w:val="-2"/>
        </w:rPr>
        <w:t> </w:t>
      </w:r>
      <w:r>
        <w:rPr/>
        <w:t>Information</w:t>
      </w:r>
      <w:r>
        <w:rPr>
          <w:spacing w:val="-2"/>
        </w:rPr>
        <w:t> </w:t>
      </w:r>
      <w:r>
        <w:rPr/>
        <w:t>System, with an installed production capacity of up to 2 million kiloliters per year. Of this capacity, the recorded actual production is 1.2 million KL per year. As of 2023, this industry employed 4,898 workers. The SME-based mini plant aligns with the minimum annual bio grease production standard of only 36 tons/year.</w:t>
      </w:r>
    </w:p>
    <w:p>
      <w:pPr>
        <w:pStyle w:val="BodyText"/>
        <w:ind w:left="339" w:right="49" w:firstLine="566"/>
      </w:pPr>
      <w:r>
        <w:rPr/>
        <w:drawing>
          <wp:anchor distT="0" distB="0" distL="0" distR="0" allowOverlap="1" layoutInCell="1" locked="0" behindDoc="0" simplePos="0" relativeHeight="15738880">
            <wp:simplePos x="0" y="0"/>
            <wp:positionH relativeFrom="page">
              <wp:posOffset>4154804</wp:posOffset>
            </wp:positionH>
            <wp:positionV relativeFrom="paragraph">
              <wp:posOffset>2190404</wp:posOffset>
            </wp:positionV>
            <wp:extent cx="2889250" cy="1738883"/>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7" cstate="print"/>
                    <a:stretch>
                      <a:fillRect/>
                    </a:stretch>
                  </pic:blipFill>
                  <pic:spPr>
                    <a:xfrm>
                      <a:off x="0" y="0"/>
                      <a:ext cx="2889250" cy="1738883"/>
                    </a:xfrm>
                    <a:prstGeom prst="rect">
                      <a:avLst/>
                    </a:prstGeom>
                  </pic:spPr>
                </pic:pic>
              </a:graphicData>
            </a:graphic>
          </wp:anchor>
        </w:drawing>
      </w:r>
      <w:r>
        <w:rPr/>
        <w:t>With the right production and marketing strategies, this mini plant has the potential to become an innovative</w:t>
      </w:r>
      <w:r>
        <w:rPr>
          <w:spacing w:val="-8"/>
        </w:rPr>
        <w:t> </w:t>
      </w:r>
      <w:r>
        <w:rPr/>
        <w:t>and</w:t>
      </w:r>
      <w:r>
        <w:rPr>
          <w:spacing w:val="-7"/>
        </w:rPr>
        <w:t> </w:t>
      </w:r>
      <w:r>
        <w:rPr/>
        <w:t>highly</w:t>
      </w:r>
      <w:r>
        <w:rPr>
          <w:spacing w:val="-8"/>
        </w:rPr>
        <w:t> </w:t>
      </w:r>
      <w:r>
        <w:rPr/>
        <w:t>competitive</w:t>
      </w:r>
      <w:r>
        <w:rPr>
          <w:spacing w:val="-8"/>
        </w:rPr>
        <w:t> </w:t>
      </w:r>
      <w:r>
        <w:rPr/>
        <w:t>SME</w:t>
      </w:r>
      <w:r>
        <w:rPr>
          <w:spacing w:val="-8"/>
        </w:rPr>
        <w:t> </w:t>
      </w:r>
      <w:r>
        <w:rPr/>
        <w:t>model.</w:t>
      </w:r>
      <w:r>
        <w:rPr>
          <w:spacing w:val="-8"/>
        </w:rPr>
        <w:t> </w:t>
      </w:r>
      <w:r>
        <w:rPr/>
        <w:t>The</w:t>
      </w:r>
      <w:r>
        <w:rPr>
          <w:spacing w:val="-8"/>
        </w:rPr>
        <w:t> </w:t>
      </w:r>
      <w:r>
        <w:rPr/>
        <w:t>mini plant</w:t>
      </w:r>
      <w:r>
        <w:rPr>
          <w:spacing w:val="-13"/>
        </w:rPr>
        <w:t> </w:t>
      </w:r>
      <w:r>
        <w:rPr/>
        <w:t>concept</w:t>
      </w:r>
      <w:r>
        <w:rPr>
          <w:spacing w:val="-12"/>
        </w:rPr>
        <w:t> </w:t>
      </w:r>
      <w:r>
        <w:rPr/>
        <w:t>refers</w:t>
      </w:r>
      <w:r>
        <w:rPr>
          <w:spacing w:val="-13"/>
        </w:rPr>
        <w:t> </w:t>
      </w:r>
      <w:r>
        <w:rPr/>
        <w:t>to</w:t>
      </w:r>
      <w:r>
        <w:rPr>
          <w:spacing w:val="-12"/>
        </w:rPr>
        <w:t> </w:t>
      </w:r>
      <w:r>
        <w:rPr/>
        <w:t>PM</w:t>
      </w:r>
      <w:r>
        <w:rPr>
          <w:spacing w:val="-12"/>
        </w:rPr>
        <w:t> </w:t>
      </w:r>
      <w:r>
        <w:rPr/>
        <w:t>KUKM</w:t>
      </w:r>
      <w:r>
        <w:rPr>
          <w:spacing w:val="-11"/>
        </w:rPr>
        <w:t> </w:t>
      </w:r>
      <w:r>
        <w:rPr/>
        <w:t>11</w:t>
      </w:r>
      <w:r>
        <w:rPr>
          <w:spacing w:val="-13"/>
        </w:rPr>
        <w:t> </w:t>
      </w:r>
      <w:r>
        <w:rPr/>
        <w:t>of</w:t>
      </w:r>
      <w:r>
        <w:rPr>
          <w:spacing w:val="-12"/>
        </w:rPr>
        <w:t> </w:t>
      </w:r>
      <w:r>
        <w:rPr/>
        <w:t>2022</w:t>
      </w:r>
      <w:r>
        <w:rPr>
          <w:spacing w:val="-13"/>
        </w:rPr>
        <w:t> </w:t>
      </w:r>
      <w:r>
        <w:rPr/>
        <w:t>concerning net asset value, business turnover, and the number of employees. Additionally, it complies with Article 36 paragraph</w:t>
      </w:r>
      <w:r>
        <w:rPr>
          <w:spacing w:val="-13"/>
        </w:rPr>
        <w:t> </w:t>
      </w:r>
      <w:r>
        <w:rPr/>
        <w:t>(2)</w:t>
      </w:r>
      <w:r>
        <w:rPr>
          <w:spacing w:val="-12"/>
        </w:rPr>
        <w:t> </w:t>
      </w:r>
      <w:r>
        <w:rPr/>
        <w:t>of</w:t>
      </w:r>
      <w:r>
        <w:rPr>
          <w:spacing w:val="-13"/>
        </w:rPr>
        <w:t> </w:t>
      </w:r>
      <w:r>
        <w:rPr/>
        <w:t>Government</w:t>
      </w:r>
      <w:r>
        <w:rPr>
          <w:spacing w:val="-12"/>
        </w:rPr>
        <w:t> </w:t>
      </w:r>
      <w:r>
        <w:rPr/>
        <w:t>Regulation</w:t>
      </w:r>
      <w:r>
        <w:rPr>
          <w:spacing w:val="-13"/>
        </w:rPr>
        <w:t> </w:t>
      </w:r>
      <w:r>
        <w:rPr/>
        <w:t>(PP)</w:t>
      </w:r>
      <w:r>
        <w:rPr>
          <w:spacing w:val="-12"/>
        </w:rPr>
        <w:t> </w:t>
      </w:r>
      <w:r>
        <w:rPr/>
        <w:t>Number</w:t>
      </w:r>
      <w:r>
        <w:rPr>
          <w:spacing w:val="-13"/>
        </w:rPr>
        <w:t> </w:t>
      </w:r>
      <w:r>
        <w:rPr/>
        <w:t>36 of 2021 on Wages, which stipulates that the minimum wage for MSMEs must be at least 50% of the average provincial household consumption and at least 25% above the poverty line in Indonesia. According to Statistics Indonesia (BPS) 2024, the number of workers in 2023 increased by 4% from 2022, as shown in Figure </w:t>
      </w:r>
      <w:r>
        <w:rPr>
          <w:spacing w:val="-6"/>
        </w:rPr>
        <w:t>5.</w:t>
      </w:r>
    </w:p>
    <w:p>
      <w:pPr>
        <w:pStyle w:val="BodyText"/>
        <w:spacing w:after="0"/>
        <w:sectPr>
          <w:type w:val="continuous"/>
          <w:pgSz w:w="12240" w:h="15840"/>
          <w:pgMar w:header="851" w:footer="1027" w:top="640" w:bottom="1180" w:left="1080" w:right="1080"/>
          <w:cols w:num="2" w:equalWidth="0">
            <w:col w:w="4943" w:space="181"/>
            <w:col w:w="4956"/>
          </w:cols>
        </w:sectPr>
      </w:pPr>
    </w:p>
    <w:p>
      <w:pPr>
        <w:pStyle w:val="BodyText"/>
        <w:ind w:right="38" w:firstLine="566"/>
      </w:pPr>
      <w:r>
        <w:rPr/>
        <w:t>In this preliminary design of the mini plant, the main material used is palm oil estolide. Estolide is a modified palm oil compound with oxidation stability (Khan et al., 2022), biodegradability (Hamnas &amp; Unnikrishnan, 2023), and environmental friendliness (Hoong</w:t>
      </w:r>
      <w:r>
        <w:rPr>
          <w:spacing w:val="-10"/>
        </w:rPr>
        <w:t> </w:t>
      </w:r>
      <w:r>
        <w:rPr/>
        <w:t>et</w:t>
      </w:r>
      <w:r>
        <w:rPr>
          <w:spacing w:val="-9"/>
        </w:rPr>
        <w:t> </w:t>
      </w:r>
      <w:r>
        <w:rPr/>
        <w:t>al.,</w:t>
      </w:r>
      <w:r>
        <w:rPr>
          <w:spacing w:val="-11"/>
        </w:rPr>
        <w:t> </w:t>
      </w:r>
      <w:r>
        <w:rPr/>
        <w:t>2019),</w:t>
      </w:r>
      <w:r>
        <w:rPr>
          <w:spacing w:val="-11"/>
        </w:rPr>
        <w:t> </w:t>
      </w:r>
      <w:r>
        <w:rPr/>
        <w:t>making</w:t>
      </w:r>
      <w:r>
        <w:rPr>
          <w:spacing w:val="-8"/>
        </w:rPr>
        <w:t> </w:t>
      </w:r>
      <w:r>
        <w:rPr/>
        <w:t>it</w:t>
      </w:r>
      <w:r>
        <w:rPr>
          <w:spacing w:val="-12"/>
        </w:rPr>
        <w:t> </w:t>
      </w:r>
      <w:r>
        <w:rPr/>
        <w:t>suitable</w:t>
      </w:r>
      <w:r>
        <w:rPr>
          <w:spacing w:val="-9"/>
        </w:rPr>
        <w:t> </w:t>
      </w:r>
      <w:r>
        <w:rPr/>
        <w:t>as</w:t>
      </w:r>
      <w:r>
        <w:rPr>
          <w:spacing w:val="-9"/>
        </w:rPr>
        <w:t> </w:t>
      </w:r>
      <w:r>
        <w:rPr/>
        <w:t>a</w:t>
      </w:r>
      <w:r>
        <w:rPr>
          <w:spacing w:val="-8"/>
        </w:rPr>
        <w:t> </w:t>
      </w:r>
      <w:r>
        <w:rPr/>
        <w:t>base</w:t>
      </w:r>
      <w:r>
        <w:rPr>
          <w:spacing w:val="-9"/>
        </w:rPr>
        <w:t> </w:t>
      </w:r>
      <w:r>
        <w:rPr/>
        <w:t>material for bio grease. Currently, palm oil production in Indonesia</w:t>
      </w:r>
      <w:r>
        <w:rPr>
          <w:spacing w:val="-3"/>
        </w:rPr>
        <w:t> </w:t>
      </w:r>
      <w:r>
        <w:rPr/>
        <w:t>reaches</w:t>
      </w:r>
      <w:r>
        <w:rPr>
          <w:spacing w:val="-3"/>
        </w:rPr>
        <w:t> </w:t>
      </w:r>
      <w:r>
        <w:rPr/>
        <w:t>50</w:t>
      </w:r>
      <w:r>
        <w:rPr>
          <w:spacing w:val="-2"/>
        </w:rPr>
        <w:t> </w:t>
      </w:r>
      <w:r>
        <w:rPr/>
        <w:t>million</w:t>
      </w:r>
      <w:r>
        <w:rPr>
          <w:spacing w:val="-4"/>
        </w:rPr>
        <w:t> </w:t>
      </w:r>
      <w:r>
        <w:rPr/>
        <w:t>tons</w:t>
      </w:r>
      <w:r>
        <w:rPr>
          <w:spacing w:val="-4"/>
        </w:rPr>
        <w:t> </w:t>
      </w:r>
      <w:r>
        <w:rPr/>
        <w:t>per</w:t>
      </w:r>
      <w:r>
        <w:rPr>
          <w:spacing w:val="-4"/>
        </w:rPr>
        <w:t> </w:t>
      </w:r>
      <w:r>
        <w:rPr/>
        <w:t>year.</w:t>
      </w:r>
      <w:r>
        <w:rPr>
          <w:spacing w:val="-4"/>
        </w:rPr>
        <w:t> </w:t>
      </w:r>
      <w:r>
        <w:rPr/>
        <w:t>The</w:t>
      </w:r>
      <w:r>
        <w:rPr>
          <w:spacing w:val="-4"/>
        </w:rPr>
        <w:t> </w:t>
      </w:r>
      <w:r>
        <w:rPr/>
        <w:t>potential for a heavy-duty Bio grease Calcium Sulfo-Ole plant based on palm oil estolide is significant due to the sustainable availability of raw materials, projected to reach 80 million</w:t>
      </w:r>
      <w:r>
        <w:rPr>
          <w:spacing w:val="-1"/>
        </w:rPr>
        <w:t> </w:t>
      </w:r>
      <w:r>
        <w:rPr/>
        <w:t>tons</w:t>
      </w:r>
      <w:r>
        <w:rPr>
          <w:spacing w:val="-2"/>
        </w:rPr>
        <w:t> </w:t>
      </w:r>
      <w:r>
        <w:rPr/>
        <w:t>by</w:t>
      </w:r>
      <w:r>
        <w:rPr>
          <w:spacing w:val="-1"/>
        </w:rPr>
        <w:t> </w:t>
      </w:r>
      <w:r>
        <w:rPr/>
        <w:t>2030</w:t>
      </w:r>
      <w:r>
        <w:rPr>
          <w:spacing w:val="-1"/>
        </w:rPr>
        <w:t> </w:t>
      </w:r>
      <w:r>
        <w:rPr/>
        <w:t>(Rahman et</w:t>
      </w:r>
      <w:r>
        <w:rPr>
          <w:spacing w:val="-2"/>
        </w:rPr>
        <w:t> </w:t>
      </w:r>
      <w:r>
        <w:rPr/>
        <w:t>al.,</w:t>
      </w:r>
      <w:r>
        <w:rPr>
          <w:spacing w:val="-2"/>
        </w:rPr>
        <w:t> </w:t>
      </w:r>
      <w:r>
        <w:rPr/>
        <w:t>2024) and between 130–176 million tons by 2050. This ensures a stable</w:t>
      </w:r>
      <w:r>
        <w:rPr>
          <w:spacing w:val="-11"/>
        </w:rPr>
        <w:t> </w:t>
      </w:r>
      <w:r>
        <w:rPr/>
        <w:t>supply</w:t>
      </w:r>
      <w:r>
        <w:rPr>
          <w:spacing w:val="-10"/>
        </w:rPr>
        <w:t> </w:t>
      </w:r>
      <w:r>
        <w:rPr/>
        <w:t>of</w:t>
      </w:r>
      <w:r>
        <w:rPr>
          <w:spacing w:val="-11"/>
        </w:rPr>
        <w:t> </w:t>
      </w:r>
      <w:r>
        <w:rPr/>
        <w:t>palm</w:t>
      </w:r>
      <w:r>
        <w:rPr>
          <w:spacing w:val="-10"/>
        </w:rPr>
        <w:t> </w:t>
      </w:r>
      <w:r>
        <w:rPr/>
        <w:t>oil</w:t>
      </w:r>
      <w:r>
        <w:rPr>
          <w:spacing w:val="-12"/>
        </w:rPr>
        <w:t> </w:t>
      </w:r>
      <w:r>
        <w:rPr/>
        <w:t>(Afriyanti</w:t>
      </w:r>
      <w:r>
        <w:rPr>
          <w:spacing w:val="-12"/>
        </w:rPr>
        <w:t> </w:t>
      </w:r>
      <w:r>
        <w:rPr/>
        <w:t>et</w:t>
      </w:r>
      <w:r>
        <w:rPr>
          <w:spacing w:val="-11"/>
        </w:rPr>
        <w:t> </w:t>
      </w:r>
      <w:r>
        <w:rPr/>
        <w:t>al.,</w:t>
      </w:r>
      <w:r>
        <w:rPr>
          <w:spacing w:val="-11"/>
        </w:rPr>
        <w:t> </w:t>
      </w:r>
      <w:r>
        <w:rPr/>
        <w:t>2016).</w:t>
      </w:r>
      <w:r>
        <w:rPr>
          <w:spacing w:val="-11"/>
        </w:rPr>
        <w:t> </w:t>
      </w:r>
      <w:r>
        <w:rPr/>
        <w:t>With</w:t>
      </w:r>
      <w:r>
        <w:rPr>
          <w:spacing w:val="-11"/>
        </w:rPr>
        <w:t> </w:t>
      </w:r>
      <w:r>
        <w:rPr/>
        <w:t>the increasing</w:t>
      </w:r>
      <w:r>
        <w:rPr>
          <w:spacing w:val="-13"/>
        </w:rPr>
        <w:t> </w:t>
      </w:r>
      <w:r>
        <w:rPr/>
        <w:t>global</w:t>
      </w:r>
      <w:r>
        <w:rPr>
          <w:spacing w:val="-12"/>
        </w:rPr>
        <w:t> </w:t>
      </w:r>
      <w:r>
        <w:rPr/>
        <w:t>regulations</w:t>
      </w:r>
      <w:r>
        <w:rPr>
          <w:spacing w:val="-13"/>
        </w:rPr>
        <w:t> </w:t>
      </w:r>
      <w:r>
        <w:rPr/>
        <w:t>on</w:t>
      </w:r>
      <w:r>
        <w:rPr>
          <w:spacing w:val="-12"/>
        </w:rPr>
        <w:t> </w:t>
      </w:r>
      <w:r>
        <w:rPr/>
        <w:t>environmentally</w:t>
      </w:r>
      <w:r>
        <w:rPr>
          <w:spacing w:val="-13"/>
        </w:rPr>
        <w:t> </w:t>
      </w:r>
      <w:r>
        <w:rPr/>
        <w:t>friendly lubricants, the demand for bio grease continues to grow, especially in the industrial, automotive, and heavy equipment sectors (Sharma &amp; Singh, 2019).</w:t>
      </w:r>
    </w:p>
    <w:p>
      <w:pPr>
        <w:pStyle w:val="BodyText"/>
        <w:ind w:right="40" w:firstLine="566"/>
      </w:pPr>
      <w:r>
        <w:rPr/>
        <w:t>The mini plant concept on an SME scale offers production</w:t>
      </w:r>
      <w:r>
        <w:rPr>
          <w:spacing w:val="-11"/>
        </w:rPr>
        <w:t> </w:t>
      </w:r>
      <w:r>
        <w:rPr/>
        <w:t>flexibility</w:t>
      </w:r>
      <w:r>
        <w:rPr>
          <w:spacing w:val="-11"/>
        </w:rPr>
        <w:t> </w:t>
      </w:r>
      <w:r>
        <w:rPr/>
        <w:t>with</w:t>
      </w:r>
      <w:r>
        <w:rPr>
          <w:spacing w:val="-10"/>
        </w:rPr>
        <w:t> </w:t>
      </w:r>
      <w:r>
        <w:rPr/>
        <w:t>lower</w:t>
      </w:r>
      <w:r>
        <w:rPr>
          <w:spacing w:val="-11"/>
        </w:rPr>
        <w:t> </w:t>
      </w:r>
      <w:r>
        <w:rPr/>
        <w:t>investment</w:t>
      </w:r>
      <w:r>
        <w:rPr>
          <w:spacing w:val="-11"/>
        </w:rPr>
        <w:t> </w:t>
      </w:r>
      <w:r>
        <w:rPr/>
        <w:t>compared</w:t>
      </w:r>
      <w:r>
        <w:rPr>
          <w:spacing w:val="-11"/>
        </w:rPr>
        <w:t> </w:t>
      </w:r>
      <w:r>
        <w:rPr>
          <w:spacing w:val="-5"/>
        </w:rPr>
        <w:t>to</w:t>
      </w:r>
    </w:p>
    <w:p>
      <w:pPr>
        <w:pStyle w:val="BodyText"/>
        <w:spacing w:before="211"/>
        <w:ind w:left="1261" w:right="53" w:hanging="834"/>
        <w:jc w:val="left"/>
      </w:pPr>
      <w:r>
        <w:rPr/>
        <w:br w:type="column"/>
      </w:r>
      <w:r>
        <w:rPr>
          <w:b/>
        </w:rPr>
        <w:t>Figure</w:t>
      </w:r>
      <w:r>
        <w:rPr>
          <w:b/>
          <w:spacing w:val="-5"/>
        </w:rPr>
        <w:t> </w:t>
      </w:r>
      <w:r>
        <w:rPr>
          <w:b/>
        </w:rPr>
        <w:t>5.</w:t>
      </w:r>
      <w:r>
        <w:rPr>
          <w:b/>
          <w:spacing w:val="-4"/>
        </w:rPr>
        <w:t> </w:t>
      </w:r>
      <w:r>
        <w:rPr/>
        <w:t>Number</w:t>
      </w:r>
      <w:r>
        <w:rPr>
          <w:spacing w:val="-5"/>
        </w:rPr>
        <w:t> </w:t>
      </w:r>
      <w:r>
        <w:rPr/>
        <w:t>of</w:t>
      </w:r>
      <w:r>
        <w:rPr>
          <w:spacing w:val="-7"/>
        </w:rPr>
        <w:t> </w:t>
      </w:r>
      <w:r>
        <w:rPr/>
        <w:t>MSMEs</w:t>
      </w:r>
      <w:r>
        <w:rPr>
          <w:spacing w:val="-6"/>
        </w:rPr>
        <w:t> </w:t>
      </w:r>
      <w:r>
        <w:rPr/>
        <w:t>employees</w:t>
      </w:r>
      <w:r>
        <w:rPr>
          <w:spacing w:val="-6"/>
        </w:rPr>
        <w:t> </w:t>
      </w:r>
      <w:r>
        <w:rPr/>
        <w:t>in</w:t>
      </w:r>
      <w:r>
        <w:rPr>
          <w:spacing w:val="-4"/>
        </w:rPr>
        <w:t> </w:t>
      </w:r>
      <w:r>
        <w:rPr/>
        <w:t>West</w:t>
      </w:r>
      <w:r>
        <w:rPr>
          <w:spacing w:val="-6"/>
        </w:rPr>
        <w:t> </w:t>
      </w:r>
      <w:r>
        <w:rPr/>
        <w:t>Java in 2021-2023 (BPS, 2024).</w:t>
      </w:r>
    </w:p>
    <w:p>
      <w:pPr>
        <w:pStyle w:val="BodyText"/>
        <w:spacing w:before="1"/>
        <w:ind w:left="0"/>
        <w:jc w:val="left"/>
      </w:pPr>
    </w:p>
    <w:p>
      <w:pPr>
        <w:pStyle w:val="BodyText"/>
        <w:ind w:left="339" w:right="49" w:firstLine="566"/>
      </w:pPr>
      <w:r>
        <w:rPr/>
        <w:t>With</w:t>
      </w:r>
      <w:r>
        <w:rPr>
          <w:spacing w:val="-6"/>
        </w:rPr>
        <w:t> </w:t>
      </w:r>
      <w:r>
        <w:rPr/>
        <w:t>the</w:t>
      </w:r>
      <w:r>
        <w:rPr>
          <w:spacing w:val="-6"/>
        </w:rPr>
        <w:t> </w:t>
      </w:r>
      <w:r>
        <w:rPr/>
        <w:t>4%</w:t>
      </w:r>
      <w:r>
        <w:rPr>
          <w:spacing w:val="-7"/>
        </w:rPr>
        <w:t> </w:t>
      </w:r>
      <w:r>
        <w:rPr/>
        <w:t>increase</w:t>
      </w:r>
      <w:r>
        <w:rPr>
          <w:spacing w:val="-6"/>
        </w:rPr>
        <w:t> </w:t>
      </w:r>
      <w:r>
        <w:rPr/>
        <w:t>in</w:t>
      </w:r>
      <w:r>
        <w:rPr>
          <w:spacing w:val="-6"/>
        </w:rPr>
        <w:t> </w:t>
      </w:r>
      <w:r>
        <w:rPr/>
        <w:t>the</w:t>
      </w:r>
      <w:r>
        <w:rPr>
          <w:spacing w:val="-6"/>
        </w:rPr>
        <w:t> </w:t>
      </w:r>
      <w:r>
        <w:rPr/>
        <w:t>number</w:t>
      </w:r>
      <w:r>
        <w:rPr>
          <w:spacing w:val="-5"/>
        </w:rPr>
        <w:t> </w:t>
      </w:r>
      <w:r>
        <w:rPr/>
        <w:t>of</w:t>
      </w:r>
      <w:r>
        <w:rPr>
          <w:spacing w:val="-8"/>
        </w:rPr>
        <w:t> </w:t>
      </w:r>
      <w:r>
        <w:rPr/>
        <w:t>MSMEs</w:t>
      </w:r>
      <w:r>
        <w:rPr>
          <w:spacing w:val="-7"/>
        </w:rPr>
        <w:t> </w:t>
      </w:r>
      <w:r>
        <w:rPr/>
        <w:t>in Indonesia, the establishment of a heavy-duty bio grease mini</w:t>
      </w:r>
      <w:r>
        <w:rPr>
          <w:spacing w:val="-9"/>
        </w:rPr>
        <w:t> </w:t>
      </w:r>
      <w:r>
        <w:rPr/>
        <w:t>plant</w:t>
      </w:r>
      <w:r>
        <w:rPr>
          <w:spacing w:val="-9"/>
        </w:rPr>
        <w:t> </w:t>
      </w:r>
      <w:r>
        <w:rPr/>
        <w:t>based</w:t>
      </w:r>
      <w:r>
        <w:rPr>
          <w:spacing w:val="-8"/>
        </w:rPr>
        <w:t> </w:t>
      </w:r>
      <w:r>
        <w:rPr/>
        <w:t>on</w:t>
      </w:r>
      <w:r>
        <w:rPr>
          <w:spacing w:val="-8"/>
        </w:rPr>
        <w:t> </w:t>
      </w:r>
      <w:r>
        <w:rPr/>
        <w:t>palm</w:t>
      </w:r>
      <w:r>
        <w:rPr>
          <w:spacing w:val="-10"/>
        </w:rPr>
        <w:t> </w:t>
      </w:r>
      <w:r>
        <w:rPr/>
        <w:t>oil</w:t>
      </w:r>
      <w:r>
        <w:rPr>
          <w:spacing w:val="-9"/>
        </w:rPr>
        <w:t> </w:t>
      </w:r>
      <w:r>
        <w:rPr/>
        <w:t>estolides</w:t>
      </w:r>
      <w:r>
        <w:rPr>
          <w:spacing w:val="-9"/>
        </w:rPr>
        <w:t> </w:t>
      </w:r>
      <w:r>
        <w:rPr/>
        <w:t>presents</w:t>
      </w:r>
      <w:r>
        <w:rPr>
          <w:spacing w:val="-10"/>
        </w:rPr>
        <w:t> </w:t>
      </w:r>
      <w:r>
        <w:rPr/>
        <w:t>a</w:t>
      </w:r>
      <w:r>
        <w:rPr>
          <w:spacing w:val="-8"/>
        </w:rPr>
        <w:t> </w:t>
      </w:r>
      <w:r>
        <w:rPr/>
        <w:t>strategic opportunity to enhance the added value of the environmentally friendly lubricant industry. This mini plant not only supports the diversification of palm oil- based products but also strengthens the local industrial supply chain, creates employment opportunities, and reduces dependence on imported conventional grease. Moreover, the</w:t>
      </w:r>
      <w:r>
        <w:rPr>
          <w:spacing w:val="-2"/>
        </w:rPr>
        <w:t> </w:t>
      </w:r>
      <w:r>
        <w:rPr/>
        <w:t>production</w:t>
      </w:r>
      <w:r>
        <w:rPr>
          <w:spacing w:val="-2"/>
        </w:rPr>
        <w:t> </w:t>
      </w:r>
      <w:r>
        <w:rPr/>
        <w:t>of</w:t>
      </w:r>
      <w:r>
        <w:rPr>
          <w:spacing w:val="-4"/>
        </w:rPr>
        <w:t> </w:t>
      </w:r>
      <w:r>
        <w:rPr/>
        <w:t>more sustainable bio grease can</w:t>
      </w:r>
      <w:r>
        <w:rPr>
          <w:spacing w:val="-9"/>
        </w:rPr>
        <w:t> </w:t>
      </w:r>
      <w:r>
        <w:rPr/>
        <w:t>enhance</w:t>
      </w:r>
      <w:r>
        <w:rPr>
          <w:spacing w:val="-9"/>
        </w:rPr>
        <w:t> </w:t>
      </w:r>
      <w:r>
        <w:rPr/>
        <w:t>the</w:t>
      </w:r>
      <w:r>
        <w:rPr>
          <w:spacing w:val="-9"/>
        </w:rPr>
        <w:t> </w:t>
      </w:r>
      <w:r>
        <w:rPr/>
        <w:t>competitiveness</w:t>
      </w:r>
      <w:r>
        <w:rPr>
          <w:spacing w:val="-11"/>
        </w:rPr>
        <w:t> </w:t>
      </w:r>
      <w:r>
        <w:rPr/>
        <w:t>of</w:t>
      </w:r>
      <w:r>
        <w:rPr>
          <w:spacing w:val="-9"/>
        </w:rPr>
        <w:t> </w:t>
      </w:r>
      <w:r>
        <w:rPr/>
        <w:t>MSMEs</w:t>
      </w:r>
      <w:r>
        <w:rPr>
          <w:spacing w:val="-11"/>
        </w:rPr>
        <w:t> </w:t>
      </w:r>
      <w:r>
        <w:rPr/>
        <w:t>in</w:t>
      </w:r>
      <w:r>
        <w:rPr>
          <w:spacing w:val="-9"/>
        </w:rPr>
        <w:t> </w:t>
      </w:r>
      <w:r>
        <w:rPr/>
        <w:t>the</w:t>
      </w:r>
      <w:r>
        <w:rPr>
          <w:spacing w:val="-9"/>
        </w:rPr>
        <w:t> </w:t>
      </w:r>
      <w:r>
        <w:rPr/>
        <w:t>global market in line with the growing demand for environmentally friendly products.</w:t>
      </w:r>
    </w:p>
    <w:p>
      <w:pPr>
        <w:pStyle w:val="BodyText"/>
        <w:spacing w:after="0"/>
        <w:sectPr>
          <w:type w:val="continuous"/>
          <w:pgSz w:w="12240" w:h="15840"/>
          <w:pgMar w:header="851" w:footer="1027" w:top="640" w:bottom="1180" w:left="1080" w:right="1080"/>
          <w:cols w:num="2" w:equalWidth="0">
            <w:col w:w="4942" w:space="182"/>
            <w:col w:w="4956"/>
          </w:cols>
        </w:sectPr>
      </w:pPr>
    </w:p>
    <w:p>
      <w:pPr>
        <w:pStyle w:val="BodyText"/>
        <w:spacing w:before="219"/>
        <w:ind w:left="0"/>
        <w:jc w:val="left"/>
      </w:pPr>
    </w:p>
    <w:p>
      <w:pPr>
        <w:pStyle w:val="BodyText"/>
        <w:spacing w:after="0"/>
        <w:jc w:val="left"/>
        <w:sectPr>
          <w:pgSz w:w="12240" w:h="15840"/>
          <w:pgMar w:header="851" w:footer="1027" w:top="1160" w:bottom="1220" w:left="1080" w:right="1080"/>
        </w:sectPr>
      </w:pPr>
    </w:p>
    <w:p>
      <w:pPr>
        <w:pStyle w:val="Heading1"/>
        <w:numPr>
          <w:ilvl w:val="0"/>
          <w:numId w:val="1"/>
        </w:numPr>
        <w:tabs>
          <w:tab w:pos="539" w:val="left" w:leader="none"/>
        </w:tabs>
        <w:spacing w:line="229" w:lineRule="exact" w:before="91" w:after="0"/>
        <w:ind w:left="539" w:right="0" w:hanging="201"/>
        <w:jc w:val="both"/>
      </w:pPr>
      <w:r>
        <w:rPr>
          <w:spacing w:val="-2"/>
        </w:rPr>
        <w:t>Conclusion</w:t>
      </w:r>
    </w:p>
    <w:p>
      <w:pPr>
        <w:pStyle w:val="BodyText"/>
        <w:ind w:right="38" w:firstLine="566"/>
      </w:pPr>
      <w:r>
        <w:rPr/>
        <w:t>Based on the economic analysis, the mini plant designed for producing palm oil estolide-based heavy- duty bio grease with a capacity of 36 tons/year is financially feasible. The project demonstrates a Net Present</w:t>
      </w:r>
      <w:r>
        <w:rPr>
          <w:spacing w:val="-13"/>
        </w:rPr>
        <w:t> </w:t>
      </w:r>
      <w:r>
        <w:rPr/>
        <w:t>Value</w:t>
      </w:r>
      <w:r>
        <w:rPr>
          <w:spacing w:val="-12"/>
        </w:rPr>
        <w:t> </w:t>
      </w:r>
      <w:r>
        <w:rPr/>
        <w:t>(NPV)</w:t>
      </w:r>
      <w:r>
        <w:rPr>
          <w:spacing w:val="-13"/>
        </w:rPr>
        <w:t> </w:t>
      </w:r>
      <w:r>
        <w:rPr/>
        <w:t>of</w:t>
      </w:r>
      <w:r>
        <w:rPr>
          <w:spacing w:val="-12"/>
        </w:rPr>
        <w:t> </w:t>
      </w:r>
      <w:r>
        <w:rPr/>
        <w:t>approximately</w:t>
      </w:r>
      <w:r>
        <w:rPr>
          <w:spacing w:val="-13"/>
        </w:rPr>
        <w:t> </w:t>
      </w:r>
      <w:r>
        <w:rPr/>
        <w:t>Rp1.3</w:t>
      </w:r>
      <w:r>
        <w:rPr>
          <w:spacing w:val="-12"/>
        </w:rPr>
        <w:t> </w:t>
      </w:r>
      <w:r>
        <w:rPr/>
        <w:t>billion</w:t>
      </w:r>
      <w:r>
        <w:rPr>
          <w:spacing w:val="-13"/>
        </w:rPr>
        <w:t> </w:t>
      </w:r>
      <w:r>
        <w:rPr/>
        <w:t>over a 10-year period, an Internal Rate of Return (IRR) of 13%, and a Return on Investment (ROI) of 206%. The Break-Even Point (BEP) reached 83% of production capacity, indicating that the business can operate profitably even before reaching full utilization. Despite requiring relatively high initial capital, the strong financial</w:t>
      </w:r>
      <w:r>
        <w:rPr>
          <w:spacing w:val="-6"/>
        </w:rPr>
        <w:t> </w:t>
      </w:r>
      <w:r>
        <w:rPr/>
        <w:t>indicators</w:t>
      </w:r>
      <w:r>
        <w:rPr>
          <w:spacing w:val="-7"/>
        </w:rPr>
        <w:t> </w:t>
      </w:r>
      <w:r>
        <w:rPr/>
        <w:t>confirm</w:t>
      </w:r>
      <w:r>
        <w:rPr>
          <w:spacing w:val="-8"/>
        </w:rPr>
        <w:t> </w:t>
      </w:r>
      <w:r>
        <w:rPr/>
        <w:t>the</w:t>
      </w:r>
      <w:r>
        <w:rPr>
          <w:spacing w:val="-6"/>
        </w:rPr>
        <w:t> </w:t>
      </w:r>
      <w:r>
        <w:rPr/>
        <w:t>economic</w:t>
      </w:r>
      <w:r>
        <w:rPr>
          <w:spacing w:val="-8"/>
        </w:rPr>
        <w:t> </w:t>
      </w:r>
      <w:r>
        <w:rPr/>
        <w:t>viability</w:t>
      </w:r>
      <w:r>
        <w:rPr>
          <w:spacing w:val="-5"/>
        </w:rPr>
        <w:t> </w:t>
      </w:r>
      <w:r>
        <w:rPr/>
        <w:t>of</w:t>
      </w:r>
      <w:r>
        <w:rPr>
          <w:spacing w:val="-6"/>
        </w:rPr>
        <w:t> </w:t>
      </w:r>
      <w:r>
        <w:rPr/>
        <w:t>the mini plant.</w:t>
      </w:r>
    </w:p>
    <w:p>
      <w:pPr>
        <w:pStyle w:val="BodyText"/>
        <w:ind w:left="0"/>
        <w:jc w:val="left"/>
      </w:pPr>
    </w:p>
    <w:p>
      <w:pPr>
        <w:pStyle w:val="Heading1"/>
        <w:spacing w:before="1"/>
        <w:ind w:left="338"/>
        <w:jc w:val="left"/>
      </w:pPr>
      <w:r>
        <w:rPr>
          <w:spacing w:val="-2"/>
        </w:rPr>
        <w:t>Acknowledgment</w:t>
      </w:r>
    </w:p>
    <w:p>
      <w:pPr>
        <w:pStyle w:val="BodyText"/>
        <w:ind w:right="38" w:firstLine="566"/>
      </w:pPr>
      <w:r>
        <w:rPr/>
        <w:t>Acknowledgments are extended to the Department of Chemical Engineering, Faculty of Engineering, Universitas Indonesia, and BRIN for supporting this research with the innovation of heavy- duty bio grease.</w:t>
      </w:r>
    </w:p>
    <w:p>
      <w:pPr>
        <w:pStyle w:val="BodyText"/>
        <w:ind w:left="0"/>
        <w:jc w:val="left"/>
      </w:pPr>
    </w:p>
    <w:p>
      <w:pPr>
        <w:pStyle w:val="Heading1"/>
        <w:ind w:left="338"/>
        <w:jc w:val="left"/>
      </w:pPr>
      <w:r>
        <w:rPr>
          <w:spacing w:val="-2"/>
        </w:rPr>
        <w:t>References</w:t>
      </w:r>
    </w:p>
    <w:p>
      <w:pPr>
        <w:pStyle w:val="BodyText"/>
        <w:spacing w:before="1"/>
        <w:ind w:left="905" w:right="38" w:hanging="567"/>
      </w:pPr>
      <w:r>
        <w:rPr/>
        <w:t>Abdulbari, H. A., &amp; Zuhan, N. (2018). Grease formulation</w:t>
      </w:r>
      <w:r>
        <w:rPr>
          <w:spacing w:val="-2"/>
        </w:rPr>
        <w:t> </w:t>
      </w:r>
      <w:r>
        <w:rPr/>
        <w:t>from</w:t>
      </w:r>
      <w:r>
        <w:rPr>
          <w:spacing w:val="-4"/>
        </w:rPr>
        <w:t> </w:t>
      </w:r>
      <w:r>
        <w:rPr/>
        <w:t>palm</w:t>
      </w:r>
      <w:r>
        <w:rPr>
          <w:spacing w:val="-4"/>
        </w:rPr>
        <w:t> </w:t>
      </w:r>
      <w:r>
        <w:rPr/>
        <w:t>oil</w:t>
      </w:r>
      <w:r>
        <w:rPr>
          <w:spacing w:val="-3"/>
        </w:rPr>
        <w:t> </w:t>
      </w:r>
      <w:r>
        <w:rPr/>
        <w:t>industry</w:t>
      </w:r>
      <w:r>
        <w:rPr>
          <w:spacing w:val="-2"/>
        </w:rPr>
        <w:t> </w:t>
      </w:r>
      <w:r>
        <w:rPr/>
        <w:t>wastes. </w:t>
      </w:r>
      <w:r>
        <w:rPr>
          <w:i/>
        </w:rPr>
        <w:t>Waste and Biomass Valorization</w:t>
      </w:r>
      <w:r>
        <w:rPr/>
        <w:t>, 9(12), 2447–2457. </w:t>
      </w:r>
      <w:r>
        <w:rPr>
          <w:spacing w:val="-2"/>
        </w:rPr>
        <w:t>https://doi.org/10.1007/s12649-018-0237-6</w:t>
      </w:r>
    </w:p>
    <w:p>
      <w:pPr>
        <w:pStyle w:val="BodyText"/>
        <w:ind w:left="905" w:right="38" w:hanging="567"/>
      </w:pPr>
      <w:r>
        <w:rPr/>
        <w:t>Abouelkasem, Z. A., Nassef, G. A., Abdelnaeem, M., &amp; Nassef, M. G. A. (2024). Enhancing the elastohydrodynamic lubrication and vibration behavior of rolling bearings using a hybrid bio- grease blended with activated carbon nanoparticles. </w:t>
      </w:r>
      <w:r>
        <w:rPr>
          <w:i/>
        </w:rPr>
        <w:t>Tribology Letters, 72</w:t>
      </w:r>
      <w:r>
        <w:rPr/>
        <w:t>, 46. </w:t>
      </w:r>
      <w:r>
        <w:rPr>
          <w:spacing w:val="-2"/>
        </w:rPr>
        <w:t>https://doi.org/10.1007/s11249-024-01847-3</w:t>
      </w:r>
    </w:p>
    <w:p>
      <w:pPr>
        <w:tabs>
          <w:tab w:pos="4317" w:val="left" w:leader="none"/>
        </w:tabs>
        <w:spacing w:before="0"/>
        <w:ind w:left="905" w:right="39" w:hanging="567"/>
        <w:jc w:val="both"/>
        <w:rPr>
          <w:sz w:val="20"/>
        </w:rPr>
      </w:pPr>
      <w:r>
        <w:rPr>
          <w:sz w:val="20"/>
        </w:rPr>
        <w:t>Adhvaryu, A., Erhan, S. Z., &amp; Perez, J. M. (2004). Preparation of soybean oil-based greases: Effect of composition and structure on physical properties. </w:t>
      </w:r>
      <w:r>
        <w:rPr>
          <w:i/>
          <w:sz w:val="20"/>
        </w:rPr>
        <w:t>Journal of Agricultural and Food </w:t>
      </w:r>
      <w:r>
        <w:rPr>
          <w:i/>
          <w:spacing w:val="-2"/>
          <w:sz w:val="20"/>
        </w:rPr>
        <w:t>Chemistry</w:t>
      </w:r>
      <w:r>
        <w:rPr>
          <w:spacing w:val="-2"/>
          <w:sz w:val="20"/>
        </w:rPr>
        <w:t>,</w:t>
      </w:r>
      <w:r>
        <w:rPr>
          <w:sz w:val="20"/>
        </w:rPr>
        <w:tab/>
      </w:r>
      <w:r>
        <w:rPr>
          <w:spacing w:val="-2"/>
          <w:sz w:val="20"/>
        </w:rPr>
        <w:t>52(21).</w:t>
      </w:r>
    </w:p>
    <w:p>
      <w:pPr>
        <w:pStyle w:val="BodyText"/>
        <w:ind w:left="905"/>
        <w:jc w:val="left"/>
      </w:pPr>
      <w:r>
        <w:rPr>
          <w:spacing w:val="-2"/>
        </w:rPr>
        <w:t>https://doi.org/10.1021/jf049888r</w:t>
      </w:r>
    </w:p>
    <w:p>
      <w:pPr>
        <w:spacing w:before="0"/>
        <w:ind w:left="905" w:right="38" w:hanging="567"/>
        <w:jc w:val="both"/>
        <w:rPr>
          <w:sz w:val="20"/>
        </w:rPr>
      </w:pPr>
      <w:r>
        <w:rPr>
          <w:sz w:val="20"/>
        </w:rPr>
        <w:t>Afrand, M., Najafabadi, K. N., &amp; Akbari, M. (2016). </w:t>
      </w:r>
      <w:r>
        <w:rPr>
          <w:i/>
          <w:sz w:val="20"/>
        </w:rPr>
        <w:t>Effects of temperature and solid volume fraction on viscosity of SiO₂-MWCNTs/SAE40 hybrid nanofluid as a coolant and lubricant in heat engines</w:t>
      </w:r>
      <w:r>
        <w:rPr>
          <w:sz w:val="20"/>
        </w:rPr>
        <w:t>.</w:t>
      </w:r>
      <w:r>
        <w:rPr>
          <w:spacing w:val="18"/>
          <w:sz w:val="20"/>
        </w:rPr>
        <w:t> </w:t>
      </w:r>
      <w:r>
        <w:rPr>
          <w:sz w:val="20"/>
        </w:rPr>
        <w:t>Applied</w:t>
      </w:r>
      <w:r>
        <w:rPr>
          <w:spacing w:val="16"/>
          <w:sz w:val="20"/>
        </w:rPr>
        <w:t> </w:t>
      </w:r>
      <w:r>
        <w:rPr>
          <w:sz w:val="20"/>
        </w:rPr>
        <w:t>Thermal</w:t>
      </w:r>
      <w:r>
        <w:rPr>
          <w:spacing w:val="15"/>
          <w:sz w:val="20"/>
        </w:rPr>
        <w:t> </w:t>
      </w:r>
      <w:r>
        <w:rPr>
          <w:sz w:val="20"/>
        </w:rPr>
        <w:t>Engineering,</w:t>
      </w:r>
      <w:r>
        <w:rPr>
          <w:spacing w:val="17"/>
          <w:sz w:val="20"/>
        </w:rPr>
        <w:t> </w:t>
      </w:r>
      <w:r>
        <w:rPr>
          <w:sz w:val="20"/>
        </w:rPr>
        <w:t>102,</w:t>
      </w:r>
      <w:r>
        <w:rPr>
          <w:spacing w:val="18"/>
          <w:sz w:val="20"/>
        </w:rPr>
        <w:t> </w:t>
      </w:r>
      <w:r>
        <w:rPr>
          <w:spacing w:val="-5"/>
          <w:sz w:val="20"/>
        </w:rPr>
        <w:t>45-</w:t>
      </w:r>
    </w:p>
    <w:p>
      <w:pPr>
        <w:pStyle w:val="BodyText"/>
        <w:ind w:left="905"/>
        <w:jc w:val="left"/>
      </w:pPr>
      <w:r>
        <w:rPr>
          <w:spacing w:val="-2"/>
        </w:rPr>
        <w:t>54.</w:t>
      </w:r>
      <w:hyperlink r:id="rId18">
        <w:r>
          <w:rPr>
            <w:spacing w:val="-2"/>
          </w:rPr>
          <w:t>http://dx.doi.org/10.1016/j.applthermaleng.20</w:t>
        </w:r>
      </w:hyperlink>
      <w:r>
        <w:rPr>
          <w:spacing w:val="-2"/>
        </w:rPr>
        <w:t> 16.04.002</w:t>
      </w:r>
    </w:p>
    <w:p>
      <w:pPr>
        <w:pStyle w:val="BodyText"/>
        <w:tabs>
          <w:tab w:pos="2695" w:val="left" w:leader="none"/>
          <w:tab w:pos="4154" w:val="left" w:leader="none"/>
        </w:tabs>
        <w:ind w:left="905" w:right="38" w:hanging="567"/>
      </w:pPr>
      <w:r>
        <w:rPr/>
        <w:t>Afriyanti, D., Kroeze, C., &amp; Saad, A. (2016). Indonesia palm</w:t>
      </w:r>
      <w:r>
        <w:rPr>
          <w:spacing w:val="-13"/>
        </w:rPr>
        <w:t> </w:t>
      </w:r>
      <w:r>
        <w:rPr/>
        <w:t>oil</w:t>
      </w:r>
      <w:r>
        <w:rPr>
          <w:spacing w:val="-12"/>
        </w:rPr>
        <w:t> </w:t>
      </w:r>
      <w:r>
        <w:rPr/>
        <w:t>production</w:t>
      </w:r>
      <w:r>
        <w:rPr>
          <w:spacing w:val="-13"/>
        </w:rPr>
        <w:t> </w:t>
      </w:r>
      <w:r>
        <w:rPr/>
        <w:t>without</w:t>
      </w:r>
      <w:r>
        <w:rPr>
          <w:spacing w:val="-12"/>
        </w:rPr>
        <w:t> </w:t>
      </w:r>
      <w:r>
        <w:rPr/>
        <w:t>deforestation</w:t>
      </w:r>
      <w:r>
        <w:rPr>
          <w:spacing w:val="-13"/>
        </w:rPr>
        <w:t> </w:t>
      </w:r>
      <w:r>
        <w:rPr/>
        <w:t>and</w:t>
      </w:r>
      <w:r>
        <w:rPr>
          <w:spacing w:val="-12"/>
        </w:rPr>
        <w:t> </w:t>
      </w:r>
      <w:r>
        <w:rPr/>
        <w:t>peat conversion by 2050. </w:t>
      </w:r>
      <w:r>
        <w:rPr>
          <w:i/>
        </w:rPr>
        <w:t>Science of the Total </w:t>
      </w:r>
      <w:r>
        <w:rPr>
          <w:i/>
          <w:spacing w:val="-2"/>
        </w:rPr>
        <w:t>Environment</w:t>
      </w:r>
      <w:r>
        <w:rPr>
          <w:spacing w:val="-2"/>
        </w:rPr>
        <w:t>,</w:t>
      </w:r>
      <w:r>
        <w:rPr/>
        <w:tab/>
      </w:r>
      <w:r>
        <w:rPr>
          <w:spacing w:val="-2"/>
        </w:rPr>
        <w:t>557–558,</w:t>
      </w:r>
      <w:r>
        <w:rPr/>
        <w:tab/>
      </w:r>
      <w:r>
        <w:rPr>
          <w:spacing w:val="-2"/>
        </w:rPr>
        <w:t>562–570. </w:t>
      </w:r>
      <w:hyperlink r:id="rId19">
        <w:r>
          <w:rPr>
            <w:spacing w:val="-2"/>
          </w:rPr>
          <w:t>http://dx.doi.org/10.1016/j.scitotenv.2016.03.032</w:t>
        </w:r>
      </w:hyperlink>
    </w:p>
    <w:p>
      <w:pPr>
        <w:pStyle w:val="BodyText"/>
        <w:ind w:left="905" w:right="41" w:hanging="567"/>
        <w:rPr>
          <w:i/>
        </w:rPr>
      </w:pPr>
      <w:r>
        <w:rPr/>
        <w:t>Agrawal, A., Karadbhajne, V., Bawa, S., Tiwari, R., &amp; Murthy, S. S. (2022). Formulation of bio greases derived</w:t>
      </w:r>
      <w:r>
        <w:rPr>
          <w:spacing w:val="45"/>
        </w:rPr>
        <w:t> </w:t>
      </w:r>
      <w:r>
        <w:rPr/>
        <w:t>from</w:t>
      </w:r>
      <w:r>
        <w:rPr>
          <w:spacing w:val="45"/>
        </w:rPr>
        <w:t> </w:t>
      </w:r>
      <w:r>
        <w:rPr/>
        <w:t>mahua</w:t>
      </w:r>
      <w:r>
        <w:rPr>
          <w:spacing w:val="44"/>
        </w:rPr>
        <w:t> </w:t>
      </w:r>
      <w:r>
        <w:rPr/>
        <w:t>and</w:t>
      </w:r>
      <w:r>
        <w:rPr>
          <w:spacing w:val="42"/>
        </w:rPr>
        <w:t> </w:t>
      </w:r>
      <w:r>
        <w:rPr/>
        <w:t>karanja</w:t>
      </w:r>
      <w:r>
        <w:rPr>
          <w:spacing w:val="44"/>
        </w:rPr>
        <w:t> </w:t>
      </w:r>
      <w:r>
        <w:rPr/>
        <w:t>oil.</w:t>
      </w:r>
      <w:r>
        <w:rPr>
          <w:spacing w:val="49"/>
        </w:rPr>
        <w:t> </w:t>
      </w:r>
      <w:r>
        <w:rPr>
          <w:i/>
          <w:spacing w:val="-2"/>
        </w:rPr>
        <w:t>Research</w:t>
      </w:r>
    </w:p>
    <w:p>
      <w:pPr>
        <w:pStyle w:val="BodyText"/>
        <w:tabs>
          <w:tab w:pos="2359" w:val="left" w:leader="none"/>
        </w:tabs>
        <w:spacing w:before="91"/>
        <w:ind w:left="905" w:right="49"/>
      </w:pPr>
      <w:r>
        <w:rPr/>
        <w:br w:type="column"/>
      </w:r>
      <w:r>
        <w:rPr>
          <w:i/>
          <w:spacing w:val="-2"/>
        </w:rPr>
        <w:t>Square</w:t>
      </w:r>
      <w:r>
        <w:rPr>
          <w:spacing w:val="-2"/>
        </w:rPr>
        <w:t>.</w:t>
      </w:r>
      <w:r>
        <w:rPr/>
        <w:tab/>
      </w:r>
      <w:r>
        <w:rPr>
          <w:spacing w:val="-2"/>
        </w:rPr>
        <w:t>https://doi.org/10.21203/rs.3.rs- 1802614/v1</w:t>
      </w:r>
    </w:p>
    <w:p>
      <w:pPr>
        <w:pStyle w:val="BodyText"/>
        <w:ind w:left="905" w:right="49" w:hanging="567"/>
      </w:pPr>
      <w:r>
        <w:rPr/>
        <w:t>Allmaier, H. (2022). Increase service life for rail wheel bearings—A review of grease lubrication for this application.</w:t>
      </w:r>
      <w:r>
        <w:rPr>
          <w:spacing w:val="71"/>
        </w:rPr>
        <w:t>    </w:t>
      </w:r>
      <w:r>
        <w:rPr>
          <w:i/>
        </w:rPr>
        <w:t>Lubricants</w:t>
      </w:r>
      <w:r>
        <w:rPr/>
        <w:t>,</w:t>
      </w:r>
      <w:r>
        <w:rPr>
          <w:spacing w:val="72"/>
        </w:rPr>
        <w:t>    </w:t>
      </w:r>
      <w:r>
        <w:rPr/>
        <w:t>10,</w:t>
      </w:r>
      <w:r>
        <w:rPr>
          <w:spacing w:val="71"/>
        </w:rPr>
        <w:t>    </w:t>
      </w:r>
      <w:r>
        <w:rPr/>
        <w:t>1-</w:t>
      </w:r>
      <w:r>
        <w:rPr>
          <w:spacing w:val="-5"/>
        </w:rPr>
        <w:t>18.</w:t>
      </w:r>
    </w:p>
    <w:p>
      <w:pPr>
        <w:pStyle w:val="BodyText"/>
        <w:ind w:right="55" w:firstLine="566"/>
      </w:pPr>
      <w:r>
        <w:rPr>
          <w:spacing w:val="-2"/>
        </w:rPr>
        <w:t>https://doi.org/10.3390/lubricants10030036</w:t>
      </w:r>
      <w:r>
        <w:rPr>
          <w:spacing w:val="80"/>
          <w:w w:val="150"/>
        </w:rPr>
        <w:t> </w:t>
      </w:r>
      <w:r>
        <w:rPr/>
        <w:t>Amin,</w:t>
      </w:r>
      <w:r>
        <w:rPr>
          <w:spacing w:val="31"/>
        </w:rPr>
        <w:t> </w:t>
      </w:r>
      <w:r>
        <w:rPr/>
        <w:t>A.</w:t>
      </w:r>
      <w:r>
        <w:rPr>
          <w:spacing w:val="31"/>
        </w:rPr>
        <w:t> </w:t>
      </w:r>
      <w:r>
        <w:rPr/>
        <w:t>A.,</w:t>
      </w:r>
      <w:r>
        <w:rPr>
          <w:spacing w:val="32"/>
        </w:rPr>
        <w:t> </w:t>
      </w:r>
      <w:r>
        <w:rPr/>
        <w:t>Salah,</w:t>
      </w:r>
      <w:r>
        <w:rPr>
          <w:spacing w:val="31"/>
        </w:rPr>
        <w:t> </w:t>
      </w:r>
      <w:r>
        <w:rPr/>
        <w:t>H.</w:t>
      </w:r>
      <w:r>
        <w:rPr>
          <w:spacing w:val="31"/>
        </w:rPr>
        <w:t> </w:t>
      </w:r>
      <w:r>
        <w:rPr/>
        <w:t>M.,</w:t>
      </w:r>
      <w:r>
        <w:rPr>
          <w:spacing w:val="32"/>
        </w:rPr>
        <w:t> </w:t>
      </w:r>
      <w:r>
        <w:rPr/>
        <w:t>&amp;</w:t>
      </w:r>
      <w:r>
        <w:rPr>
          <w:spacing w:val="31"/>
        </w:rPr>
        <w:t> </w:t>
      </w:r>
      <w:r>
        <w:rPr/>
        <w:t>Kandile,</w:t>
      </w:r>
      <w:r>
        <w:rPr>
          <w:spacing w:val="31"/>
        </w:rPr>
        <w:t> </w:t>
      </w:r>
      <w:r>
        <w:rPr/>
        <w:t>N.</w:t>
      </w:r>
      <w:r>
        <w:rPr>
          <w:spacing w:val="32"/>
        </w:rPr>
        <w:t> </w:t>
      </w:r>
      <w:r>
        <w:rPr/>
        <w:t>G.</w:t>
      </w:r>
      <w:r>
        <w:rPr>
          <w:spacing w:val="31"/>
        </w:rPr>
        <w:t> </w:t>
      </w:r>
      <w:r>
        <w:rPr>
          <w:spacing w:val="-2"/>
        </w:rPr>
        <w:t>(2023).</w:t>
      </w:r>
    </w:p>
    <w:p>
      <w:pPr>
        <w:pStyle w:val="BodyText"/>
        <w:ind w:left="905" w:right="48"/>
      </w:pPr>
      <w:r>
        <w:rPr/>
        <w:t>Fabrication and evaluation of new multi-purpose grease</w:t>
      </w:r>
      <w:r>
        <w:rPr>
          <w:spacing w:val="-13"/>
        </w:rPr>
        <w:t> </w:t>
      </w:r>
      <w:r>
        <w:rPr/>
        <w:t>using</w:t>
      </w:r>
      <w:r>
        <w:rPr>
          <w:spacing w:val="-12"/>
        </w:rPr>
        <w:t> </w:t>
      </w:r>
      <w:r>
        <w:rPr/>
        <w:t>local</w:t>
      </w:r>
      <w:r>
        <w:rPr>
          <w:spacing w:val="-13"/>
        </w:rPr>
        <w:t> </w:t>
      </w:r>
      <w:r>
        <w:rPr/>
        <w:t>raw</w:t>
      </w:r>
      <w:r>
        <w:rPr>
          <w:spacing w:val="-12"/>
        </w:rPr>
        <w:t> </w:t>
      </w:r>
      <w:r>
        <w:rPr/>
        <w:t>materials.</w:t>
      </w:r>
      <w:r>
        <w:rPr>
          <w:spacing w:val="-13"/>
        </w:rPr>
        <w:t> </w:t>
      </w:r>
      <w:r>
        <w:rPr>
          <w:i/>
        </w:rPr>
        <w:t>Egyptian</w:t>
      </w:r>
      <w:r>
        <w:rPr>
          <w:i/>
          <w:spacing w:val="-12"/>
        </w:rPr>
        <w:t> </w:t>
      </w:r>
      <w:r>
        <w:rPr>
          <w:i/>
        </w:rPr>
        <w:t>Journal of Chemistry</w:t>
      </w:r>
      <w:r>
        <w:rPr/>
        <w:t>, 66(SI 13), 1033–1041. DOI: </w:t>
      </w:r>
      <w:r>
        <w:rPr>
          <w:spacing w:val="-2"/>
        </w:rPr>
        <w:t>10.21608/AJNSA.2022.156600.1627</w:t>
      </w:r>
    </w:p>
    <w:p>
      <w:pPr>
        <w:pStyle w:val="BodyText"/>
        <w:tabs>
          <w:tab w:pos="2978" w:val="left" w:leader="none"/>
          <w:tab w:pos="4353" w:val="left" w:leader="none"/>
        </w:tabs>
        <w:ind w:left="905" w:right="49" w:hanging="567"/>
      </w:pPr>
      <w:r>
        <w:rPr/>
        <w:t>Annisa,</w:t>
      </w:r>
      <w:r>
        <w:rPr>
          <w:spacing w:val="-11"/>
        </w:rPr>
        <w:t> </w:t>
      </w:r>
      <w:r>
        <w:rPr/>
        <w:t>N.,</w:t>
      </w:r>
      <w:r>
        <w:rPr>
          <w:spacing w:val="-12"/>
        </w:rPr>
        <w:t> </w:t>
      </w:r>
      <w:r>
        <w:rPr/>
        <w:t>&amp;</w:t>
      </w:r>
      <w:r>
        <w:rPr>
          <w:spacing w:val="-11"/>
        </w:rPr>
        <w:t> </w:t>
      </w:r>
      <w:r>
        <w:rPr/>
        <w:t>Widayat.</w:t>
      </w:r>
      <w:r>
        <w:rPr>
          <w:spacing w:val="-12"/>
        </w:rPr>
        <w:t> </w:t>
      </w:r>
      <w:r>
        <w:rPr/>
        <w:t>(2018).</w:t>
      </w:r>
      <w:r>
        <w:rPr>
          <w:spacing w:val="-12"/>
        </w:rPr>
        <w:t> </w:t>
      </w:r>
      <w:r>
        <w:rPr/>
        <w:t>A</w:t>
      </w:r>
      <w:r>
        <w:rPr>
          <w:spacing w:val="-12"/>
        </w:rPr>
        <w:t> </w:t>
      </w:r>
      <w:r>
        <w:rPr/>
        <w:t>review</w:t>
      </w:r>
      <w:r>
        <w:rPr>
          <w:spacing w:val="-12"/>
        </w:rPr>
        <w:t> </w:t>
      </w:r>
      <w:r>
        <w:rPr/>
        <w:t>of</w:t>
      </w:r>
      <w:r>
        <w:rPr>
          <w:spacing w:val="-12"/>
        </w:rPr>
        <w:t> </w:t>
      </w:r>
      <w:r>
        <w:rPr/>
        <w:t>bio-lubricant production</w:t>
      </w:r>
      <w:r>
        <w:rPr>
          <w:spacing w:val="-13"/>
        </w:rPr>
        <w:t> </w:t>
      </w:r>
      <w:r>
        <w:rPr/>
        <w:t>from</w:t>
      </w:r>
      <w:r>
        <w:rPr>
          <w:spacing w:val="-12"/>
        </w:rPr>
        <w:t> </w:t>
      </w:r>
      <w:r>
        <w:rPr/>
        <w:t>vegetable</w:t>
      </w:r>
      <w:r>
        <w:rPr>
          <w:spacing w:val="-13"/>
        </w:rPr>
        <w:t> </w:t>
      </w:r>
      <w:r>
        <w:rPr/>
        <w:t>oils</w:t>
      </w:r>
      <w:r>
        <w:rPr>
          <w:spacing w:val="-12"/>
        </w:rPr>
        <w:t> </w:t>
      </w:r>
      <w:r>
        <w:rPr/>
        <w:t>using</w:t>
      </w:r>
      <w:r>
        <w:rPr>
          <w:spacing w:val="-13"/>
        </w:rPr>
        <w:t> </w:t>
      </w:r>
      <w:r>
        <w:rPr/>
        <w:t>esterification transesterification process. </w:t>
      </w:r>
      <w:r>
        <w:rPr>
          <w:i/>
        </w:rPr>
        <w:t>MATEC Web of </w:t>
      </w:r>
      <w:r>
        <w:rPr>
          <w:i/>
          <w:spacing w:val="-2"/>
        </w:rPr>
        <w:t>Conferences</w:t>
      </w:r>
      <w:r>
        <w:rPr>
          <w:spacing w:val="-2"/>
        </w:rPr>
        <w:t>,</w:t>
      </w:r>
      <w:r>
        <w:rPr/>
        <w:tab/>
      </w:r>
      <w:r>
        <w:rPr>
          <w:spacing w:val="-4"/>
        </w:rPr>
        <w:t>156,</w:t>
      </w:r>
      <w:r>
        <w:rPr/>
        <w:tab/>
      </w:r>
      <w:r>
        <w:rPr>
          <w:spacing w:val="-2"/>
        </w:rPr>
        <w:t>06007.</w:t>
      </w:r>
    </w:p>
    <w:p>
      <w:pPr>
        <w:pStyle w:val="BodyText"/>
        <w:ind w:right="49" w:firstLine="566"/>
        <w:rPr>
          <w:i/>
        </w:rPr>
      </w:pPr>
      <w:r>
        <w:rPr>
          <w:spacing w:val="-2"/>
        </w:rPr>
        <w:t>https://doi.org/10.1051/matecconf/201815606007 </w:t>
      </w:r>
      <w:r>
        <w:rPr/>
        <w:t>Aries,</w:t>
      </w:r>
      <w:r>
        <w:rPr>
          <w:spacing w:val="60"/>
          <w:w w:val="150"/>
        </w:rPr>
        <w:t> </w:t>
      </w:r>
      <w:r>
        <w:rPr/>
        <w:t>R.</w:t>
      </w:r>
      <w:r>
        <w:rPr>
          <w:spacing w:val="63"/>
          <w:w w:val="150"/>
        </w:rPr>
        <w:t> </w:t>
      </w:r>
      <w:r>
        <w:rPr/>
        <w:t>S.,</w:t>
      </w:r>
      <w:r>
        <w:rPr>
          <w:spacing w:val="61"/>
          <w:w w:val="150"/>
        </w:rPr>
        <w:t> </w:t>
      </w:r>
      <w:r>
        <w:rPr/>
        <w:t>&amp;</w:t>
      </w:r>
      <w:r>
        <w:rPr>
          <w:spacing w:val="61"/>
          <w:w w:val="150"/>
        </w:rPr>
        <w:t> </w:t>
      </w:r>
      <w:r>
        <w:rPr/>
        <w:t>Newton,</w:t>
      </w:r>
      <w:r>
        <w:rPr>
          <w:spacing w:val="62"/>
          <w:w w:val="150"/>
        </w:rPr>
        <w:t> </w:t>
      </w:r>
      <w:r>
        <w:rPr/>
        <w:t>R.</w:t>
      </w:r>
      <w:r>
        <w:rPr>
          <w:spacing w:val="61"/>
          <w:w w:val="150"/>
        </w:rPr>
        <w:t> </w:t>
      </w:r>
      <w:r>
        <w:rPr/>
        <w:t>D.</w:t>
      </w:r>
      <w:r>
        <w:rPr>
          <w:spacing w:val="61"/>
          <w:w w:val="150"/>
        </w:rPr>
        <w:t> </w:t>
      </w:r>
      <w:r>
        <w:rPr/>
        <w:t>(1955).</w:t>
      </w:r>
      <w:r>
        <w:rPr>
          <w:spacing w:val="67"/>
          <w:w w:val="150"/>
        </w:rPr>
        <w:t> </w:t>
      </w:r>
      <w:r>
        <w:rPr>
          <w:i/>
          <w:spacing w:val="-2"/>
        </w:rPr>
        <w:t>Chemical</w:t>
      </w:r>
    </w:p>
    <w:p>
      <w:pPr>
        <w:spacing w:line="229" w:lineRule="exact" w:before="0"/>
        <w:ind w:left="905" w:right="0" w:firstLine="0"/>
        <w:jc w:val="both"/>
        <w:rPr>
          <w:sz w:val="20"/>
        </w:rPr>
      </w:pPr>
      <w:r>
        <w:rPr>
          <w:i/>
          <w:spacing w:val="-2"/>
          <w:sz w:val="20"/>
        </w:rPr>
        <w:t>engineering</w:t>
      </w:r>
      <w:r>
        <w:rPr>
          <w:i/>
          <w:spacing w:val="12"/>
          <w:sz w:val="20"/>
        </w:rPr>
        <w:t> </w:t>
      </w:r>
      <w:r>
        <w:rPr>
          <w:i/>
          <w:spacing w:val="-2"/>
          <w:sz w:val="20"/>
        </w:rPr>
        <w:t>series</w:t>
      </w:r>
      <w:r>
        <w:rPr>
          <w:spacing w:val="-2"/>
          <w:sz w:val="20"/>
        </w:rPr>
        <w:t>.</w:t>
      </w:r>
      <w:r>
        <w:rPr>
          <w:spacing w:val="12"/>
          <w:sz w:val="20"/>
        </w:rPr>
        <w:t> </w:t>
      </w:r>
      <w:r>
        <w:rPr>
          <w:spacing w:val="-2"/>
          <w:sz w:val="20"/>
        </w:rPr>
        <w:t>McGraw-Hill.</w:t>
      </w:r>
    </w:p>
    <w:p>
      <w:pPr>
        <w:pStyle w:val="BodyText"/>
        <w:ind w:left="905" w:right="48" w:hanging="567"/>
      </w:pPr>
      <w:r>
        <w:rPr/>
        <w:t>Barriga,</w:t>
      </w:r>
      <w:r>
        <w:rPr>
          <w:spacing w:val="-2"/>
        </w:rPr>
        <w:t> </w:t>
      </w:r>
      <w:r>
        <w:rPr/>
        <w:t>J.,</w:t>
      </w:r>
      <w:r>
        <w:rPr>
          <w:spacing w:val="-3"/>
        </w:rPr>
        <w:t> </w:t>
      </w:r>
      <w:r>
        <w:rPr/>
        <w:t>Aranzabe,</w:t>
      </w:r>
      <w:r>
        <w:rPr>
          <w:spacing w:val="-2"/>
        </w:rPr>
        <w:t> </w:t>
      </w:r>
      <w:r>
        <w:rPr/>
        <w:t>A.,</w:t>
      </w:r>
      <w:r>
        <w:rPr>
          <w:spacing w:val="-3"/>
        </w:rPr>
        <w:t> </w:t>
      </w:r>
      <w:r>
        <w:rPr/>
        <w:t>&amp;</w:t>
      </w:r>
      <w:r>
        <w:rPr>
          <w:spacing w:val="-4"/>
        </w:rPr>
        <w:t> </w:t>
      </w:r>
      <w:r>
        <w:rPr/>
        <w:t>Galda,</w:t>
      </w:r>
      <w:r>
        <w:rPr>
          <w:spacing w:val="-2"/>
        </w:rPr>
        <w:t> </w:t>
      </w:r>
      <w:r>
        <w:rPr/>
        <w:t>P.</w:t>
      </w:r>
      <w:r>
        <w:rPr>
          <w:spacing w:val="-3"/>
        </w:rPr>
        <w:t> </w:t>
      </w:r>
      <w:r>
        <w:rPr/>
        <w:t>(2005).</w:t>
      </w:r>
      <w:r>
        <w:rPr>
          <w:spacing w:val="-3"/>
        </w:rPr>
        <w:t> </w:t>
      </w:r>
      <w:r>
        <w:rPr/>
        <w:t>Sunflower based grease for heavy-duty applications. </w:t>
      </w:r>
      <w:r>
        <w:rPr>
          <w:i/>
        </w:rPr>
        <w:t>Mecánica</w:t>
      </w:r>
      <w:r>
        <w:rPr>
          <w:i/>
          <w:spacing w:val="-7"/>
        </w:rPr>
        <w:t> </w:t>
      </w:r>
      <w:r>
        <w:rPr>
          <w:i/>
        </w:rPr>
        <w:t>Experimental</w:t>
      </w:r>
      <w:r>
        <w:rPr/>
        <w:t>,</w:t>
      </w:r>
      <w:r>
        <w:rPr>
          <w:spacing w:val="-9"/>
        </w:rPr>
        <w:t> </w:t>
      </w:r>
      <w:r>
        <w:rPr/>
        <w:t>13,</w:t>
      </w:r>
      <w:r>
        <w:rPr>
          <w:spacing w:val="-7"/>
        </w:rPr>
        <w:t> </w:t>
      </w:r>
      <w:r>
        <w:rPr/>
        <w:t>129–133.</w:t>
      </w:r>
      <w:r>
        <w:rPr>
          <w:spacing w:val="-9"/>
        </w:rPr>
        <w:t> </w:t>
      </w:r>
      <w:r>
        <w:rPr/>
        <w:t>ISSN</w:t>
      </w:r>
      <w:r>
        <w:rPr>
          <w:spacing w:val="-7"/>
        </w:rPr>
        <w:t> </w:t>
      </w:r>
      <w:r>
        <w:rPr/>
        <w:t>-</w:t>
      </w:r>
      <w:r>
        <w:rPr>
          <w:spacing w:val="-9"/>
        </w:rPr>
        <w:t> </w:t>
      </w:r>
      <w:r>
        <w:rPr>
          <w:spacing w:val="-5"/>
        </w:rPr>
        <w:t>122</w:t>
      </w:r>
    </w:p>
    <w:p>
      <w:pPr>
        <w:pStyle w:val="BodyText"/>
        <w:spacing w:before="1"/>
        <w:ind w:left="905"/>
        <w:jc w:val="left"/>
      </w:pPr>
      <w:r>
        <w:rPr>
          <w:spacing w:val="-5"/>
        </w:rPr>
        <w:t>922</w:t>
      </w:r>
    </w:p>
    <w:p>
      <w:pPr>
        <w:pStyle w:val="BodyText"/>
        <w:ind w:left="905" w:right="49" w:hanging="567"/>
      </w:pPr>
      <w:r>
        <w:rPr/>
        <w:t>Boner, C. J. (1937). Industrial &amp; engineering chemistry. </w:t>
      </w:r>
      <w:r>
        <w:rPr>
          <w:i/>
        </w:rPr>
        <w:t>ACS Publications</w:t>
      </w:r>
      <w:r>
        <w:rPr/>
        <w:t>, 29(1), 58–60. </w:t>
      </w:r>
      <w:r>
        <w:rPr>
          <w:spacing w:val="-2"/>
        </w:rPr>
        <w:t>https://doi.org/10.1021/ie50325a009</w:t>
      </w:r>
    </w:p>
    <w:p>
      <w:pPr>
        <w:spacing w:before="0"/>
        <w:ind w:left="905" w:right="52" w:hanging="567"/>
        <w:jc w:val="both"/>
        <w:rPr>
          <w:sz w:val="20"/>
        </w:rPr>
      </w:pPr>
      <w:r>
        <w:rPr>
          <w:sz w:val="20"/>
        </w:rPr>
        <w:t>Booser, E. R. (1983). </w:t>
      </w:r>
      <w:r>
        <w:rPr>
          <w:i/>
          <w:sz w:val="20"/>
        </w:rPr>
        <w:t>CRC handbook of lubrication theory and practice of tribology </w:t>
      </w:r>
      <w:r>
        <w:rPr>
          <w:sz w:val="20"/>
        </w:rPr>
        <w:t>(Vol. II: Theory and Design).</w:t>
      </w:r>
    </w:p>
    <w:p>
      <w:pPr>
        <w:spacing w:before="1"/>
        <w:ind w:left="905" w:right="52" w:hanging="567"/>
        <w:jc w:val="both"/>
        <w:rPr>
          <w:sz w:val="20"/>
        </w:rPr>
      </w:pPr>
      <w:r>
        <w:rPr>
          <w:sz w:val="20"/>
        </w:rPr>
        <w:t>BPS</w:t>
      </w:r>
      <w:r>
        <w:rPr>
          <w:spacing w:val="-3"/>
          <w:sz w:val="20"/>
        </w:rPr>
        <w:t> </w:t>
      </w:r>
      <w:r>
        <w:rPr>
          <w:sz w:val="20"/>
        </w:rPr>
        <w:t>–</w:t>
      </w:r>
      <w:r>
        <w:rPr>
          <w:spacing w:val="-4"/>
          <w:sz w:val="20"/>
        </w:rPr>
        <w:t> </w:t>
      </w:r>
      <w:r>
        <w:rPr>
          <w:sz w:val="20"/>
        </w:rPr>
        <w:t>Statistics</w:t>
      </w:r>
      <w:r>
        <w:rPr>
          <w:spacing w:val="-4"/>
          <w:sz w:val="20"/>
        </w:rPr>
        <w:t> </w:t>
      </w:r>
      <w:r>
        <w:rPr>
          <w:sz w:val="20"/>
        </w:rPr>
        <w:t>Indonesia.</w:t>
      </w:r>
      <w:r>
        <w:rPr>
          <w:spacing w:val="-5"/>
          <w:sz w:val="20"/>
        </w:rPr>
        <w:t> </w:t>
      </w:r>
      <w:r>
        <w:rPr>
          <w:sz w:val="20"/>
        </w:rPr>
        <w:t>(2024).</w:t>
      </w:r>
      <w:r>
        <w:rPr>
          <w:spacing w:val="-1"/>
          <w:sz w:val="20"/>
        </w:rPr>
        <w:t> </w:t>
      </w:r>
      <w:r>
        <w:rPr>
          <w:i/>
          <w:sz w:val="20"/>
        </w:rPr>
        <w:t>Number</w:t>
      </w:r>
      <w:r>
        <w:rPr>
          <w:i/>
          <w:spacing w:val="-6"/>
          <w:sz w:val="20"/>
        </w:rPr>
        <w:t> </w:t>
      </w:r>
      <w:r>
        <w:rPr>
          <w:i/>
          <w:sz w:val="20"/>
        </w:rPr>
        <w:t>of</w:t>
      </w:r>
      <w:r>
        <w:rPr>
          <w:i/>
          <w:spacing w:val="-6"/>
          <w:sz w:val="20"/>
        </w:rPr>
        <w:t> </w:t>
      </w:r>
      <w:r>
        <w:rPr>
          <w:i/>
          <w:sz w:val="20"/>
        </w:rPr>
        <w:t>micro</w:t>
      </w:r>
      <w:r>
        <w:rPr>
          <w:i/>
          <w:spacing w:val="-5"/>
          <w:sz w:val="20"/>
        </w:rPr>
        <w:t> </w:t>
      </w:r>
      <w:r>
        <w:rPr>
          <w:i/>
          <w:sz w:val="20"/>
        </w:rPr>
        <w:t>and small enterprise workers by regency/city in West Java. </w:t>
      </w:r>
      <w:hyperlink r:id="rId20">
        <w:r>
          <w:rPr>
            <w:sz w:val="20"/>
          </w:rPr>
          <w:t>https://bps.go.id</w:t>
        </w:r>
      </w:hyperlink>
    </w:p>
    <w:p>
      <w:pPr>
        <w:pStyle w:val="BodyText"/>
        <w:spacing w:line="229" w:lineRule="exact"/>
      </w:pPr>
      <w:r>
        <w:rPr/>
        <w:t>Castañeiras,</w:t>
      </w:r>
      <w:r>
        <w:rPr>
          <w:spacing w:val="-2"/>
        </w:rPr>
        <w:t> </w:t>
      </w:r>
      <w:r>
        <w:rPr/>
        <w:t>P.</w:t>
      </w:r>
      <w:r>
        <w:rPr>
          <w:spacing w:val="-4"/>
        </w:rPr>
        <w:t> </w:t>
      </w:r>
      <w:r>
        <w:rPr/>
        <w:t>D.</w:t>
      </w:r>
      <w:r>
        <w:rPr>
          <w:spacing w:val="-4"/>
        </w:rPr>
        <w:t> </w:t>
      </w:r>
      <w:r>
        <w:rPr/>
        <w:t>R.,</w:t>
      </w:r>
      <w:r>
        <w:rPr>
          <w:spacing w:val="-2"/>
        </w:rPr>
        <w:t> </w:t>
      </w:r>
      <w:r>
        <w:rPr/>
        <w:t>Girma,</w:t>
      </w:r>
      <w:r>
        <w:rPr>
          <w:spacing w:val="-3"/>
        </w:rPr>
        <w:t> </w:t>
      </w:r>
      <w:r>
        <w:rPr/>
        <w:t>D.,</w:t>
      </w:r>
      <w:r>
        <w:rPr>
          <w:spacing w:val="-3"/>
        </w:rPr>
        <w:t> </w:t>
      </w:r>
      <w:r>
        <w:rPr/>
        <w:t>Hailu,</w:t>
      </w:r>
      <w:r>
        <w:rPr>
          <w:spacing w:val="-4"/>
        </w:rPr>
        <w:t> </w:t>
      </w:r>
      <w:r>
        <w:rPr/>
        <w:t>H.</w:t>
      </w:r>
      <w:r>
        <w:rPr>
          <w:spacing w:val="-4"/>
        </w:rPr>
        <w:t> </w:t>
      </w:r>
      <w:r>
        <w:rPr/>
        <w:t>N.,</w:t>
      </w:r>
      <w:r>
        <w:rPr>
          <w:spacing w:val="-3"/>
        </w:rPr>
        <w:t> </w:t>
      </w:r>
      <w:r>
        <w:rPr>
          <w:spacing w:val="-2"/>
        </w:rPr>
        <w:t>González,</w:t>
      </w:r>
    </w:p>
    <w:p>
      <w:pPr>
        <w:pStyle w:val="BodyText"/>
        <w:ind w:left="905"/>
      </w:pPr>
      <w:r>
        <w:rPr/>
        <w:t>A.</w:t>
      </w:r>
      <w:r>
        <w:rPr>
          <w:spacing w:val="41"/>
        </w:rPr>
        <w:t> </w:t>
      </w:r>
      <w:r>
        <w:rPr/>
        <w:t>V.,</w:t>
      </w:r>
      <w:r>
        <w:rPr>
          <w:spacing w:val="41"/>
        </w:rPr>
        <w:t> </w:t>
      </w:r>
      <w:r>
        <w:rPr/>
        <w:t>Pena,</w:t>
      </w:r>
      <w:r>
        <w:rPr>
          <w:spacing w:val="41"/>
        </w:rPr>
        <w:t> </w:t>
      </w:r>
      <w:r>
        <w:rPr/>
        <w:t>D.</w:t>
      </w:r>
      <w:r>
        <w:rPr>
          <w:spacing w:val="42"/>
        </w:rPr>
        <w:t> </w:t>
      </w:r>
      <w:r>
        <w:rPr/>
        <w:t>R.,</w:t>
      </w:r>
      <w:r>
        <w:rPr>
          <w:spacing w:val="41"/>
        </w:rPr>
        <w:t> </w:t>
      </w:r>
      <w:r>
        <w:rPr/>
        <w:t>&amp;</w:t>
      </w:r>
      <w:r>
        <w:rPr>
          <w:spacing w:val="41"/>
        </w:rPr>
        <w:t> </w:t>
      </w:r>
      <w:r>
        <w:rPr/>
        <w:t>Ortiz,</w:t>
      </w:r>
      <w:r>
        <w:rPr>
          <w:spacing w:val="41"/>
        </w:rPr>
        <w:t> </w:t>
      </w:r>
      <w:r>
        <w:rPr/>
        <w:t>J.</w:t>
      </w:r>
      <w:r>
        <w:rPr>
          <w:spacing w:val="41"/>
        </w:rPr>
        <w:t> </w:t>
      </w:r>
      <w:r>
        <w:rPr/>
        <w:t>M.</w:t>
      </w:r>
      <w:r>
        <w:rPr>
          <w:spacing w:val="41"/>
        </w:rPr>
        <w:t> </w:t>
      </w:r>
      <w:r>
        <w:rPr/>
        <w:t>G.</w:t>
      </w:r>
      <w:r>
        <w:rPr>
          <w:spacing w:val="42"/>
        </w:rPr>
        <w:t> </w:t>
      </w:r>
      <w:r>
        <w:rPr>
          <w:spacing w:val="-2"/>
        </w:rPr>
        <w:t>(2017).</w:t>
      </w:r>
    </w:p>
    <w:p>
      <w:pPr>
        <w:spacing w:before="0"/>
        <w:ind w:left="905" w:right="49" w:firstLine="0"/>
        <w:jc w:val="both"/>
        <w:rPr>
          <w:sz w:val="20"/>
        </w:rPr>
      </w:pPr>
      <w:r>
        <w:rPr>
          <w:sz w:val="20"/>
        </w:rPr>
        <w:t>Lubricant bio grease obtained from sugar cane filter</w:t>
      </w:r>
      <w:r>
        <w:rPr>
          <w:spacing w:val="-2"/>
          <w:sz w:val="20"/>
        </w:rPr>
        <w:t> </w:t>
      </w:r>
      <w:r>
        <w:rPr>
          <w:sz w:val="20"/>
        </w:rPr>
        <w:t>cake</w:t>
      </w:r>
      <w:r>
        <w:rPr>
          <w:spacing w:val="-4"/>
          <w:sz w:val="20"/>
        </w:rPr>
        <w:t> </w:t>
      </w:r>
      <w:r>
        <w:rPr>
          <w:sz w:val="20"/>
        </w:rPr>
        <w:t>vegetable</w:t>
      </w:r>
      <w:r>
        <w:rPr>
          <w:spacing w:val="-4"/>
          <w:sz w:val="20"/>
        </w:rPr>
        <w:t> </w:t>
      </w:r>
      <w:r>
        <w:rPr>
          <w:sz w:val="20"/>
        </w:rPr>
        <w:t>oil</w:t>
      </w:r>
      <w:r>
        <w:rPr>
          <w:spacing w:val="-3"/>
          <w:sz w:val="20"/>
        </w:rPr>
        <w:t> </w:t>
      </w:r>
      <w:r>
        <w:rPr>
          <w:sz w:val="20"/>
        </w:rPr>
        <w:t>in</w:t>
      </w:r>
      <w:r>
        <w:rPr>
          <w:spacing w:val="-4"/>
          <w:sz w:val="20"/>
        </w:rPr>
        <w:t> </w:t>
      </w:r>
      <w:r>
        <w:rPr>
          <w:sz w:val="20"/>
        </w:rPr>
        <w:t>Ethiopia. </w:t>
      </w:r>
      <w:r>
        <w:rPr>
          <w:i/>
          <w:sz w:val="20"/>
        </w:rPr>
        <w:t>International Journal of Scientific &amp; Engineering Research</w:t>
      </w:r>
      <w:r>
        <w:rPr>
          <w:sz w:val="20"/>
        </w:rPr>
        <w:t>, 8(11), 681–689. </w:t>
      </w:r>
      <w:hyperlink r:id="rId21">
        <w:r>
          <w:rPr>
            <w:sz w:val="20"/>
          </w:rPr>
          <w:t>https://www.researchgate.net/</w:t>
        </w:r>
      </w:hyperlink>
      <w:r>
        <w:rPr>
          <w:sz w:val="20"/>
        </w:rPr>
        <w:t> </w:t>
      </w:r>
      <w:r>
        <w:rPr>
          <w:spacing w:val="-2"/>
          <w:sz w:val="20"/>
        </w:rPr>
        <w:t>publication/329191165</w:t>
      </w:r>
    </w:p>
    <w:p>
      <w:pPr>
        <w:spacing w:before="1"/>
        <w:ind w:left="905" w:right="49" w:hanging="567"/>
        <w:jc w:val="both"/>
        <w:rPr>
          <w:sz w:val="20"/>
        </w:rPr>
      </w:pPr>
      <w:r>
        <w:rPr>
          <w:sz w:val="20"/>
        </w:rPr>
        <w:t>Center, N. (2011). Viscosity index improvers. </w:t>
      </w:r>
      <w:r>
        <w:rPr>
          <w:i/>
          <w:sz w:val="20"/>
        </w:rPr>
        <w:t>Tribology &amp;</w:t>
      </w:r>
      <w:r>
        <w:rPr>
          <w:i/>
          <w:spacing w:val="23"/>
          <w:sz w:val="20"/>
        </w:rPr>
        <w:t> </w:t>
      </w:r>
      <w:r>
        <w:rPr>
          <w:i/>
          <w:sz w:val="20"/>
        </w:rPr>
        <w:t>Lubrication</w:t>
      </w:r>
      <w:r>
        <w:rPr>
          <w:i/>
          <w:spacing w:val="25"/>
          <w:sz w:val="20"/>
        </w:rPr>
        <w:t> </w:t>
      </w:r>
      <w:r>
        <w:rPr>
          <w:i/>
          <w:sz w:val="20"/>
        </w:rPr>
        <w:t>Technology</w:t>
      </w:r>
      <w:r>
        <w:rPr>
          <w:sz w:val="20"/>
        </w:rPr>
        <w:t>,</w:t>
      </w:r>
      <w:r>
        <w:rPr>
          <w:spacing w:val="24"/>
          <w:sz w:val="20"/>
        </w:rPr>
        <w:t> </w:t>
      </w:r>
      <w:r>
        <w:rPr>
          <w:sz w:val="20"/>
        </w:rPr>
        <w:t>67(9),</w:t>
      </w:r>
      <w:r>
        <w:rPr>
          <w:spacing w:val="22"/>
          <w:sz w:val="20"/>
        </w:rPr>
        <w:t> </w:t>
      </w:r>
      <w:r>
        <w:rPr>
          <w:sz w:val="20"/>
        </w:rPr>
        <w:t>10-12,</w:t>
      </w:r>
      <w:r>
        <w:rPr>
          <w:spacing w:val="24"/>
          <w:sz w:val="20"/>
        </w:rPr>
        <w:t> </w:t>
      </w:r>
      <w:r>
        <w:rPr>
          <w:sz w:val="20"/>
        </w:rPr>
        <w:t>14-</w:t>
      </w:r>
      <w:r>
        <w:rPr>
          <w:spacing w:val="-5"/>
          <w:sz w:val="20"/>
        </w:rPr>
        <w:t>16,</w:t>
      </w:r>
    </w:p>
    <w:p>
      <w:pPr>
        <w:pStyle w:val="BodyText"/>
        <w:spacing w:line="229" w:lineRule="exact" w:before="1"/>
        <w:ind w:left="905"/>
      </w:pPr>
      <w:r>
        <w:rPr/>
        <w:t>18-20,</w:t>
      </w:r>
      <w:r>
        <w:rPr>
          <w:spacing w:val="-5"/>
        </w:rPr>
        <w:t> 22.</w:t>
      </w:r>
    </w:p>
    <w:p>
      <w:pPr>
        <w:pStyle w:val="BodyText"/>
        <w:ind w:left="905" w:right="50" w:hanging="567"/>
      </w:pPr>
      <w:r>
        <w:rPr/>
        <w:t>Cohen, G., Murphy, C. M., O’Rear, J. G., Ravner, H., &amp; </w:t>
      </w:r>
      <w:r>
        <w:rPr>
          <w:spacing w:val="-2"/>
        </w:rPr>
        <w:t>Zisman,</w:t>
      </w:r>
      <w:r>
        <w:rPr>
          <w:spacing w:val="-6"/>
        </w:rPr>
        <w:t> </w:t>
      </w:r>
      <w:r>
        <w:rPr>
          <w:spacing w:val="-2"/>
        </w:rPr>
        <w:t>W.</w:t>
      </w:r>
      <w:r>
        <w:rPr>
          <w:spacing w:val="-6"/>
        </w:rPr>
        <w:t> </w:t>
      </w:r>
      <w:r>
        <w:rPr>
          <w:spacing w:val="-2"/>
        </w:rPr>
        <w:t>A.</w:t>
      </w:r>
      <w:r>
        <w:rPr>
          <w:spacing w:val="-5"/>
        </w:rPr>
        <w:t> </w:t>
      </w:r>
      <w:r>
        <w:rPr>
          <w:spacing w:val="-2"/>
        </w:rPr>
        <w:t>(1953).</w:t>
      </w:r>
      <w:r>
        <w:rPr>
          <w:spacing w:val="-6"/>
        </w:rPr>
        <w:t> </w:t>
      </w:r>
      <w:r>
        <w:rPr>
          <w:spacing w:val="-2"/>
        </w:rPr>
        <w:t>Aliphatic</w:t>
      </w:r>
      <w:r>
        <w:rPr>
          <w:spacing w:val="-6"/>
        </w:rPr>
        <w:t> </w:t>
      </w:r>
      <w:r>
        <w:rPr>
          <w:spacing w:val="-2"/>
        </w:rPr>
        <w:t>esters</w:t>
      </w:r>
      <w:r>
        <w:rPr>
          <w:spacing w:val="-4"/>
        </w:rPr>
        <w:t> </w:t>
      </w:r>
      <w:r>
        <w:rPr>
          <w:spacing w:val="-2"/>
        </w:rPr>
        <w:t>-</w:t>
      </w:r>
      <w:r>
        <w:rPr>
          <w:spacing w:val="-5"/>
        </w:rPr>
        <w:t> </w:t>
      </w:r>
      <w:r>
        <w:rPr>
          <w:spacing w:val="-2"/>
        </w:rPr>
        <w:t>properties </w:t>
      </w:r>
      <w:r>
        <w:rPr/>
        <w:t>and lubricant applications. </w:t>
      </w:r>
      <w:r>
        <w:rPr>
          <w:i/>
        </w:rPr>
        <w:t>Industrial &amp; Engineering Chemistry</w:t>
      </w:r>
      <w:r>
        <w:rPr/>
        <w:t>, 45(8), 1766–1775. </w:t>
      </w:r>
      <w:r>
        <w:rPr>
          <w:spacing w:val="-2"/>
        </w:rPr>
        <w:t>https://doi.org/10.1021/ie50524a043</w:t>
      </w:r>
    </w:p>
    <w:p>
      <w:pPr>
        <w:pStyle w:val="BodyText"/>
        <w:spacing w:before="1"/>
        <w:ind w:left="905" w:right="55" w:hanging="567"/>
      </w:pPr>
      <w:r>
        <w:rPr/>
        <w:t>Danov, S. M., Kazantsec, O. A., Esipovich, A. L., Belousov,</w:t>
      </w:r>
      <w:r>
        <w:rPr>
          <w:spacing w:val="1"/>
        </w:rPr>
        <w:t> </w:t>
      </w:r>
      <w:r>
        <w:rPr/>
        <w:t>A.</w:t>
      </w:r>
      <w:r>
        <w:rPr>
          <w:spacing w:val="2"/>
        </w:rPr>
        <w:t> </w:t>
      </w:r>
      <w:r>
        <w:rPr/>
        <w:t>S.,</w:t>
      </w:r>
      <w:r>
        <w:rPr>
          <w:spacing w:val="2"/>
        </w:rPr>
        <w:t> </w:t>
      </w:r>
      <w:r>
        <w:rPr/>
        <w:t>Rogohzin, A.</w:t>
      </w:r>
      <w:r>
        <w:rPr>
          <w:spacing w:val="-1"/>
        </w:rPr>
        <w:t> </w:t>
      </w:r>
      <w:r>
        <w:rPr/>
        <w:t>E.,</w:t>
      </w:r>
      <w:r>
        <w:rPr>
          <w:spacing w:val="2"/>
        </w:rPr>
        <w:t> </w:t>
      </w:r>
      <w:r>
        <w:rPr/>
        <w:t>&amp;</w:t>
      </w:r>
      <w:r>
        <w:rPr>
          <w:spacing w:val="2"/>
        </w:rPr>
        <w:t> </w:t>
      </w:r>
      <w:r>
        <w:rPr/>
        <w:t>Kanakov,</w:t>
      </w:r>
      <w:r>
        <w:rPr>
          <w:spacing w:val="2"/>
        </w:rPr>
        <w:t> </w:t>
      </w:r>
      <w:r>
        <w:rPr>
          <w:spacing w:val="-5"/>
        </w:rPr>
        <w:t>E.</w:t>
      </w:r>
    </w:p>
    <w:p>
      <w:pPr>
        <w:tabs>
          <w:tab w:pos="2871" w:val="left" w:leader="none"/>
          <w:tab w:pos="3982" w:val="left" w:leader="none"/>
        </w:tabs>
        <w:spacing w:before="0"/>
        <w:ind w:left="905" w:right="50" w:firstLine="0"/>
        <w:jc w:val="both"/>
        <w:rPr>
          <w:sz w:val="20"/>
        </w:rPr>
      </w:pPr>
      <w:r>
        <w:rPr>
          <w:sz w:val="20"/>
        </w:rPr>
        <w:t>A. (2017). </w:t>
      </w:r>
      <w:r>
        <w:rPr>
          <w:i/>
          <w:sz w:val="20"/>
        </w:rPr>
        <w:t>Recent advances in selective epoxidation of vegetable oils and derivatives: A review and perspective</w:t>
      </w:r>
      <w:r>
        <w:rPr>
          <w:sz w:val="20"/>
        </w:rPr>
        <w:t>. Catalysis Science &amp; </w:t>
      </w:r>
      <w:r>
        <w:rPr>
          <w:spacing w:val="-2"/>
          <w:sz w:val="20"/>
        </w:rPr>
        <w:t>Technology,</w:t>
      </w:r>
      <w:r>
        <w:rPr>
          <w:sz w:val="20"/>
        </w:rPr>
        <w:tab/>
      </w:r>
      <w:r>
        <w:rPr>
          <w:spacing w:val="-5"/>
          <w:sz w:val="20"/>
        </w:rPr>
        <w:t>7,</w:t>
      </w:r>
      <w:r>
        <w:rPr>
          <w:sz w:val="20"/>
        </w:rPr>
        <w:tab/>
        <w:t>3659-</w:t>
      </w:r>
      <w:r>
        <w:rPr>
          <w:spacing w:val="-4"/>
          <w:sz w:val="20"/>
        </w:rPr>
        <w:t>3675</w:t>
      </w:r>
      <w:r>
        <w:rPr>
          <w:spacing w:val="-4"/>
          <w:sz w:val="20"/>
        </w:rPr>
        <w:t>.</w:t>
      </w:r>
    </w:p>
    <w:p>
      <w:pPr>
        <w:pStyle w:val="BodyText"/>
        <w:spacing w:line="229" w:lineRule="exact"/>
        <w:ind w:left="905"/>
        <w:jc w:val="left"/>
      </w:pPr>
      <w:r>
        <w:rPr>
          <w:spacing w:val="-2"/>
        </w:rPr>
        <w:t>https://doi.org/10.1039/C7CY00988G</w:t>
      </w:r>
    </w:p>
    <w:p>
      <w:pPr>
        <w:pStyle w:val="BodyText"/>
        <w:spacing w:after="0" w:line="229" w:lineRule="exact"/>
        <w:jc w:val="left"/>
        <w:sectPr>
          <w:type w:val="continuous"/>
          <w:pgSz w:w="12240" w:h="15840"/>
          <w:pgMar w:header="851" w:footer="1027" w:top="640" w:bottom="1180" w:left="1080" w:right="1080"/>
          <w:cols w:num="2" w:equalWidth="0">
            <w:col w:w="4944" w:space="181"/>
            <w:col w:w="4955"/>
          </w:cols>
        </w:sectPr>
      </w:pPr>
    </w:p>
    <w:p>
      <w:pPr>
        <w:pStyle w:val="BodyText"/>
        <w:spacing w:before="219"/>
        <w:ind w:left="0"/>
        <w:jc w:val="left"/>
      </w:pPr>
    </w:p>
    <w:p>
      <w:pPr>
        <w:pStyle w:val="BodyText"/>
        <w:spacing w:after="0"/>
        <w:jc w:val="left"/>
        <w:sectPr>
          <w:pgSz w:w="12240" w:h="15840"/>
          <w:pgMar w:header="851" w:footer="1027" w:top="1160" w:bottom="1220" w:left="1080" w:right="1080"/>
        </w:sectPr>
      </w:pPr>
    </w:p>
    <w:p>
      <w:pPr>
        <w:spacing w:before="91"/>
        <w:ind w:left="905" w:right="41" w:hanging="567"/>
        <w:jc w:val="both"/>
        <w:rPr>
          <w:sz w:val="20"/>
        </w:rPr>
      </w:pPr>
      <w:r>
        <w:rPr>
          <w:sz w:val="20"/>
        </w:rPr>
        <w:t>Derawi, D., &amp; Salimon, J. (2016). </w:t>
      </w:r>
      <w:r>
        <w:rPr>
          <w:i/>
          <w:sz w:val="20"/>
        </w:rPr>
        <w:t>Sintesis sebatian hidroksi-eter minyak sawit olein</w:t>
      </w:r>
      <w:r>
        <w:rPr>
          <w:sz w:val="20"/>
        </w:rPr>
        <w:t>. Sains Malaysiana, 45(5), 817-823.</w:t>
      </w:r>
    </w:p>
    <w:p>
      <w:pPr>
        <w:spacing w:before="0"/>
        <w:ind w:left="905" w:right="42" w:hanging="567"/>
        <w:jc w:val="both"/>
        <w:rPr>
          <w:sz w:val="20"/>
        </w:rPr>
      </w:pPr>
      <w:r>
        <w:rPr>
          <w:sz w:val="20"/>
        </w:rPr>
        <w:t>Dewi, R. A. P. (2012). </w:t>
      </w:r>
      <w:r>
        <w:rPr>
          <w:i/>
          <w:sz w:val="20"/>
        </w:rPr>
        <w:t>Pembuatan gemuk bio kalsium sulfonat kompleks menggunakan base oil minyak sawit</w:t>
      </w:r>
      <w:r>
        <w:rPr>
          <w:i/>
          <w:spacing w:val="40"/>
          <w:sz w:val="20"/>
        </w:rPr>
        <w:t> </w:t>
      </w:r>
      <w:r>
        <w:rPr>
          <w:i/>
          <w:sz w:val="20"/>
        </w:rPr>
        <w:t>Tesis</w:t>
      </w:r>
      <w:r>
        <w:rPr>
          <w:sz w:val="20"/>
        </w:rPr>
        <w:t>, Universitas Indonesia.</w:t>
      </w:r>
    </w:p>
    <w:p>
      <w:pPr>
        <w:spacing w:before="0"/>
        <w:ind w:left="905" w:right="43" w:hanging="567"/>
        <w:jc w:val="both"/>
        <w:rPr>
          <w:sz w:val="20"/>
        </w:rPr>
      </w:pPr>
      <w:r>
        <w:rPr>
          <w:sz w:val="20"/>
        </w:rPr>
        <w:t>Diphare, M. J., Pilusa, J., Muzenda, E., &amp; Mollagee, E. (2013). A review of waste lubricating grease management. </w:t>
      </w:r>
      <w:r>
        <w:rPr>
          <w:i/>
          <w:sz w:val="20"/>
        </w:rPr>
        <w:t>2nd International Conference on Environment, Agriculture and Food </w:t>
      </w:r>
      <w:r>
        <w:rPr>
          <w:i/>
          <w:sz w:val="20"/>
        </w:rPr>
        <w:t>Sciences (ICEAFS'2013)</w:t>
      </w:r>
      <w:r>
        <w:rPr>
          <w:sz w:val="20"/>
        </w:rPr>
        <w:t>, Kuala Lumpur, Malaysia.</w:t>
      </w:r>
    </w:p>
    <w:p>
      <w:pPr>
        <w:pStyle w:val="BodyText"/>
        <w:ind w:left="905" w:right="40" w:hanging="567"/>
      </w:pPr>
      <w:r>
        <w:rPr/>
        <w:t>Ebisike, K., Daniel, B. E. A., Anakaa, M. N., Kefas, H. M.,</w:t>
      </w:r>
      <w:r>
        <w:rPr>
          <w:spacing w:val="-8"/>
        </w:rPr>
        <w:t> </w:t>
      </w:r>
      <w:r>
        <w:rPr/>
        <w:t>&amp;</w:t>
      </w:r>
      <w:r>
        <w:rPr>
          <w:spacing w:val="-8"/>
        </w:rPr>
        <w:t> </w:t>
      </w:r>
      <w:r>
        <w:rPr/>
        <w:t>Olusunle,</w:t>
      </w:r>
      <w:r>
        <w:rPr>
          <w:spacing w:val="-8"/>
        </w:rPr>
        <w:t> </w:t>
      </w:r>
      <w:r>
        <w:rPr/>
        <w:t>S.</w:t>
      </w:r>
      <w:r>
        <w:rPr>
          <w:spacing w:val="-9"/>
        </w:rPr>
        <w:t> </w:t>
      </w:r>
      <w:r>
        <w:rPr/>
        <w:t>O.</w:t>
      </w:r>
      <w:r>
        <w:rPr>
          <w:spacing w:val="-8"/>
        </w:rPr>
        <w:t> </w:t>
      </w:r>
      <w:r>
        <w:rPr/>
        <w:t>O.</w:t>
      </w:r>
      <w:r>
        <w:rPr>
          <w:spacing w:val="-8"/>
        </w:rPr>
        <w:t> </w:t>
      </w:r>
      <w:r>
        <w:rPr/>
        <w:t>(2016).</w:t>
      </w:r>
      <w:r>
        <w:rPr>
          <w:spacing w:val="-8"/>
        </w:rPr>
        <w:t> </w:t>
      </w:r>
      <w:r>
        <w:rPr/>
        <w:t>Effect</w:t>
      </w:r>
      <w:r>
        <w:rPr>
          <w:spacing w:val="-9"/>
        </w:rPr>
        <w:t> </w:t>
      </w:r>
      <w:r>
        <w:rPr/>
        <w:t>of</w:t>
      </w:r>
      <w:r>
        <w:rPr>
          <w:spacing w:val="-8"/>
        </w:rPr>
        <w:t> </w:t>
      </w:r>
      <w:r>
        <w:rPr/>
        <w:t>sodium hydroxide thickener on grease production. </w:t>
      </w:r>
      <w:r>
        <w:rPr>
          <w:i/>
        </w:rPr>
        <w:t>American Chemical Science Journal</w:t>
      </w:r>
      <w:r>
        <w:rPr/>
        <w:t>, 13(3), 1-8. </w:t>
      </w:r>
      <w:r>
        <w:rPr>
          <w:spacing w:val="-2"/>
        </w:rPr>
        <w:t>https://doi.org/10.9734/ACSJ/2016/20624</w:t>
      </w:r>
    </w:p>
    <w:p>
      <w:pPr>
        <w:pStyle w:val="BodyText"/>
        <w:spacing w:line="230" w:lineRule="exact"/>
      </w:pPr>
      <w:r>
        <w:rPr/>
        <w:t>Ekawati,</w:t>
      </w:r>
      <w:r>
        <w:rPr>
          <w:spacing w:val="1"/>
        </w:rPr>
        <w:t> </w:t>
      </w:r>
      <w:r>
        <w:rPr/>
        <w:t>S.,</w:t>
      </w:r>
      <w:r>
        <w:rPr>
          <w:spacing w:val="2"/>
        </w:rPr>
        <w:t> </w:t>
      </w:r>
      <w:r>
        <w:rPr/>
        <w:t>Gayatri,</w:t>
      </w:r>
      <w:r>
        <w:rPr>
          <w:spacing w:val="1"/>
        </w:rPr>
        <w:t> </w:t>
      </w:r>
      <w:r>
        <w:rPr/>
        <w:t>B.</w:t>
      </w:r>
      <w:r>
        <w:rPr>
          <w:spacing w:val="2"/>
        </w:rPr>
        <w:t> </w:t>
      </w:r>
      <w:r>
        <w:rPr/>
        <w:t>R.</w:t>
      </w:r>
      <w:r>
        <w:rPr>
          <w:spacing w:val="1"/>
        </w:rPr>
        <w:t> </w:t>
      </w:r>
      <w:r>
        <w:rPr/>
        <w:t>R.,</w:t>
      </w:r>
      <w:r>
        <w:rPr>
          <w:spacing w:val="4"/>
        </w:rPr>
        <w:t> </w:t>
      </w:r>
      <w:r>
        <w:rPr/>
        <w:t>Prakoso,</w:t>
      </w:r>
      <w:r>
        <w:rPr>
          <w:spacing w:val="1"/>
        </w:rPr>
        <w:t> </w:t>
      </w:r>
      <w:r>
        <w:rPr/>
        <w:t>P.,</w:t>
      </w:r>
      <w:r>
        <w:rPr>
          <w:spacing w:val="2"/>
        </w:rPr>
        <w:t> </w:t>
      </w:r>
      <w:r>
        <w:rPr/>
        <w:t>&amp;</w:t>
      </w:r>
      <w:r>
        <w:rPr>
          <w:spacing w:val="1"/>
        </w:rPr>
        <w:t> </w:t>
      </w:r>
      <w:r>
        <w:rPr>
          <w:spacing w:val="-2"/>
        </w:rPr>
        <w:t>Chumaidi,</w:t>
      </w:r>
    </w:p>
    <w:p>
      <w:pPr>
        <w:spacing w:before="1"/>
        <w:ind w:left="905" w:right="40" w:firstLine="0"/>
        <w:jc w:val="both"/>
        <w:rPr>
          <w:sz w:val="20"/>
        </w:rPr>
      </w:pPr>
      <w:r>
        <w:rPr>
          <w:sz w:val="20"/>
        </w:rPr>
        <w:t>A.</w:t>
      </w:r>
      <w:r>
        <w:rPr>
          <w:spacing w:val="-5"/>
          <w:sz w:val="20"/>
        </w:rPr>
        <w:t> </w:t>
      </w:r>
      <w:r>
        <w:rPr>
          <w:sz w:val="20"/>
        </w:rPr>
        <w:t>(2020).</w:t>
      </w:r>
      <w:r>
        <w:rPr>
          <w:spacing w:val="-4"/>
          <w:sz w:val="20"/>
        </w:rPr>
        <w:t> </w:t>
      </w:r>
      <w:r>
        <w:rPr>
          <w:i/>
          <w:sz w:val="20"/>
        </w:rPr>
        <w:t>Analisa</w:t>
      </w:r>
      <w:r>
        <w:rPr>
          <w:i/>
          <w:spacing w:val="-5"/>
          <w:sz w:val="20"/>
        </w:rPr>
        <w:t> </w:t>
      </w:r>
      <w:r>
        <w:rPr>
          <w:i/>
          <w:sz w:val="20"/>
        </w:rPr>
        <w:t>ekonomi</w:t>
      </w:r>
      <w:r>
        <w:rPr>
          <w:i/>
          <w:spacing w:val="-5"/>
          <w:sz w:val="20"/>
        </w:rPr>
        <w:t> </w:t>
      </w:r>
      <w:r>
        <w:rPr>
          <w:i/>
          <w:sz w:val="20"/>
        </w:rPr>
        <w:t>prarancangan</w:t>
      </w:r>
      <w:r>
        <w:rPr>
          <w:i/>
          <w:spacing w:val="-6"/>
          <w:sz w:val="20"/>
        </w:rPr>
        <w:t> </w:t>
      </w:r>
      <w:r>
        <w:rPr>
          <w:i/>
          <w:sz w:val="20"/>
        </w:rPr>
        <w:t>pabrik kimia pembentukan biodiesel dari minyak biji randu (Ceiba pentandra) menggunakan katalis heterogen CaO dengan kapasitas </w:t>
      </w:r>
      <w:r>
        <w:rPr>
          <w:i/>
          <w:sz w:val="20"/>
        </w:rPr>
        <w:t>22.00</w:t>
      </w:r>
      <w:r>
        <w:rPr>
          <w:i/>
          <w:sz w:val="20"/>
        </w:rPr>
        <w:t>0</w:t>
      </w:r>
      <w:r>
        <w:rPr>
          <w:i/>
          <w:sz w:val="20"/>
        </w:rPr>
        <w:t> ton/tahun</w:t>
      </w:r>
      <w:r>
        <w:rPr>
          <w:sz w:val="20"/>
        </w:rPr>
        <w:t>.</w:t>
      </w:r>
      <w:r>
        <w:rPr>
          <w:spacing w:val="23"/>
          <w:sz w:val="20"/>
        </w:rPr>
        <w:t> </w:t>
      </w:r>
      <w:r>
        <w:rPr>
          <w:sz w:val="20"/>
        </w:rPr>
        <w:t>Jurnal</w:t>
      </w:r>
      <w:r>
        <w:rPr>
          <w:spacing w:val="23"/>
          <w:sz w:val="20"/>
        </w:rPr>
        <w:t> </w:t>
      </w:r>
      <w:r>
        <w:rPr>
          <w:sz w:val="20"/>
        </w:rPr>
        <w:t>Teknologi</w:t>
      </w:r>
      <w:r>
        <w:rPr>
          <w:spacing w:val="19"/>
          <w:sz w:val="20"/>
        </w:rPr>
        <w:t> </w:t>
      </w:r>
      <w:r>
        <w:rPr>
          <w:sz w:val="20"/>
        </w:rPr>
        <w:t>Separasi,</w:t>
      </w:r>
      <w:r>
        <w:rPr>
          <w:spacing w:val="24"/>
          <w:sz w:val="20"/>
        </w:rPr>
        <w:t> </w:t>
      </w:r>
      <w:r>
        <w:rPr>
          <w:sz w:val="20"/>
        </w:rPr>
        <w:t>6(2),</w:t>
      </w:r>
      <w:r>
        <w:rPr>
          <w:spacing w:val="23"/>
          <w:sz w:val="20"/>
        </w:rPr>
        <w:t> </w:t>
      </w:r>
      <w:r>
        <w:rPr>
          <w:spacing w:val="-4"/>
          <w:sz w:val="20"/>
        </w:rPr>
        <w:t>241</w:t>
      </w:r>
      <w:r>
        <w:rPr>
          <w:spacing w:val="-4"/>
          <w:sz w:val="20"/>
        </w:rPr>
        <w:t>-</w:t>
      </w:r>
    </w:p>
    <w:p>
      <w:pPr>
        <w:pStyle w:val="BodyText"/>
        <w:spacing w:line="230" w:lineRule="exact"/>
        <w:ind w:left="905"/>
      </w:pPr>
      <w:r>
        <w:rPr/>
        <w:t>248.</w:t>
      </w:r>
      <w:r>
        <w:rPr>
          <w:spacing w:val="-2"/>
        </w:rPr>
        <w:t> </w:t>
      </w:r>
      <w:hyperlink r:id="rId22">
        <w:r>
          <w:rPr>
            <w:spacing w:val="-2"/>
          </w:rPr>
          <w:t>http://distilat.polinema.ac.id</w:t>
        </w:r>
      </w:hyperlink>
    </w:p>
    <w:p>
      <w:pPr>
        <w:spacing w:before="1"/>
        <w:ind w:left="905" w:right="45" w:hanging="567"/>
        <w:jc w:val="both"/>
        <w:rPr>
          <w:sz w:val="20"/>
        </w:rPr>
      </w:pPr>
      <w:r>
        <w:rPr>
          <w:sz w:val="20"/>
        </w:rPr>
        <w:t>Government of the Republic of Indonesia. (2021). </w:t>
      </w:r>
      <w:r>
        <w:rPr>
          <w:i/>
          <w:sz w:val="20"/>
        </w:rPr>
        <w:t>Government Regulation No. 36 of 2021 on </w:t>
      </w:r>
      <w:r>
        <w:rPr>
          <w:i/>
          <w:spacing w:val="-2"/>
          <w:sz w:val="20"/>
        </w:rPr>
        <w:t>Wages.</w:t>
      </w:r>
      <w:r>
        <w:rPr>
          <w:spacing w:val="-2"/>
          <w:sz w:val="20"/>
        </w:rPr>
        <w:t>https://peraturan.bpk.go.id/Details/161909</w:t>
      </w:r>
    </w:p>
    <w:p>
      <w:pPr>
        <w:pStyle w:val="BodyText"/>
        <w:spacing w:line="229" w:lineRule="exact"/>
        <w:ind w:left="905"/>
        <w:jc w:val="left"/>
      </w:pPr>
      <w:r>
        <w:rPr>
          <w:spacing w:val="-2"/>
        </w:rPr>
        <w:t>/pp-no-36-tahun-</w:t>
      </w:r>
      <w:r>
        <w:rPr>
          <w:spacing w:val="-4"/>
        </w:rPr>
        <w:t>2021</w:t>
      </w:r>
    </w:p>
    <w:p>
      <w:pPr>
        <w:pStyle w:val="BodyText"/>
        <w:jc w:val="left"/>
      </w:pPr>
      <w:r>
        <w:rPr/>
        <w:t>Goyan,</w:t>
      </w:r>
      <w:r>
        <w:rPr>
          <w:spacing w:val="6"/>
        </w:rPr>
        <w:t> </w:t>
      </w:r>
      <w:r>
        <w:rPr/>
        <w:t>R.</w:t>
      </w:r>
      <w:r>
        <w:rPr>
          <w:spacing w:val="6"/>
        </w:rPr>
        <w:t> </w:t>
      </w:r>
      <w:r>
        <w:rPr/>
        <w:t>L.,</w:t>
      </w:r>
      <w:r>
        <w:rPr>
          <w:spacing w:val="7"/>
        </w:rPr>
        <w:t> </w:t>
      </w:r>
      <w:r>
        <w:rPr/>
        <w:t>Melley,</w:t>
      </w:r>
      <w:r>
        <w:rPr>
          <w:spacing w:val="6"/>
        </w:rPr>
        <w:t> </w:t>
      </w:r>
      <w:r>
        <w:rPr/>
        <w:t>R.</w:t>
      </w:r>
      <w:r>
        <w:rPr>
          <w:spacing w:val="6"/>
        </w:rPr>
        <w:t> </w:t>
      </w:r>
      <w:r>
        <w:rPr/>
        <w:t>E.,</w:t>
      </w:r>
      <w:r>
        <w:rPr>
          <w:spacing w:val="4"/>
        </w:rPr>
        <w:t> </w:t>
      </w:r>
      <w:r>
        <w:rPr/>
        <w:t>Wissner,</w:t>
      </w:r>
      <w:r>
        <w:rPr>
          <w:spacing w:val="6"/>
        </w:rPr>
        <w:t> </w:t>
      </w:r>
      <w:r>
        <w:rPr/>
        <w:t>P.</w:t>
      </w:r>
      <w:r>
        <w:rPr>
          <w:spacing w:val="6"/>
        </w:rPr>
        <w:t> </w:t>
      </w:r>
      <w:r>
        <w:rPr/>
        <w:t>A.,</w:t>
      </w:r>
      <w:r>
        <w:rPr>
          <w:spacing w:val="6"/>
        </w:rPr>
        <w:t> </w:t>
      </w:r>
      <w:r>
        <w:rPr/>
        <w:t>&amp;</w:t>
      </w:r>
      <w:r>
        <w:rPr>
          <w:spacing w:val="6"/>
        </w:rPr>
        <w:t> </w:t>
      </w:r>
      <w:r>
        <w:rPr/>
        <w:t>Ong,</w:t>
      </w:r>
      <w:r>
        <w:rPr>
          <w:spacing w:val="7"/>
        </w:rPr>
        <w:t> </w:t>
      </w:r>
      <w:r>
        <w:rPr>
          <w:spacing w:val="-5"/>
        </w:rPr>
        <w:t>W.</w:t>
      </w:r>
    </w:p>
    <w:p>
      <w:pPr>
        <w:spacing w:before="0"/>
        <w:ind w:left="905" w:right="0" w:firstLine="0"/>
        <w:jc w:val="left"/>
        <w:rPr>
          <w:sz w:val="20"/>
        </w:rPr>
      </w:pPr>
      <w:r>
        <w:rPr>
          <w:sz w:val="20"/>
        </w:rPr>
        <w:t>C. (1987). Biodegradable lubricants. </w:t>
      </w:r>
      <w:r>
        <w:rPr>
          <w:i/>
          <w:sz w:val="20"/>
        </w:rPr>
        <w:t>Lubrication Engineering</w:t>
      </w:r>
      <w:r>
        <w:rPr>
          <w:sz w:val="20"/>
        </w:rPr>
        <w:t>, </w:t>
      </w:r>
      <w:r>
        <w:rPr>
          <w:i/>
          <w:sz w:val="20"/>
        </w:rPr>
        <w:t>54</w:t>
      </w:r>
      <w:r>
        <w:rPr>
          <w:sz w:val="20"/>
        </w:rPr>
        <w:t>(7), 10.</w:t>
      </w:r>
    </w:p>
    <w:p>
      <w:pPr>
        <w:spacing w:before="0"/>
        <w:ind w:left="905" w:right="40" w:hanging="567"/>
        <w:jc w:val="both"/>
        <w:rPr>
          <w:sz w:val="20"/>
        </w:rPr>
      </w:pPr>
      <w:r>
        <w:rPr>
          <w:sz w:val="20"/>
        </w:rPr>
        <w:t>Habib,</w:t>
      </w:r>
      <w:r>
        <w:rPr>
          <w:spacing w:val="-4"/>
          <w:sz w:val="20"/>
        </w:rPr>
        <w:t> </w:t>
      </w:r>
      <w:r>
        <w:rPr>
          <w:sz w:val="20"/>
        </w:rPr>
        <w:t>M.</w:t>
      </w:r>
      <w:r>
        <w:rPr>
          <w:spacing w:val="-3"/>
          <w:sz w:val="20"/>
        </w:rPr>
        <w:t> </w:t>
      </w:r>
      <w:r>
        <w:rPr>
          <w:sz w:val="20"/>
        </w:rPr>
        <w:t>A.</w:t>
      </w:r>
      <w:r>
        <w:rPr>
          <w:spacing w:val="-4"/>
          <w:sz w:val="20"/>
        </w:rPr>
        <w:t> </w:t>
      </w:r>
      <w:r>
        <w:rPr>
          <w:sz w:val="20"/>
        </w:rPr>
        <w:t>(2018).</w:t>
      </w:r>
      <w:r>
        <w:rPr>
          <w:spacing w:val="-4"/>
          <w:sz w:val="20"/>
        </w:rPr>
        <w:t> </w:t>
      </w:r>
      <w:r>
        <w:rPr>
          <w:sz w:val="20"/>
        </w:rPr>
        <w:t>Modification</w:t>
      </w:r>
      <w:r>
        <w:rPr>
          <w:spacing w:val="-3"/>
          <w:sz w:val="20"/>
        </w:rPr>
        <w:t> </w:t>
      </w:r>
      <w:r>
        <w:rPr>
          <w:sz w:val="20"/>
        </w:rPr>
        <w:t>of</w:t>
      </w:r>
      <w:r>
        <w:rPr>
          <w:spacing w:val="-4"/>
          <w:sz w:val="20"/>
        </w:rPr>
        <w:t> </w:t>
      </w:r>
      <w:r>
        <w:rPr>
          <w:sz w:val="20"/>
        </w:rPr>
        <w:t>the</w:t>
      </w:r>
      <w:r>
        <w:rPr>
          <w:spacing w:val="-4"/>
          <w:sz w:val="20"/>
        </w:rPr>
        <w:t> </w:t>
      </w:r>
      <w:r>
        <w:rPr>
          <w:sz w:val="20"/>
        </w:rPr>
        <w:t>recovered</w:t>
      </w:r>
      <w:r>
        <w:rPr>
          <w:spacing w:val="-3"/>
          <w:sz w:val="20"/>
        </w:rPr>
        <w:t> </w:t>
      </w:r>
      <w:r>
        <w:rPr>
          <w:sz w:val="20"/>
        </w:rPr>
        <w:t>low- grade fat to formulate eco-friendly lubricant grease.</w:t>
      </w:r>
      <w:r>
        <w:rPr>
          <w:spacing w:val="-5"/>
          <w:sz w:val="20"/>
        </w:rPr>
        <w:t> </w:t>
      </w:r>
      <w:r>
        <w:rPr>
          <w:i/>
          <w:sz w:val="20"/>
        </w:rPr>
        <w:t>Latin</w:t>
      </w:r>
      <w:r>
        <w:rPr>
          <w:i/>
          <w:spacing w:val="-6"/>
          <w:sz w:val="20"/>
        </w:rPr>
        <w:t> </w:t>
      </w:r>
      <w:r>
        <w:rPr>
          <w:i/>
          <w:sz w:val="20"/>
        </w:rPr>
        <w:t>American</w:t>
      </w:r>
      <w:r>
        <w:rPr>
          <w:i/>
          <w:spacing w:val="-5"/>
          <w:sz w:val="20"/>
        </w:rPr>
        <w:t> </w:t>
      </w:r>
      <w:r>
        <w:rPr>
          <w:i/>
          <w:sz w:val="20"/>
        </w:rPr>
        <w:t>Applied</w:t>
      </w:r>
      <w:r>
        <w:rPr>
          <w:i/>
          <w:spacing w:val="-5"/>
          <w:sz w:val="20"/>
        </w:rPr>
        <w:t> </w:t>
      </w:r>
      <w:r>
        <w:rPr>
          <w:i/>
          <w:sz w:val="20"/>
        </w:rPr>
        <w:t>Research</w:t>
      </w:r>
      <w:r>
        <w:rPr>
          <w:sz w:val="20"/>
        </w:rPr>
        <w:t>,</w:t>
      </w:r>
      <w:r>
        <w:rPr>
          <w:spacing w:val="-6"/>
          <w:sz w:val="20"/>
        </w:rPr>
        <w:t> </w:t>
      </w:r>
      <w:r>
        <w:rPr>
          <w:sz w:val="20"/>
        </w:rPr>
        <w:t>48,</w:t>
      </w:r>
      <w:r>
        <w:rPr>
          <w:spacing w:val="-8"/>
          <w:sz w:val="20"/>
        </w:rPr>
        <w:t> </w:t>
      </w:r>
      <w:r>
        <w:rPr>
          <w:sz w:val="20"/>
        </w:rPr>
        <w:t>69- </w:t>
      </w:r>
      <w:r>
        <w:rPr>
          <w:spacing w:val="-4"/>
          <w:sz w:val="20"/>
        </w:rPr>
        <w:t>74.</w:t>
      </w:r>
    </w:p>
    <w:p>
      <w:pPr>
        <w:pStyle w:val="BodyText"/>
        <w:tabs>
          <w:tab w:pos="2752" w:val="left" w:leader="none"/>
          <w:tab w:pos="4249" w:val="left" w:leader="none"/>
        </w:tabs>
        <w:ind w:left="905" w:right="38" w:hanging="567"/>
      </w:pPr>
      <w:r>
        <w:rPr/>
        <w:t>Hamnas, A., &amp; Unnikrishnan, G. (2023). Bio-lubricants from vegetable oils: Characterization, modifications, applications and challenges </w:t>
      </w:r>
      <w:r>
        <w:rPr/>
        <w:t>– Review. </w:t>
      </w:r>
      <w:r>
        <w:rPr>
          <w:i/>
        </w:rPr>
        <w:t>Renewable and Sustainable Energy </w:t>
      </w:r>
      <w:r>
        <w:rPr>
          <w:i/>
          <w:spacing w:val="-2"/>
        </w:rPr>
        <w:t>Reviews</w:t>
      </w:r>
      <w:r>
        <w:rPr>
          <w:spacing w:val="-2"/>
        </w:rPr>
        <w:t>,</w:t>
      </w:r>
      <w:r>
        <w:rPr/>
        <w:tab/>
      </w:r>
      <w:r>
        <w:rPr>
          <w:spacing w:val="-4"/>
        </w:rPr>
        <w:t>182,</w:t>
      </w:r>
      <w:r>
        <w:rPr/>
        <w:tab/>
      </w:r>
      <w:r>
        <w:rPr>
          <w:spacing w:val="-2"/>
        </w:rPr>
        <w:t>113413.</w:t>
      </w:r>
    </w:p>
    <w:p>
      <w:pPr>
        <w:pStyle w:val="BodyText"/>
        <w:spacing w:before="1"/>
        <w:ind w:right="46" w:firstLine="566"/>
      </w:pPr>
      <w:r>
        <w:rPr>
          <w:spacing w:val="-2"/>
        </w:rPr>
        <w:t>https://doi.org/10.1016/j.rser.2023.113413</w:t>
      </w:r>
      <w:r>
        <w:rPr>
          <w:spacing w:val="40"/>
        </w:rPr>
        <w:t> </w:t>
      </w:r>
      <w:r>
        <w:rPr/>
        <w:t>Hendra,</w:t>
      </w:r>
      <w:r>
        <w:rPr>
          <w:spacing w:val="64"/>
        </w:rPr>
        <w:t> </w:t>
      </w:r>
      <w:r>
        <w:rPr/>
        <w:t>M.</w:t>
      </w:r>
      <w:r>
        <w:rPr>
          <w:spacing w:val="62"/>
        </w:rPr>
        <w:t> </w:t>
      </w:r>
      <w:r>
        <w:rPr/>
        <w:t>P.,</w:t>
      </w:r>
      <w:r>
        <w:rPr>
          <w:spacing w:val="63"/>
        </w:rPr>
        <w:t> </w:t>
      </w:r>
      <w:r>
        <w:rPr/>
        <w:t>Pradana,</w:t>
      </w:r>
      <w:r>
        <w:rPr>
          <w:spacing w:val="64"/>
        </w:rPr>
        <w:t> </w:t>
      </w:r>
      <w:r>
        <w:rPr/>
        <w:t>R.</w:t>
      </w:r>
      <w:r>
        <w:rPr>
          <w:spacing w:val="63"/>
        </w:rPr>
        <w:t> </w:t>
      </w:r>
      <w:r>
        <w:rPr/>
        <w:t>A.,</w:t>
      </w:r>
      <w:r>
        <w:rPr>
          <w:spacing w:val="63"/>
        </w:rPr>
        <w:t> </w:t>
      </w:r>
      <w:r>
        <w:rPr/>
        <w:t>Masulili,</w:t>
      </w:r>
      <w:r>
        <w:rPr>
          <w:spacing w:val="63"/>
        </w:rPr>
        <w:t> </w:t>
      </w:r>
      <w:r>
        <w:rPr/>
        <w:t>A.</w:t>
      </w:r>
      <w:r>
        <w:rPr>
          <w:spacing w:val="64"/>
        </w:rPr>
        <w:t> </w:t>
      </w:r>
      <w:r>
        <w:rPr/>
        <w:t>N.,</w:t>
      </w:r>
      <w:r>
        <w:rPr>
          <w:spacing w:val="61"/>
        </w:rPr>
        <w:t> </w:t>
      </w:r>
      <w:r>
        <w:rPr>
          <w:spacing w:val="-10"/>
        </w:rPr>
        <w:t>&amp;</w:t>
      </w:r>
    </w:p>
    <w:p>
      <w:pPr>
        <w:pStyle w:val="BodyText"/>
        <w:ind w:left="905" w:right="42"/>
      </w:pPr>
      <w:r>
        <w:rPr/>
        <w:t>Wisudanto.</w:t>
      </w:r>
      <w:r>
        <w:rPr>
          <w:spacing w:val="-13"/>
        </w:rPr>
        <w:t> </w:t>
      </w:r>
      <w:r>
        <w:rPr/>
        <w:t>(2024).</w:t>
      </w:r>
      <w:r>
        <w:rPr>
          <w:spacing w:val="-12"/>
        </w:rPr>
        <w:t> </w:t>
      </w:r>
      <w:r>
        <w:rPr/>
        <w:t>Mengukur</w:t>
      </w:r>
      <w:r>
        <w:rPr>
          <w:spacing w:val="-13"/>
        </w:rPr>
        <w:t> </w:t>
      </w:r>
      <w:r>
        <w:rPr/>
        <w:t>kinerja</w:t>
      </w:r>
      <w:r>
        <w:rPr>
          <w:spacing w:val="-12"/>
        </w:rPr>
        <w:t> </w:t>
      </w:r>
      <w:r>
        <w:rPr/>
        <w:t>dan</w:t>
      </w:r>
      <w:r>
        <w:rPr>
          <w:spacing w:val="-13"/>
        </w:rPr>
        <w:t> </w:t>
      </w:r>
      <w:r>
        <w:rPr/>
        <w:t>analisis kelayakan investasi ditinjau dari aspek finansial pada</w:t>
      </w:r>
      <w:r>
        <w:rPr>
          <w:spacing w:val="-13"/>
        </w:rPr>
        <w:t> </w:t>
      </w:r>
      <w:r>
        <w:rPr/>
        <w:t>pengadaan</w:t>
      </w:r>
      <w:r>
        <w:rPr>
          <w:spacing w:val="-12"/>
        </w:rPr>
        <w:t> </w:t>
      </w:r>
      <w:r>
        <w:rPr/>
        <w:t>truck</w:t>
      </w:r>
      <w:r>
        <w:rPr>
          <w:spacing w:val="-12"/>
        </w:rPr>
        <w:t> </w:t>
      </w:r>
      <w:r>
        <w:rPr/>
        <w:t>mounted</w:t>
      </w:r>
      <w:r>
        <w:rPr>
          <w:spacing w:val="-10"/>
        </w:rPr>
        <w:t> </w:t>
      </w:r>
      <w:r>
        <w:rPr/>
        <w:t>crane</w:t>
      </w:r>
      <w:r>
        <w:rPr>
          <w:spacing w:val="-13"/>
        </w:rPr>
        <w:t> </w:t>
      </w:r>
      <w:r>
        <w:rPr/>
        <w:t>di</w:t>
      </w:r>
      <w:r>
        <w:rPr>
          <w:spacing w:val="-11"/>
        </w:rPr>
        <w:t> </w:t>
      </w:r>
      <w:r>
        <w:rPr/>
        <w:t>kilang</w:t>
      </w:r>
      <w:r>
        <w:rPr>
          <w:spacing w:val="-10"/>
        </w:rPr>
        <w:t> </w:t>
      </w:r>
      <w:r>
        <w:rPr/>
        <w:t>Sei Pakning. </w:t>
      </w:r>
      <w:r>
        <w:rPr>
          <w:i/>
        </w:rPr>
        <w:t>Jurnal Wicida</w:t>
      </w:r>
      <w:r>
        <w:rPr/>
        <w:t>, </w:t>
      </w:r>
      <w:r>
        <w:rPr>
          <w:i/>
        </w:rPr>
        <w:t>28</w:t>
      </w:r>
      <w:r>
        <w:rPr/>
        <w:t>(1), 98–104.</w:t>
      </w:r>
    </w:p>
    <w:p>
      <w:pPr>
        <w:spacing w:before="0"/>
        <w:ind w:left="905" w:right="40" w:hanging="567"/>
        <w:jc w:val="both"/>
        <w:rPr>
          <w:sz w:val="20"/>
        </w:rPr>
      </w:pPr>
      <w:r>
        <w:rPr>
          <w:sz w:val="20"/>
        </w:rPr>
        <w:t>Honary, L., &amp; Richter, E. (2011). </w:t>
      </w:r>
      <w:r>
        <w:rPr>
          <w:i/>
          <w:sz w:val="20"/>
        </w:rPr>
        <w:t>Biobased lubricants and greases: Technology and products</w:t>
      </w:r>
      <w:r>
        <w:rPr>
          <w:sz w:val="20"/>
        </w:rPr>
        <w:t>. Wiley.</w:t>
      </w:r>
    </w:p>
    <w:p>
      <w:pPr>
        <w:pStyle w:val="BodyText"/>
        <w:spacing w:line="228" w:lineRule="exact"/>
      </w:pPr>
      <w:r>
        <w:rPr/>
        <w:t>Hoong,</w:t>
      </w:r>
      <w:r>
        <w:rPr>
          <w:spacing w:val="24"/>
        </w:rPr>
        <w:t> </w:t>
      </w:r>
      <w:r>
        <w:rPr/>
        <w:t>S.</w:t>
      </w:r>
      <w:r>
        <w:rPr>
          <w:spacing w:val="23"/>
        </w:rPr>
        <w:t> </w:t>
      </w:r>
      <w:r>
        <w:rPr/>
        <w:t>S.,</w:t>
      </w:r>
      <w:r>
        <w:rPr>
          <w:spacing w:val="24"/>
        </w:rPr>
        <w:t> </w:t>
      </w:r>
      <w:r>
        <w:rPr/>
        <w:t>Arniza,</w:t>
      </w:r>
      <w:r>
        <w:rPr>
          <w:spacing w:val="24"/>
        </w:rPr>
        <w:t> </w:t>
      </w:r>
      <w:r>
        <w:rPr/>
        <w:t>M.</w:t>
      </w:r>
      <w:r>
        <w:rPr>
          <w:spacing w:val="24"/>
        </w:rPr>
        <w:t> </w:t>
      </w:r>
      <w:r>
        <w:rPr/>
        <w:t>Z.,</w:t>
      </w:r>
      <w:r>
        <w:rPr>
          <w:spacing w:val="22"/>
        </w:rPr>
        <w:t> </w:t>
      </w:r>
      <w:r>
        <w:rPr/>
        <w:t>Mariam,</w:t>
      </w:r>
      <w:r>
        <w:rPr>
          <w:spacing w:val="24"/>
        </w:rPr>
        <w:t> </w:t>
      </w:r>
      <w:r>
        <w:rPr/>
        <w:t>N.</w:t>
      </w:r>
      <w:r>
        <w:rPr>
          <w:spacing w:val="24"/>
        </w:rPr>
        <w:t> </w:t>
      </w:r>
      <w:r>
        <w:rPr/>
        <w:t>M.</w:t>
      </w:r>
      <w:r>
        <w:rPr>
          <w:spacing w:val="24"/>
        </w:rPr>
        <w:t> </w:t>
      </w:r>
      <w:r>
        <w:rPr/>
        <w:t>D.</w:t>
      </w:r>
      <w:r>
        <w:rPr>
          <w:spacing w:val="24"/>
        </w:rPr>
        <w:t> </w:t>
      </w:r>
      <w:r>
        <w:rPr/>
        <w:t>N.</w:t>
      </w:r>
      <w:r>
        <w:rPr>
          <w:spacing w:val="24"/>
        </w:rPr>
        <w:t> </w:t>
      </w:r>
      <w:r>
        <w:rPr>
          <w:spacing w:val="-5"/>
        </w:rPr>
        <w:t>S.,</w:t>
      </w:r>
    </w:p>
    <w:p>
      <w:pPr>
        <w:pStyle w:val="BodyText"/>
        <w:tabs>
          <w:tab w:pos="2788" w:val="left" w:leader="none"/>
          <w:tab w:pos="4249" w:val="left" w:leader="none"/>
        </w:tabs>
        <w:spacing w:before="1"/>
        <w:ind w:left="905" w:right="42"/>
      </w:pPr>
      <w:r>
        <w:rPr/>
        <w:t>Armylisas, A. H. N., &amp; Yeong, S. K. (2019). Synthesis and physicochemical properties of </w:t>
      </w:r>
      <w:r>
        <w:rPr>
          <w:spacing w:val="-2"/>
        </w:rPr>
        <w:t>novel</w:t>
      </w:r>
      <w:r>
        <w:rPr>
          <w:spacing w:val="-6"/>
        </w:rPr>
        <w:t> </w:t>
      </w:r>
      <w:r>
        <w:rPr>
          <w:spacing w:val="-2"/>
        </w:rPr>
        <w:t>lauric</w:t>
      </w:r>
      <w:r>
        <w:rPr>
          <w:spacing w:val="-6"/>
        </w:rPr>
        <w:t> </w:t>
      </w:r>
      <w:r>
        <w:rPr>
          <w:spacing w:val="-2"/>
        </w:rPr>
        <w:t>acid</w:t>
      </w:r>
      <w:r>
        <w:rPr>
          <w:spacing w:val="-5"/>
        </w:rPr>
        <w:t> </w:t>
      </w:r>
      <w:r>
        <w:rPr>
          <w:spacing w:val="-2"/>
        </w:rPr>
        <w:t>capped</w:t>
      </w:r>
      <w:r>
        <w:rPr>
          <w:spacing w:val="-5"/>
        </w:rPr>
        <w:t> </w:t>
      </w:r>
      <w:r>
        <w:rPr>
          <w:spacing w:val="-2"/>
        </w:rPr>
        <w:t>estolide</w:t>
      </w:r>
      <w:r>
        <w:rPr>
          <w:spacing w:val="-6"/>
        </w:rPr>
        <w:t> </w:t>
      </w:r>
      <w:r>
        <w:rPr>
          <w:spacing w:val="-2"/>
        </w:rPr>
        <w:t>esters</w:t>
      </w:r>
      <w:r>
        <w:rPr>
          <w:spacing w:val="-7"/>
        </w:rPr>
        <w:t> </w:t>
      </w:r>
      <w:r>
        <w:rPr>
          <w:spacing w:val="-2"/>
        </w:rPr>
        <w:t>and</w:t>
      </w:r>
      <w:r>
        <w:rPr>
          <w:spacing w:val="-5"/>
        </w:rPr>
        <w:t> </w:t>
      </w:r>
      <w:r>
        <w:rPr>
          <w:spacing w:val="-2"/>
        </w:rPr>
        <w:t>amides </w:t>
      </w:r>
      <w:r>
        <w:rPr/>
        <w:t>made from oleic acid and their evaluations for biolubricant basestock. </w:t>
      </w:r>
      <w:r>
        <w:rPr>
          <w:i/>
        </w:rPr>
        <w:t>Industrial Crops and </w:t>
      </w:r>
      <w:r>
        <w:rPr>
          <w:i/>
          <w:spacing w:val="-2"/>
        </w:rPr>
        <w:t>Products</w:t>
      </w:r>
      <w:r>
        <w:rPr>
          <w:spacing w:val="-2"/>
        </w:rPr>
        <w:t>,</w:t>
      </w:r>
      <w:r>
        <w:rPr/>
        <w:tab/>
      </w:r>
      <w:r>
        <w:rPr>
          <w:spacing w:val="-4"/>
        </w:rPr>
        <w:t>140,</w:t>
      </w:r>
      <w:r>
        <w:rPr/>
        <w:tab/>
      </w:r>
      <w:r>
        <w:rPr>
          <w:spacing w:val="-2"/>
        </w:rPr>
        <w:t>111653.</w:t>
      </w:r>
    </w:p>
    <w:p>
      <w:pPr>
        <w:pStyle w:val="BodyText"/>
        <w:ind w:left="905"/>
        <w:jc w:val="left"/>
      </w:pPr>
      <w:r>
        <w:rPr>
          <w:spacing w:val="-2"/>
        </w:rPr>
        <w:t>https://doi.org/10.1016/j.indcrop.2019.111653</w:t>
      </w:r>
    </w:p>
    <w:p>
      <w:pPr>
        <w:pStyle w:val="BodyText"/>
        <w:tabs>
          <w:tab w:pos="2054" w:val="left" w:leader="none"/>
          <w:tab w:pos="3228" w:val="left" w:leader="none"/>
          <w:tab w:pos="3952" w:val="left" w:leader="none"/>
        </w:tabs>
        <w:spacing w:before="91"/>
        <w:ind w:left="905" w:right="47" w:hanging="567"/>
      </w:pPr>
      <w:r>
        <w:rPr/>
        <w:br w:type="column"/>
      </w:r>
      <w:r>
        <w:rPr/>
        <w:t>Hosein, I. D. (2021). The promise of calcium batteries: Open perspectives and fair comparisons. </w:t>
      </w:r>
      <w:r>
        <w:rPr>
          <w:i/>
        </w:rPr>
        <w:t>ACS </w:t>
      </w:r>
      <w:r>
        <w:rPr>
          <w:i/>
          <w:spacing w:val="-2"/>
        </w:rPr>
        <w:t>Energy</w:t>
      </w:r>
      <w:r>
        <w:rPr>
          <w:i/>
        </w:rPr>
        <w:tab/>
      </w:r>
      <w:r>
        <w:rPr>
          <w:i/>
          <w:spacing w:val="-2"/>
        </w:rPr>
        <w:t>Letters</w:t>
      </w:r>
      <w:r>
        <w:rPr>
          <w:spacing w:val="-2"/>
        </w:rPr>
        <w:t>,</w:t>
      </w:r>
      <w:r>
        <w:rPr/>
        <w:tab/>
      </w:r>
      <w:r>
        <w:rPr>
          <w:spacing w:val="-6"/>
        </w:rPr>
        <w:t>6,</w:t>
      </w:r>
      <w:r>
        <w:rPr/>
        <w:tab/>
      </w:r>
      <w:r>
        <w:rPr>
          <w:spacing w:val="-2"/>
        </w:rPr>
        <w:t>1560–1565. https://doi.org/10.1021/acsenergylett.1c00593</w:t>
      </w:r>
    </w:p>
    <w:p>
      <w:pPr>
        <w:pStyle w:val="BodyText"/>
        <w:spacing w:line="229" w:lineRule="exact"/>
      </w:pPr>
      <w:r>
        <w:rPr/>
        <w:t>Hu,</w:t>
      </w:r>
      <w:r>
        <w:rPr>
          <w:spacing w:val="-3"/>
        </w:rPr>
        <w:t> </w:t>
      </w:r>
      <w:r>
        <w:rPr/>
        <w:t>C., Ai, J.,</w:t>
      </w:r>
      <w:r>
        <w:rPr>
          <w:spacing w:val="-1"/>
        </w:rPr>
        <w:t> </w:t>
      </w:r>
      <w:r>
        <w:rPr/>
        <w:t>Ma, L., Wen,</w:t>
      </w:r>
      <w:r>
        <w:rPr>
          <w:spacing w:val="-1"/>
        </w:rPr>
        <w:t> </w:t>
      </w:r>
      <w:r>
        <w:rPr/>
        <w:t>P., Fan, M., Zhou,</w:t>
      </w:r>
      <w:r>
        <w:rPr>
          <w:spacing w:val="-1"/>
        </w:rPr>
        <w:t> </w:t>
      </w:r>
      <w:r>
        <w:rPr/>
        <w:t>F.,</w:t>
      </w:r>
      <w:r>
        <w:rPr>
          <w:spacing w:val="1"/>
        </w:rPr>
        <w:t> </w:t>
      </w:r>
      <w:r>
        <w:rPr/>
        <w:t>&amp;</w:t>
      </w:r>
      <w:r>
        <w:rPr>
          <w:spacing w:val="1"/>
        </w:rPr>
        <w:t> </w:t>
      </w:r>
      <w:r>
        <w:rPr>
          <w:spacing w:val="-5"/>
        </w:rPr>
        <w:t>Lu,</w:t>
      </w:r>
    </w:p>
    <w:p>
      <w:pPr>
        <w:pStyle w:val="BodyText"/>
        <w:tabs>
          <w:tab w:pos="2316" w:val="left" w:leader="none"/>
          <w:tab w:pos="3230" w:val="left" w:leader="none"/>
          <w:tab w:pos="4421" w:val="left" w:leader="none"/>
        </w:tabs>
        <w:ind w:left="905" w:right="50"/>
      </w:pPr>
      <w:r>
        <w:rPr/>
        <w:t>W. (2021). Ester oils prepared from fully renewable resources and their lubricant base oil </w:t>
      </w:r>
      <w:r>
        <w:rPr>
          <w:spacing w:val="-2"/>
        </w:rPr>
        <w:t>properties.</w:t>
      </w:r>
      <w:r>
        <w:rPr/>
        <w:tab/>
      </w:r>
      <w:r>
        <w:rPr>
          <w:i/>
          <w:spacing w:val="-4"/>
        </w:rPr>
        <w:t>ACS</w:t>
      </w:r>
      <w:r>
        <w:rPr>
          <w:i/>
        </w:rPr>
        <w:tab/>
      </w:r>
      <w:r>
        <w:rPr>
          <w:i/>
          <w:spacing w:val="-2"/>
        </w:rPr>
        <w:t>Omega</w:t>
      </w:r>
      <w:r>
        <w:rPr>
          <w:spacing w:val="-2"/>
        </w:rPr>
        <w:t>,</w:t>
      </w:r>
      <w:r>
        <w:rPr/>
        <w:tab/>
      </w:r>
      <w:r>
        <w:rPr>
          <w:spacing w:val="-2"/>
        </w:rPr>
        <w:t>6(25)</w:t>
      </w:r>
      <w:r>
        <w:rPr>
          <w:spacing w:val="-2"/>
        </w:rPr>
        <w:t>.</w:t>
      </w:r>
      <w:r>
        <w:rPr>
          <w:spacing w:val="-2"/>
        </w:rPr>
        <w:t> https://doi.org/10.1021/acsomega.1c00808</w:t>
      </w:r>
    </w:p>
    <w:p>
      <w:pPr>
        <w:pStyle w:val="BodyText"/>
        <w:ind w:left="905" w:right="49" w:hanging="567"/>
      </w:pPr>
      <w:r>
        <w:rPr/>
        <w:t>Jalil,</w:t>
      </w:r>
      <w:r>
        <w:rPr>
          <w:spacing w:val="-4"/>
        </w:rPr>
        <w:t> </w:t>
      </w:r>
      <w:r>
        <w:rPr/>
        <w:t>M.</w:t>
      </w:r>
      <w:r>
        <w:rPr>
          <w:spacing w:val="-3"/>
        </w:rPr>
        <w:t> </w:t>
      </w:r>
      <w:r>
        <w:rPr/>
        <w:t>J.,</w:t>
      </w:r>
      <w:r>
        <w:rPr>
          <w:spacing w:val="-4"/>
        </w:rPr>
        <w:t> </w:t>
      </w:r>
      <w:r>
        <w:rPr/>
        <w:t>Mohamed,</w:t>
      </w:r>
      <w:r>
        <w:rPr>
          <w:spacing w:val="-4"/>
        </w:rPr>
        <w:t> </w:t>
      </w:r>
      <w:r>
        <w:rPr/>
        <w:t>N.,</w:t>
      </w:r>
      <w:r>
        <w:rPr>
          <w:spacing w:val="-4"/>
        </w:rPr>
        <w:t> </w:t>
      </w:r>
      <w:r>
        <w:rPr/>
        <w:t>Jamaludin,</w:t>
      </w:r>
      <w:r>
        <w:rPr>
          <w:spacing w:val="-4"/>
        </w:rPr>
        <w:t> </w:t>
      </w:r>
      <w:r>
        <w:rPr/>
        <w:t>S.</w:t>
      </w:r>
      <w:r>
        <w:rPr>
          <w:spacing w:val="-4"/>
        </w:rPr>
        <w:t> </w:t>
      </w:r>
      <w:r>
        <w:rPr/>
        <w:t>K.,</w:t>
      </w:r>
      <w:r>
        <w:rPr>
          <w:spacing w:val="-4"/>
        </w:rPr>
        <w:t> </w:t>
      </w:r>
      <w:r>
        <w:rPr/>
        <w:t>Som,</w:t>
      </w:r>
      <w:r>
        <w:rPr>
          <w:spacing w:val="-4"/>
        </w:rPr>
        <w:t> </w:t>
      </w:r>
      <w:r>
        <w:rPr/>
        <w:t>A.</w:t>
      </w:r>
      <w:r>
        <w:rPr>
          <w:spacing w:val="-4"/>
        </w:rPr>
        <w:t> </w:t>
      </w:r>
      <w:r>
        <w:rPr/>
        <w:t>M., &amp; Daud, A. R. M. (2014). Epoxidation of palm kernel oil-based crude oleic acid. </w:t>
      </w:r>
      <w:r>
        <w:rPr>
          <w:i/>
        </w:rPr>
        <w:t>Advanced Materials Research</w:t>
      </w:r>
      <w:r>
        <w:rPr/>
        <w:t>, 906, </w:t>
      </w:r>
      <w:r>
        <w:rPr/>
        <w:t>125–130. </w:t>
      </w:r>
      <w:r>
        <w:rPr>
          <w:spacing w:val="-2"/>
        </w:rPr>
        <w:t>doi:10.4028</w:t>
      </w:r>
      <w:hyperlink r:id="rId23">
        <w:r>
          <w:rPr>
            <w:spacing w:val="-2"/>
          </w:rPr>
          <w:t>/www.scientific.net/AMR.906.125</w:t>
        </w:r>
      </w:hyperlink>
    </w:p>
    <w:p>
      <w:pPr>
        <w:pStyle w:val="BodyText"/>
      </w:pPr>
      <w:r>
        <w:rPr/>
        <w:t>Japar,</w:t>
      </w:r>
      <w:r>
        <w:rPr>
          <w:spacing w:val="4"/>
        </w:rPr>
        <w:t> </w:t>
      </w:r>
      <w:r>
        <w:rPr/>
        <w:t>N.</w:t>
      </w:r>
      <w:r>
        <w:rPr>
          <w:spacing w:val="4"/>
        </w:rPr>
        <w:t> </w:t>
      </w:r>
      <w:r>
        <w:rPr/>
        <w:t>S.</w:t>
      </w:r>
      <w:r>
        <w:rPr>
          <w:spacing w:val="2"/>
        </w:rPr>
        <w:t> </w:t>
      </w:r>
      <w:r>
        <w:rPr/>
        <w:t>A.,</w:t>
      </w:r>
      <w:r>
        <w:rPr>
          <w:spacing w:val="3"/>
        </w:rPr>
        <w:t> </w:t>
      </w:r>
      <w:r>
        <w:rPr/>
        <w:t>Aziz,</w:t>
      </w:r>
      <w:r>
        <w:rPr>
          <w:spacing w:val="4"/>
        </w:rPr>
        <w:t> </w:t>
      </w:r>
      <w:r>
        <w:rPr/>
        <w:t>M.</w:t>
      </w:r>
      <w:r>
        <w:rPr>
          <w:spacing w:val="3"/>
        </w:rPr>
        <w:t> </w:t>
      </w:r>
      <w:r>
        <w:rPr/>
        <w:t>A.</w:t>
      </w:r>
      <w:r>
        <w:rPr>
          <w:spacing w:val="2"/>
        </w:rPr>
        <w:t> </w:t>
      </w:r>
      <w:r>
        <w:rPr/>
        <w:t>A.,</w:t>
      </w:r>
      <w:r>
        <w:rPr>
          <w:spacing w:val="5"/>
        </w:rPr>
        <w:t> </w:t>
      </w:r>
      <w:r>
        <w:rPr/>
        <w:t>&amp;</w:t>
      </w:r>
      <w:r>
        <w:rPr>
          <w:spacing w:val="5"/>
        </w:rPr>
        <w:t> </w:t>
      </w:r>
      <w:r>
        <w:rPr/>
        <w:t>Razali,</w:t>
      </w:r>
      <w:r>
        <w:rPr>
          <w:spacing w:val="4"/>
        </w:rPr>
        <w:t> </w:t>
      </w:r>
      <w:r>
        <w:rPr/>
        <w:t>M.</w:t>
      </w:r>
      <w:r>
        <w:rPr>
          <w:spacing w:val="3"/>
        </w:rPr>
        <w:t> </w:t>
      </w:r>
      <w:r>
        <w:rPr/>
        <w:t>N.</w:t>
      </w:r>
      <w:r>
        <w:rPr>
          <w:spacing w:val="2"/>
        </w:rPr>
        <w:t> </w:t>
      </w:r>
      <w:r>
        <w:rPr>
          <w:spacing w:val="-2"/>
        </w:rPr>
        <w:t>(2018).</w:t>
      </w:r>
    </w:p>
    <w:p>
      <w:pPr>
        <w:pStyle w:val="BodyText"/>
        <w:ind w:left="905" w:right="49"/>
      </w:pPr>
      <w:r>
        <w:rPr/>
        <w:t>Fundamental study of waste oil potential as base oil alternative in grease formulation. </w:t>
      </w:r>
      <w:r>
        <w:rPr>
          <w:i/>
        </w:rPr>
        <w:t>CORE</w:t>
      </w:r>
      <w:r>
        <w:rPr/>
        <w:t>. </w:t>
      </w:r>
      <w:r>
        <w:rPr>
          <w:spacing w:val="-2"/>
        </w:rPr>
        <w:t>https://core.ac.uk/download/pdf/186358742.pdf</w:t>
      </w:r>
    </w:p>
    <w:p>
      <w:pPr>
        <w:pStyle w:val="BodyText"/>
        <w:spacing w:line="229" w:lineRule="exact"/>
      </w:pPr>
      <w:r>
        <w:rPr/>
        <w:t>Ju,</w:t>
      </w:r>
      <w:r>
        <w:rPr>
          <w:spacing w:val="55"/>
        </w:rPr>
        <w:t> </w:t>
      </w:r>
      <w:r>
        <w:rPr/>
        <w:t>Y.-H.,</w:t>
      </w:r>
      <w:r>
        <w:rPr>
          <w:spacing w:val="55"/>
        </w:rPr>
        <w:t> </w:t>
      </w:r>
      <w:r>
        <w:rPr/>
        <w:t>Sari,</w:t>
      </w:r>
      <w:r>
        <w:rPr>
          <w:spacing w:val="56"/>
        </w:rPr>
        <w:t> </w:t>
      </w:r>
      <w:r>
        <w:rPr/>
        <w:t>N.</w:t>
      </w:r>
      <w:r>
        <w:rPr>
          <w:spacing w:val="55"/>
        </w:rPr>
        <w:t> </w:t>
      </w:r>
      <w:r>
        <w:rPr/>
        <w:t>N.</w:t>
      </w:r>
      <w:r>
        <w:rPr>
          <w:spacing w:val="56"/>
        </w:rPr>
        <w:t> </w:t>
      </w:r>
      <w:r>
        <w:rPr/>
        <w:t>F.,</w:t>
      </w:r>
      <w:r>
        <w:rPr>
          <w:spacing w:val="55"/>
        </w:rPr>
        <w:t> </w:t>
      </w:r>
      <w:r>
        <w:rPr/>
        <w:t>Go,</w:t>
      </w:r>
      <w:r>
        <w:rPr>
          <w:spacing w:val="56"/>
        </w:rPr>
        <w:t> </w:t>
      </w:r>
      <w:r>
        <w:rPr/>
        <w:t>A.</w:t>
      </w:r>
      <w:r>
        <w:rPr>
          <w:spacing w:val="55"/>
        </w:rPr>
        <w:t> </w:t>
      </w:r>
      <w:r>
        <w:rPr/>
        <w:t>W.,</w:t>
      </w:r>
      <w:r>
        <w:rPr>
          <w:spacing w:val="56"/>
        </w:rPr>
        <w:t> </w:t>
      </w:r>
      <w:r>
        <w:rPr/>
        <w:t>Wang,</w:t>
      </w:r>
      <w:r>
        <w:rPr>
          <w:spacing w:val="55"/>
        </w:rPr>
        <w:t> </w:t>
      </w:r>
      <w:r>
        <w:rPr/>
        <w:t>M.-</w:t>
      </w:r>
      <w:r>
        <w:rPr>
          <w:spacing w:val="-5"/>
        </w:rPr>
        <w:t>J.,</w:t>
      </w:r>
    </w:p>
    <w:p>
      <w:pPr>
        <w:pStyle w:val="BodyText"/>
        <w:tabs>
          <w:tab w:pos="2828" w:val="left" w:leader="none"/>
          <w:tab w:pos="3953" w:val="left" w:leader="none"/>
        </w:tabs>
        <w:spacing w:before="1"/>
        <w:ind w:left="905" w:right="47"/>
      </w:pPr>
      <w:r>
        <w:rPr/>
        <w:t>Agapay,</w:t>
      </w:r>
      <w:r>
        <w:rPr>
          <w:spacing w:val="-13"/>
        </w:rPr>
        <w:t> </w:t>
      </w:r>
      <w:r>
        <w:rPr/>
        <w:t>R.</w:t>
      </w:r>
      <w:r>
        <w:rPr>
          <w:spacing w:val="-12"/>
        </w:rPr>
        <w:t> </w:t>
      </w:r>
      <w:r>
        <w:rPr/>
        <w:t>C.,</w:t>
      </w:r>
      <w:r>
        <w:rPr>
          <w:spacing w:val="-12"/>
        </w:rPr>
        <w:t> </w:t>
      </w:r>
      <w:r>
        <w:rPr/>
        <w:t>&amp;</w:t>
      </w:r>
      <w:r>
        <w:rPr>
          <w:spacing w:val="-11"/>
        </w:rPr>
        <w:t> </w:t>
      </w:r>
      <w:r>
        <w:rPr/>
        <w:t>Ayucitra,</w:t>
      </w:r>
      <w:r>
        <w:rPr>
          <w:spacing w:val="-11"/>
        </w:rPr>
        <w:t> </w:t>
      </w:r>
      <w:r>
        <w:rPr/>
        <w:t>A.</w:t>
      </w:r>
      <w:r>
        <w:rPr>
          <w:spacing w:val="-13"/>
        </w:rPr>
        <w:t> </w:t>
      </w:r>
      <w:r>
        <w:rPr/>
        <w:t>(2020).</w:t>
      </w:r>
      <w:r>
        <w:rPr>
          <w:spacing w:val="-12"/>
        </w:rPr>
        <w:t> </w:t>
      </w:r>
      <w:r>
        <w:rPr/>
        <w:t>Preparation of epoxidized fatty acid ethyl ester from tung oil as a bio-lubricant base-stock. </w:t>
      </w:r>
      <w:r>
        <w:rPr>
          <w:i/>
        </w:rPr>
        <w:t>Waste and Biomass </w:t>
      </w:r>
      <w:r>
        <w:rPr>
          <w:i/>
          <w:spacing w:val="-2"/>
        </w:rPr>
        <w:t>Valorization,</w:t>
      </w:r>
      <w:r>
        <w:rPr>
          <w:i/>
        </w:rPr>
        <w:tab/>
      </w:r>
      <w:r>
        <w:rPr>
          <w:i/>
          <w:spacing w:val="-4"/>
        </w:rPr>
        <w:t>11</w:t>
      </w:r>
      <w:r>
        <w:rPr>
          <w:spacing w:val="-4"/>
        </w:rPr>
        <w:t>,</w:t>
      </w:r>
      <w:r>
        <w:rPr/>
        <w:tab/>
      </w:r>
      <w:r>
        <w:rPr>
          <w:spacing w:val="-2"/>
        </w:rPr>
        <w:t>4145–4155. https://doi.org/10.1007/s12649-019-00738-4</w:t>
      </w:r>
    </w:p>
    <w:p>
      <w:pPr>
        <w:spacing w:before="0"/>
        <w:ind w:left="905" w:right="54" w:hanging="567"/>
        <w:jc w:val="both"/>
        <w:rPr>
          <w:sz w:val="20"/>
        </w:rPr>
      </w:pPr>
      <w:r>
        <w:rPr>
          <w:sz w:val="20"/>
        </w:rPr>
        <w:t>Kementerian Koperasi dan Usaha Kecil dan Menengah Republik Indonesia. (2021). </w:t>
      </w:r>
      <w:r>
        <w:rPr>
          <w:i/>
          <w:sz w:val="20"/>
        </w:rPr>
        <w:t>Peraturan Menteri Koperasi dan UKM Nomor 11 Tahun </w:t>
      </w:r>
      <w:r>
        <w:rPr>
          <w:i/>
          <w:sz w:val="20"/>
        </w:rPr>
        <w:t>2021 tentang Pedoman Pengelompokan Usaha Mikro, Kecil, dan Menengah. </w:t>
      </w:r>
      <w:r>
        <w:rPr>
          <w:sz w:val="20"/>
        </w:rPr>
        <w:t>https://peraturan.go.id</w:t>
      </w:r>
    </w:p>
    <w:p>
      <w:pPr>
        <w:pStyle w:val="BodyText"/>
        <w:spacing w:line="229" w:lineRule="exact" w:before="2"/>
      </w:pPr>
      <w:r>
        <w:rPr/>
        <w:t>Khan,</w:t>
      </w:r>
      <w:r>
        <w:rPr>
          <w:spacing w:val="-8"/>
        </w:rPr>
        <w:t> </w:t>
      </w:r>
      <w:r>
        <w:rPr/>
        <w:t>S.,</w:t>
      </w:r>
      <w:r>
        <w:rPr>
          <w:spacing w:val="-8"/>
        </w:rPr>
        <w:t> </w:t>
      </w:r>
      <w:r>
        <w:rPr/>
        <w:t>Das,</w:t>
      </w:r>
      <w:r>
        <w:rPr>
          <w:spacing w:val="-7"/>
        </w:rPr>
        <w:t> </w:t>
      </w:r>
      <w:r>
        <w:rPr/>
        <w:t>P.,</w:t>
      </w:r>
      <w:r>
        <w:rPr>
          <w:spacing w:val="-9"/>
        </w:rPr>
        <w:t> </w:t>
      </w:r>
      <w:r>
        <w:rPr/>
        <w:t>Quadir,</w:t>
      </w:r>
      <w:r>
        <w:rPr>
          <w:spacing w:val="-10"/>
        </w:rPr>
        <w:t> </w:t>
      </w:r>
      <w:r>
        <w:rPr/>
        <w:t>M.</w:t>
      </w:r>
      <w:r>
        <w:rPr>
          <w:spacing w:val="-11"/>
        </w:rPr>
        <w:t> </w:t>
      </w:r>
      <w:r>
        <w:rPr/>
        <w:t>A.,</w:t>
      </w:r>
      <w:r>
        <w:rPr>
          <w:spacing w:val="-7"/>
        </w:rPr>
        <w:t> </w:t>
      </w:r>
      <w:r>
        <w:rPr/>
        <w:t>Thaher,</w:t>
      </w:r>
      <w:r>
        <w:rPr>
          <w:spacing w:val="-10"/>
        </w:rPr>
        <w:t> </w:t>
      </w:r>
      <w:r>
        <w:rPr/>
        <w:t>M.,</w:t>
      </w:r>
      <w:r>
        <w:rPr>
          <w:spacing w:val="-7"/>
        </w:rPr>
        <w:t> </w:t>
      </w:r>
      <w:r>
        <w:rPr>
          <w:spacing w:val="-2"/>
        </w:rPr>
        <w:t>Annamalai,</w:t>
      </w:r>
    </w:p>
    <w:p>
      <w:pPr>
        <w:pStyle w:val="BodyText"/>
        <w:ind w:left="905" w:right="49"/>
      </w:pPr>
      <w:r>
        <w:rPr/>
        <w:t>S. N., Mahata, C., Hawari, A. H., &amp; Al Jabri, H. (2022). A comparative physicochemical property assessment and techno-economic analysis of biolubricants produced using chemical modification</w:t>
      </w:r>
      <w:r>
        <w:rPr>
          <w:spacing w:val="-13"/>
        </w:rPr>
        <w:t> </w:t>
      </w:r>
      <w:r>
        <w:rPr/>
        <w:t>and</w:t>
      </w:r>
      <w:r>
        <w:rPr>
          <w:spacing w:val="-12"/>
        </w:rPr>
        <w:t> </w:t>
      </w:r>
      <w:r>
        <w:rPr/>
        <w:t>additive-based</w:t>
      </w:r>
      <w:r>
        <w:rPr>
          <w:spacing w:val="-13"/>
        </w:rPr>
        <w:t> </w:t>
      </w:r>
      <w:r>
        <w:rPr/>
        <w:t>routes.</w:t>
      </w:r>
      <w:r>
        <w:rPr>
          <w:spacing w:val="-12"/>
        </w:rPr>
        <w:t> </w:t>
      </w:r>
      <w:r>
        <w:rPr>
          <w:i/>
        </w:rPr>
        <w:t>Science</w:t>
      </w:r>
      <w:r>
        <w:rPr>
          <w:i/>
          <w:spacing w:val="-13"/>
        </w:rPr>
        <w:t> </w:t>
      </w:r>
      <w:r>
        <w:rPr>
          <w:i/>
        </w:rPr>
        <w:t>of The Total Environment</w:t>
      </w:r>
      <w:r>
        <w:rPr/>
        <w:t>, 847, 157648. </w:t>
      </w:r>
      <w:r>
        <w:rPr>
          <w:spacing w:val="-2"/>
        </w:rPr>
        <w:t>https://doi.org/10.1016/j.scitotenv.2022.157648</w:t>
      </w:r>
    </w:p>
    <w:p>
      <w:pPr>
        <w:pStyle w:val="BodyText"/>
        <w:ind w:left="905" w:right="51" w:hanging="567"/>
      </w:pPr>
      <w:r>
        <w:rPr/>
        <w:t>Kozdrach, R. (2024). Effect of thickener type on change the tribological and rheological characteristics of vegetable lubricants. </w:t>
      </w:r>
      <w:r>
        <w:rPr>
          <w:i/>
        </w:rPr>
        <w:t>Materials</w:t>
      </w:r>
      <w:r>
        <w:rPr/>
        <w:t>, 17(16), 3959. </w:t>
      </w:r>
      <w:r>
        <w:rPr>
          <w:spacing w:val="-2"/>
        </w:rPr>
        <w:t>https://doi.org/10.3390/ma17163959</w:t>
      </w:r>
    </w:p>
    <w:p>
      <w:pPr>
        <w:pStyle w:val="BodyText"/>
        <w:tabs>
          <w:tab w:pos="2243" w:val="left" w:leader="none"/>
          <w:tab w:pos="3279" w:val="left" w:leader="none"/>
          <w:tab w:pos="4131" w:val="left" w:leader="none"/>
        </w:tabs>
        <w:ind w:left="905" w:right="49" w:hanging="567"/>
      </w:pPr>
      <w:r>
        <w:rPr/>
        <w:t>Kurre, S.</w:t>
      </w:r>
      <w:r>
        <w:rPr>
          <w:spacing w:val="-2"/>
        </w:rPr>
        <w:t> </w:t>
      </w:r>
      <w:r>
        <w:rPr/>
        <w:t>K.,</w:t>
      </w:r>
      <w:r>
        <w:rPr>
          <w:spacing w:val="-1"/>
        </w:rPr>
        <w:t> </w:t>
      </w:r>
      <w:r>
        <w:rPr/>
        <w:t>&amp;</w:t>
      </w:r>
      <w:r>
        <w:rPr>
          <w:spacing w:val="-1"/>
        </w:rPr>
        <w:t> </w:t>
      </w:r>
      <w:r>
        <w:rPr/>
        <w:t>Yadav,</w:t>
      </w:r>
      <w:r>
        <w:rPr>
          <w:spacing w:val="-1"/>
        </w:rPr>
        <w:t> </w:t>
      </w:r>
      <w:r>
        <w:rPr/>
        <w:t>J.</w:t>
      </w:r>
      <w:r>
        <w:rPr>
          <w:spacing w:val="-2"/>
        </w:rPr>
        <w:t> </w:t>
      </w:r>
      <w:r>
        <w:rPr/>
        <w:t>(2023).</w:t>
      </w:r>
      <w:r>
        <w:rPr>
          <w:spacing w:val="-1"/>
        </w:rPr>
        <w:t> </w:t>
      </w:r>
      <w:r>
        <w:rPr/>
        <w:t>A review on</w:t>
      </w:r>
      <w:r>
        <w:rPr>
          <w:spacing w:val="-1"/>
        </w:rPr>
        <w:t> </w:t>
      </w:r>
      <w:r>
        <w:rPr/>
        <w:t>bio-based feedstock,</w:t>
      </w:r>
      <w:r>
        <w:rPr>
          <w:spacing w:val="-13"/>
        </w:rPr>
        <w:t> </w:t>
      </w:r>
      <w:r>
        <w:rPr/>
        <w:t>synthesis,</w:t>
      </w:r>
      <w:r>
        <w:rPr>
          <w:spacing w:val="-12"/>
        </w:rPr>
        <w:t> </w:t>
      </w:r>
      <w:r>
        <w:rPr/>
        <w:t>and</w:t>
      </w:r>
      <w:r>
        <w:rPr>
          <w:spacing w:val="-13"/>
        </w:rPr>
        <w:t> </w:t>
      </w:r>
      <w:r>
        <w:rPr/>
        <w:t>chemical</w:t>
      </w:r>
      <w:r>
        <w:rPr>
          <w:spacing w:val="-12"/>
        </w:rPr>
        <w:t> </w:t>
      </w:r>
      <w:r>
        <w:rPr/>
        <w:t>modification</w:t>
      </w:r>
      <w:r>
        <w:rPr>
          <w:spacing w:val="-13"/>
        </w:rPr>
        <w:t> </w:t>
      </w:r>
      <w:r>
        <w:rPr/>
        <w:t>to enhance tribological properties of biolubricants. </w:t>
      </w:r>
      <w:r>
        <w:rPr>
          <w:i/>
          <w:spacing w:val="-2"/>
        </w:rPr>
        <w:t>Industrial</w:t>
      </w:r>
      <w:r>
        <w:rPr>
          <w:i/>
        </w:rPr>
        <w:tab/>
      </w:r>
      <w:r>
        <w:rPr>
          <w:i/>
          <w:spacing w:val="-2"/>
        </w:rPr>
        <w:t>Crops</w:t>
      </w:r>
      <w:r>
        <w:rPr>
          <w:i/>
        </w:rPr>
        <w:tab/>
      </w:r>
      <w:r>
        <w:rPr>
          <w:i/>
          <w:spacing w:val="-5"/>
        </w:rPr>
        <w:t>and</w:t>
      </w:r>
      <w:r>
        <w:rPr>
          <w:i/>
        </w:rPr>
        <w:tab/>
      </w:r>
      <w:r>
        <w:rPr>
          <w:i/>
          <w:spacing w:val="-2"/>
        </w:rPr>
        <w:t>Products</w:t>
      </w:r>
      <w:r>
        <w:rPr>
          <w:spacing w:val="-2"/>
        </w:rPr>
        <w:t>,</w:t>
      </w:r>
    </w:p>
    <w:p>
      <w:pPr>
        <w:pStyle w:val="BodyText"/>
        <w:spacing w:before="1"/>
        <w:ind w:left="905" w:right="100"/>
        <w:jc w:val="left"/>
      </w:pPr>
      <w:r>
        <w:rPr>
          <w:spacing w:val="-2"/>
        </w:rPr>
        <w:t>193.</w:t>
      </w:r>
      <w:hyperlink r:id="rId24">
        <w:r>
          <w:rPr>
            <w:spacing w:val="-2"/>
          </w:rPr>
          <w:t>https://doi.org/10.1016/j.indcrop.2022.11612</w:t>
        </w:r>
      </w:hyperlink>
      <w:r>
        <w:rPr>
          <w:spacing w:val="-2"/>
        </w:rPr>
        <w:t> </w:t>
      </w:r>
      <w:hyperlink r:id="rId24">
        <w:r>
          <w:rPr>
            <w:spacing w:val="-10"/>
          </w:rPr>
          <w:t>2</w:t>
        </w:r>
      </w:hyperlink>
    </w:p>
    <w:p>
      <w:pPr>
        <w:spacing w:line="228" w:lineRule="exact" w:before="0"/>
        <w:ind w:left="338" w:right="0" w:firstLine="0"/>
        <w:jc w:val="both"/>
        <w:rPr>
          <w:sz w:val="20"/>
        </w:rPr>
      </w:pPr>
      <w:r>
        <w:rPr>
          <w:sz w:val="20"/>
        </w:rPr>
        <w:t>Kusnarjo.</w:t>
      </w:r>
      <w:r>
        <w:rPr>
          <w:spacing w:val="-6"/>
          <w:sz w:val="20"/>
        </w:rPr>
        <w:t> </w:t>
      </w:r>
      <w:r>
        <w:rPr>
          <w:sz w:val="20"/>
        </w:rPr>
        <w:t>(2010).</w:t>
      </w:r>
      <w:r>
        <w:rPr>
          <w:spacing w:val="-3"/>
          <w:sz w:val="20"/>
        </w:rPr>
        <w:t> </w:t>
      </w:r>
      <w:r>
        <w:rPr>
          <w:i/>
          <w:sz w:val="20"/>
        </w:rPr>
        <w:t>Ekonomi</w:t>
      </w:r>
      <w:r>
        <w:rPr>
          <w:i/>
          <w:spacing w:val="-6"/>
          <w:sz w:val="20"/>
        </w:rPr>
        <w:t> </w:t>
      </w:r>
      <w:r>
        <w:rPr>
          <w:i/>
          <w:sz w:val="20"/>
        </w:rPr>
        <w:t>teknik</w:t>
      </w:r>
      <w:r>
        <w:rPr>
          <w:sz w:val="20"/>
        </w:rPr>
        <w:t>.</w:t>
      </w:r>
      <w:r>
        <w:rPr>
          <w:spacing w:val="-6"/>
          <w:sz w:val="20"/>
        </w:rPr>
        <w:t> </w:t>
      </w:r>
      <w:r>
        <w:rPr>
          <w:sz w:val="20"/>
        </w:rPr>
        <w:t>ITS</w:t>
      </w:r>
      <w:r>
        <w:rPr>
          <w:spacing w:val="-7"/>
          <w:sz w:val="20"/>
        </w:rPr>
        <w:t> </w:t>
      </w:r>
      <w:r>
        <w:rPr>
          <w:spacing w:val="-2"/>
          <w:sz w:val="20"/>
        </w:rPr>
        <w:t>Press.</w:t>
      </w:r>
    </w:p>
    <w:p>
      <w:pPr>
        <w:spacing w:before="1"/>
        <w:ind w:left="905" w:right="49" w:hanging="567"/>
        <w:jc w:val="both"/>
        <w:rPr>
          <w:sz w:val="20"/>
        </w:rPr>
      </w:pPr>
      <w:r>
        <w:rPr>
          <w:sz w:val="20"/>
        </w:rPr>
        <w:t>Lathi,</w:t>
      </w:r>
      <w:r>
        <w:rPr>
          <w:spacing w:val="-13"/>
          <w:sz w:val="20"/>
        </w:rPr>
        <w:t> </w:t>
      </w:r>
      <w:r>
        <w:rPr>
          <w:sz w:val="20"/>
        </w:rPr>
        <w:t>P.</w:t>
      </w:r>
      <w:r>
        <w:rPr>
          <w:spacing w:val="-12"/>
          <w:sz w:val="20"/>
        </w:rPr>
        <w:t> </w:t>
      </w:r>
      <w:r>
        <w:rPr>
          <w:sz w:val="20"/>
        </w:rPr>
        <w:t>S.,</w:t>
      </w:r>
      <w:r>
        <w:rPr>
          <w:spacing w:val="-13"/>
          <w:sz w:val="20"/>
        </w:rPr>
        <w:t> </w:t>
      </w:r>
      <w:r>
        <w:rPr>
          <w:sz w:val="20"/>
        </w:rPr>
        <w:t>&amp;</w:t>
      </w:r>
      <w:r>
        <w:rPr>
          <w:spacing w:val="-12"/>
          <w:sz w:val="20"/>
        </w:rPr>
        <w:t> </w:t>
      </w:r>
      <w:r>
        <w:rPr>
          <w:sz w:val="20"/>
        </w:rPr>
        <w:t>Mattiasson,</w:t>
      </w:r>
      <w:r>
        <w:rPr>
          <w:spacing w:val="-13"/>
          <w:sz w:val="20"/>
        </w:rPr>
        <w:t> </w:t>
      </w:r>
      <w:r>
        <w:rPr>
          <w:sz w:val="20"/>
        </w:rPr>
        <w:t>B.</w:t>
      </w:r>
      <w:r>
        <w:rPr>
          <w:spacing w:val="-12"/>
          <w:sz w:val="20"/>
        </w:rPr>
        <w:t> </w:t>
      </w:r>
      <w:r>
        <w:rPr>
          <w:sz w:val="20"/>
        </w:rPr>
        <w:t>(2007).</w:t>
      </w:r>
      <w:r>
        <w:rPr>
          <w:spacing w:val="-13"/>
          <w:sz w:val="20"/>
        </w:rPr>
        <w:t> </w:t>
      </w:r>
      <w:r>
        <w:rPr>
          <w:i/>
          <w:sz w:val="20"/>
        </w:rPr>
        <w:t>Green</w:t>
      </w:r>
      <w:r>
        <w:rPr>
          <w:i/>
          <w:spacing w:val="-12"/>
          <w:sz w:val="20"/>
        </w:rPr>
        <w:t> </w:t>
      </w:r>
      <w:r>
        <w:rPr>
          <w:i/>
          <w:sz w:val="20"/>
        </w:rPr>
        <w:t>approach</w:t>
      </w:r>
      <w:r>
        <w:rPr>
          <w:i/>
          <w:spacing w:val="-13"/>
          <w:sz w:val="20"/>
        </w:rPr>
        <w:t> </w:t>
      </w:r>
      <w:r>
        <w:rPr>
          <w:i/>
          <w:sz w:val="20"/>
        </w:rPr>
        <w:t>for the preparation of biodegradable lubricant base stock from epoxidised vegetable oil</w:t>
      </w:r>
      <w:r>
        <w:rPr>
          <w:sz w:val="20"/>
        </w:rPr>
        <w:t>. Applied Catalysis B: Environmental, 69, 207-212. </w:t>
      </w:r>
      <w:hyperlink r:id="rId25">
        <w:r>
          <w:rPr>
            <w:spacing w:val="-2"/>
            <w:sz w:val="20"/>
          </w:rPr>
          <w:t>https://doi.org/10.1016/j.apcatb.2006.06.016</w:t>
        </w:r>
      </w:hyperlink>
    </w:p>
    <w:p>
      <w:pPr>
        <w:spacing w:after="0"/>
        <w:jc w:val="both"/>
        <w:rPr>
          <w:sz w:val="20"/>
        </w:rPr>
        <w:sectPr>
          <w:type w:val="continuous"/>
          <w:pgSz w:w="12240" w:h="15840"/>
          <w:pgMar w:header="851" w:footer="1027" w:top="640" w:bottom="1180" w:left="1080" w:right="1080"/>
          <w:cols w:num="2" w:equalWidth="0">
            <w:col w:w="4946" w:space="179"/>
            <w:col w:w="4955"/>
          </w:cols>
        </w:sectPr>
      </w:pPr>
    </w:p>
    <w:p>
      <w:pPr>
        <w:pStyle w:val="BodyText"/>
        <w:spacing w:before="219"/>
        <w:ind w:left="0"/>
        <w:jc w:val="left"/>
      </w:pPr>
    </w:p>
    <w:p>
      <w:pPr>
        <w:pStyle w:val="BodyText"/>
        <w:spacing w:after="0"/>
        <w:jc w:val="left"/>
        <w:sectPr>
          <w:pgSz w:w="12240" w:h="15840"/>
          <w:pgMar w:header="851" w:footer="1027" w:top="1160" w:bottom="1220" w:left="1080" w:right="1080"/>
        </w:sectPr>
      </w:pPr>
    </w:p>
    <w:p>
      <w:pPr>
        <w:spacing w:before="91"/>
        <w:ind w:left="905" w:right="38" w:hanging="567"/>
        <w:jc w:val="both"/>
        <w:rPr>
          <w:sz w:val="20"/>
        </w:rPr>
      </w:pPr>
      <w:r>
        <w:rPr>
          <w:sz w:val="20"/>
        </w:rPr>
        <w:t>Lugt,</w:t>
      </w:r>
      <w:r>
        <w:rPr>
          <w:spacing w:val="-2"/>
          <w:sz w:val="20"/>
        </w:rPr>
        <w:t> </w:t>
      </w:r>
      <w:r>
        <w:rPr>
          <w:sz w:val="20"/>
        </w:rPr>
        <w:t>P.</w:t>
      </w:r>
      <w:r>
        <w:rPr>
          <w:spacing w:val="-2"/>
          <w:sz w:val="20"/>
        </w:rPr>
        <w:t> </w:t>
      </w:r>
      <w:r>
        <w:rPr>
          <w:sz w:val="20"/>
        </w:rPr>
        <w:t>M.</w:t>
      </w:r>
      <w:r>
        <w:rPr>
          <w:spacing w:val="-1"/>
          <w:sz w:val="20"/>
        </w:rPr>
        <w:t> </w:t>
      </w:r>
      <w:r>
        <w:rPr>
          <w:sz w:val="20"/>
        </w:rPr>
        <w:t>(2016).</w:t>
      </w:r>
      <w:r>
        <w:rPr>
          <w:spacing w:val="-2"/>
          <w:sz w:val="20"/>
        </w:rPr>
        <w:t> </w:t>
      </w:r>
      <w:r>
        <w:rPr>
          <w:sz w:val="20"/>
        </w:rPr>
        <w:t>Modern</w:t>
      </w:r>
      <w:r>
        <w:rPr>
          <w:spacing w:val="-1"/>
          <w:sz w:val="20"/>
        </w:rPr>
        <w:t> </w:t>
      </w:r>
      <w:r>
        <w:rPr>
          <w:sz w:val="20"/>
        </w:rPr>
        <w:t>advancements</w:t>
      </w:r>
      <w:r>
        <w:rPr>
          <w:spacing w:val="-3"/>
          <w:sz w:val="20"/>
        </w:rPr>
        <w:t> </w:t>
      </w:r>
      <w:r>
        <w:rPr>
          <w:sz w:val="20"/>
        </w:rPr>
        <w:t>in</w:t>
      </w:r>
      <w:r>
        <w:rPr>
          <w:spacing w:val="-1"/>
          <w:sz w:val="20"/>
        </w:rPr>
        <w:t> </w:t>
      </w:r>
      <w:r>
        <w:rPr>
          <w:sz w:val="20"/>
        </w:rPr>
        <w:t>lubricating grease technology. </w:t>
      </w:r>
      <w:r>
        <w:rPr>
          <w:i/>
          <w:sz w:val="20"/>
        </w:rPr>
        <w:t>Tribology International</w:t>
      </w:r>
      <w:r>
        <w:rPr>
          <w:sz w:val="20"/>
        </w:rPr>
        <w:t>, 97, </w:t>
      </w:r>
      <w:r>
        <w:rPr>
          <w:spacing w:val="-2"/>
          <w:sz w:val="20"/>
        </w:rPr>
        <w:t>467-477.</w:t>
      </w:r>
    </w:p>
    <w:p>
      <w:pPr>
        <w:spacing w:before="0"/>
        <w:ind w:left="905" w:right="42" w:hanging="567"/>
        <w:jc w:val="both"/>
        <w:rPr>
          <w:sz w:val="20"/>
        </w:rPr>
      </w:pPr>
      <w:r>
        <w:rPr>
          <w:sz w:val="20"/>
        </w:rPr>
        <w:t>Ministry of Energy and Mineral Resources of the Republic of Indonesia. (2016, October </w:t>
      </w:r>
      <w:r>
        <w:rPr>
          <w:sz w:val="20"/>
        </w:rPr>
        <w:t>13). </w:t>
      </w:r>
      <w:r>
        <w:rPr>
          <w:i/>
          <w:sz w:val="20"/>
        </w:rPr>
        <w:t>Regulation</w:t>
      </w:r>
      <w:r>
        <w:rPr>
          <w:i/>
          <w:spacing w:val="-5"/>
          <w:sz w:val="20"/>
        </w:rPr>
        <w:t> </w:t>
      </w:r>
      <w:r>
        <w:rPr>
          <w:i/>
          <w:sz w:val="20"/>
        </w:rPr>
        <w:t>of</w:t>
      </w:r>
      <w:r>
        <w:rPr>
          <w:i/>
          <w:spacing w:val="-4"/>
          <w:sz w:val="20"/>
        </w:rPr>
        <w:t> </w:t>
      </w:r>
      <w:r>
        <w:rPr>
          <w:i/>
          <w:sz w:val="20"/>
        </w:rPr>
        <w:t>the</w:t>
      </w:r>
      <w:r>
        <w:rPr>
          <w:i/>
          <w:spacing w:val="-5"/>
          <w:sz w:val="20"/>
        </w:rPr>
        <w:t> </w:t>
      </w:r>
      <w:r>
        <w:rPr>
          <w:i/>
          <w:sz w:val="20"/>
        </w:rPr>
        <w:t>Minister</w:t>
      </w:r>
      <w:r>
        <w:rPr>
          <w:i/>
          <w:spacing w:val="-5"/>
          <w:sz w:val="20"/>
        </w:rPr>
        <w:t> </w:t>
      </w:r>
      <w:r>
        <w:rPr>
          <w:i/>
          <w:sz w:val="20"/>
        </w:rPr>
        <w:t>of</w:t>
      </w:r>
      <w:r>
        <w:rPr>
          <w:i/>
          <w:spacing w:val="-4"/>
          <w:sz w:val="20"/>
        </w:rPr>
        <w:t> </w:t>
      </w:r>
      <w:r>
        <w:rPr>
          <w:i/>
          <w:sz w:val="20"/>
        </w:rPr>
        <w:t>Energy</w:t>
      </w:r>
      <w:r>
        <w:rPr>
          <w:i/>
          <w:spacing w:val="-3"/>
          <w:sz w:val="20"/>
        </w:rPr>
        <w:t> </w:t>
      </w:r>
      <w:r>
        <w:rPr>
          <w:i/>
          <w:sz w:val="20"/>
        </w:rPr>
        <w:t>and</w:t>
      </w:r>
      <w:r>
        <w:rPr>
          <w:i/>
          <w:spacing w:val="-3"/>
          <w:sz w:val="20"/>
        </w:rPr>
        <w:t> </w:t>
      </w:r>
      <w:r>
        <w:rPr>
          <w:i/>
          <w:sz w:val="20"/>
        </w:rPr>
        <w:t>Mineral Resources</w:t>
      </w:r>
      <w:r>
        <w:rPr>
          <w:i/>
          <w:spacing w:val="-13"/>
          <w:sz w:val="20"/>
        </w:rPr>
        <w:t> </w:t>
      </w:r>
      <w:r>
        <w:rPr>
          <w:i/>
          <w:sz w:val="20"/>
        </w:rPr>
        <w:t>of</w:t>
      </w:r>
      <w:r>
        <w:rPr>
          <w:i/>
          <w:spacing w:val="-12"/>
          <w:sz w:val="20"/>
        </w:rPr>
        <w:t> </w:t>
      </w:r>
      <w:r>
        <w:rPr>
          <w:i/>
          <w:sz w:val="20"/>
        </w:rPr>
        <w:t>the</w:t>
      </w:r>
      <w:r>
        <w:rPr>
          <w:i/>
          <w:spacing w:val="-13"/>
          <w:sz w:val="20"/>
        </w:rPr>
        <w:t> </w:t>
      </w:r>
      <w:r>
        <w:rPr>
          <w:i/>
          <w:sz w:val="20"/>
        </w:rPr>
        <w:t>Republic</w:t>
      </w:r>
      <w:r>
        <w:rPr>
          <w:i/>
          <w:spacing w:val="-12"/>
          <w:sz w:val="20"/>
        </w:rPr>
        <w:t> </w:t>
      </w:r>
      <w:r>
        <w:rPr>
          <w:i/>
          <w:sz w:val="20"/>
        </w:rPr>
        <w:t>of</w:t>
      </w:r>
      <w:r>
        <w:rPr>
          <w:i/>
          <w:spacing w:val="-13"/>
          <w:sz w:val="20"/>
        </w:rPr>
        <w:t> </w:t>
      </w:r>
      <w:r>
        <w:rPr>
          <w:i/>
          <w:sz w:val="20"/>
        </w:rPr>
        <w:t>Indonesia</w:t>
      </w:r>
      <w:r>
        <w:rPr>
          <w:i/>
          <w:spacing w:val="-12"/>
          <w:sz w:val="20"/>
        </w:rPr>
        <w:t> </w:t>
      </w:r>
      <w:r>
        <w:rPr>
          <w:i/>
          <w:sz w:val="20"/>
        </w:rPr>
        <w:t>Number</w:t>
      </w:r>
      <w:r>
        <w:rPr>
          <w:i/>
          <w:spacing w:val="-13"/>
          <w:sz w:val="20"/>
        </w:rPr>
        <w:t> </w:t>
      </w:r>
      <w:r>
        <w:rPr>
          <w:i/>
          <w:sz w:val="20"/>
        </w:rPr>
        <w:t>28 of</w:t>
      </w:r>
      <w:r>
        <w:rPr>
          <w:i/>
          <w:spacing w:val="-2"/>
          <w:sz w:val="20"/>
        </w:rPr>
        <w:t> </w:t>
      </w:r>
      <w:r>
        <w:rPr>
          <w:i/>
          <w:sz w:val="20"/>
        </w:rPr>
        <w:t>2016</w:t>
      </w:r>
      <w:r>
        <w:rPr>
          <w:i/>
          <w:spacing w:val="-1"/>
          <w:sz w:val="20"/>
        </w:rPr>
        <w:t> </w:t>
      </w:r>
      <w:r>
        <w:rPr>
          <w:i/>
          <w:sz w:val="20"/>
        </w:rPr>
        <w:t>concerning</w:t>
      </w:r>
      <w:r>
        <w:rPr>
          <w:i/>
          <w:spacing w:val="-1"/>
          <w:sz w:val="20"/>
        </w:rPr>
        <w:t> </w:t>
      </w:r>
      <w:r>
        <w:rPr>
          <w:i/>
          <w:sz w:val="20"/>
        </w:rPr>
        <w:t>Electricity</w:t>
      </w:r>
      <w:r>
        <w:rPr>
          <w:i/>
          <w:spacing w:val="-2"/>
          <w:sz w:val="20"/>
        </w:rPr>
        <w:t> </w:t>
      </w:r>
      <w:r>
        <w:rPr>
          <w:i/>
          <w:sz w:val="20"/>
        </w:rPr>
        <w:t>Tariff</w:t>
      </w:r>
      <w:r>
        <w:rPr>
          <w:i/>
          <w:spacing w:val="-2"/>
          <w:sz w:val="20"/>
        </w:rPr>
        <w:t> </w:t>
      </w:r>
      <w:r>
        <w:rPr>
          <w:i/>
          <w:sz w:val="20"/>
        </w:rPr>
        <w:t>Provided by PT Perusahaan Listrik Negara (Persero)</w:t>
      </w:r>
      <w:r>
        <w:rPr>
          <w:sz w:val="20"/>
        </w:rPr>
        <w:t>. Retrieved from. </w:t>
      </w:r>
      <w:hyperlink r:id="rId26">
        <w:r>
          <w:rPr>
            <w:sz w:val="20"/>
          </w:rPr>
          <w:t>https://peraturan.bpk.go.id/</w:t>
        </w:r>
      </w:hyperlink>
      <w:r>
        <w:rPr>
          <w:sz w:val="20"/>
        </w:rPr>
        <w:t> </w:t>
      </w:r>
      <w:r>
        <w:rPr>
          <w:spacing w:val="-2"/>
          <w:sz w:val="20"/>
        </w:rPr>
        <w:t>Details/141254/permen-esdm-no-28-tahun-2016.</w:t>
      </w:r>
    </w:p>
    <w:p>
      <w:pPr>
        <w:spacing w:before="0"/>
        <w:ind w:left="905" w:right="44" w:hanging="567"/>
        <w:jc w:val="both"/>
        <w:rPr>
          <w:sz w:val="20"/>
        </w:rPr>
      </w:pPr>
      <w:r>
        <w:rPr>
          <w:sz w:val="20"/>
        </w:rPr>
        <w:t>Ministry</w:t>
      </w:r>
      <w:r>
        <w:rPr>
          <w:spacing w:val="-13"/>
          <w:sz w:val="20"/>
        </w:rPr>
        <w:t> </w:t>
      </w:r>
      <w:r>
        <w:rPr>
          <w:sz w:val="20"/>
        </w:rPr>
        <w:t>of</w:t>
      </w:r>
      <w:r>
        <w:rPr>
          <w:spacing w:val="-12"/>
          <w:sz w:val="20"/>
        </w:rPr>
        <w:t> </w:t>
      </w:r>
      <w:r>
        <w:rPr>
          <w:sz w:val="20"/>
        </w:rPr>
        <w:t>Industry</w:t>
      </w:r>
      <w:r>
        <w:rPr>
          <w:spacing w:val="-13"/>
          <w:sz w:val="20"/>
        </w:rPr>
        <w:t> </w:t>
      </w:r>
      <w:r>
        <w:rPr>
          <w:sz w:val="20"/>
        </w:rPr>
        <w:t>of</w:t>
      </w:r>
      <w:r>
        <w:rPr>
          <w:spacing w:val="-12"/>
          <w:sz w:val="20"/>
        </w:rPr>
        <w:t> </w:t>
      </w:r>
      <w:r>
        <w:rPr>
          <w:sz w:val="20"/>
        </w:rPr>
        <w:t>the</w:t>
      </w:r>
      <w:r>
        <w:rPr>
          <w:spacing w:val="-13"/>
          <w:sz w:val="20"/>
        </w:rPr>
        <w:t> </w:t>
      </w:r>
      <w:r>
        <w:rPr>
          <w:sz w:val="20"/>
        </w:rPr>
        <w:t>Republic</w:t>
      </w:r>
      <w:r>
        <w:rPr>
          <w:spacing w:val="-12"/>
          <w:sz w:val="20"/>
        </w:rPr>
        <w:t> </w:t>
      </w:r>
      <w:r>
        <w:rPr>
          <w:sz w:val="20"/>
        </w:rPr>
        <w:t>of</w:t>
      </w:r>
      <w:r>
        <w:rPr>
          <w:spacing w:val="-13"/>
          <w:sz w:val="20"/>
        </w:rPr>
        <w:t> </w:t>
      </w:r>
      <w:r>
        <w:rPr>
          <w:sz w:val="20"/>
        </w:rPr>
        <w:t>Indonesia.</w:t>
      </w:r>
      <w:r>
        <w:rPr>
          <w:spacing w:val="-12"/>
          <w:sz w:val="20"/>
        </w:rPr>
        <w:t> </w:t>
      </w:r>
      <w:r>
        <w:rPr>
          <w:sz w:val="20"/>
        </w:rPr>
        <w:t>(2023). </w:t>
      </w:r>
      <w:r>
        <w:rPr>
          <w:i/>
          <w:sz w:val="20"/>
        </w:rPr>
        <w:t>Heavy equipment engineering </w:t>
      </w:r>
      <w:r>
        <w:rPr>
          <w:i/>
          <w:sz w:val="20"/>
        </w:rPr>
        <w:t>competency standards. </w:t>
      </w:r>
      <w:r>
        <w:rPr>
          <w:sz w:val="20"/>
        </w:rPr>
        <w:t>https://kemenperin.go.id</w:t>
      </w:r>
    </w:p>
    <w:p>
      <w:pPr>
        <w:spacing w:before="0"/>
        <w:ind w:left="905" w:right="43" w:hanging="567"/>
        <w:jc w:val="both"/>
        <w:rPr>
          <w:sz w:val="20"/>
        </w:rPr>
      </w:pPr>
      <w:r>
        <w:rPr>
          <w:sz w:val="20"/>
        </w:rPr>
        <w:t>Mohammed, A.H.A.K., &amp; Al-Rubai, A. K. S. (2008). Viscosity index improvement of lubricating oil fraction</w:t>
      </w:r>
      <w:r>
        <w:rPr>
          <w:spacing w:val="-11"/>
          <w:sz w:val="20"/>
        </w:rPr>
        <w:t> </w:t>
      </w:r>
      <w:r>
        <w:rPr>
          <w:sz w:val="20"/>
        </w:rPr>
        <w:t>(SAE–30).</w:t>
      </w:r>
      <w:r>
        <w:rPr>
          <w:spacing w:val="-13"/>
          <w:sz w:val="20"/>
        </w:rPr>
        <w:t> </w:t>
      </w:r>
      <w:r>
        <w:rPr>
          <w:i/>
          <w:sz w:val="20"/>
        </w:rPr>
        <w:t>Iraqi</w:t>
      </w:r>
      <w:r>
        <w:rPr>
          <w:i/>
          <w:spacing w:val="-11"/>
          <w:sz w:val="20"/>
        </w:rPr>
        <w:t> </w:t>
      </w:r>
      <w:r>
        <w:rPr>
          <w:i/>
          <w:sz w:val="20"/>
        </w:rPr>
        <w:t>Journal</w:t>
      </w:r>
      <w:r>
        <w:rPr>
          <w:i/>
          <w:spacing w:val="-12"/>
          <w:sz w:val="20"/>
        </w:rPr>
        <w:t> </w:t>
      </w:r>
      <w:r>
        <w:rPr>
          <w:i/>
          <w:sz w:val="20"/>
        </w:rPr>
        <w:t>of</w:t>
      </w:r>
      <w:r>
        <w:rPr>
          <w:i/>
          <w:spacing w:val="-12"/>
          <w:sz w:val="20"/>
        </w:rPr>
        <w:t> </w:t>
      </w:r>
      <w:r>
        <w:rPr>
          <w:i/>
          <w:sz w:val="20"/>
        </w:rPr>
        <w:t>Chemical</w:t>
      </w:r>
      <w:r>
        <w:rPr>
          <w:i/>
          <w:spacing w:val="-13"/>
          <w:sz w:val="20"/>
        </w:rPr>
        <w:t> </w:t>
      </w:r>
      <w:r>
        <w:rPr>
          <w:i/>
          <w:sz w:val="20"/>
        </w:rPr>
        <w:t>and Petroleum Engineering</w:t>
      </w:r>
      <w:r>
        <w:rPr>
          <w:sz w:val="20"/>
        </w:rPr>
        <w:t>, </w:t>
      </w:r>
      <w:r>
        <w:rPr>
          <w:i/>
          <w:sz w:val="20"/>
        </w:rPr>
        <w:t>9</w:t>
      </w:r>
      <w:r>
        <w:rPr>
          <w:sz w:val="20"/>
        </w:rPr>
        <w:t>(3), 51–57.</w:t>
      </w:r>
    </w:p>
    <w:p>
      <w:pPr>
        <w:spacing w:before="0"/>
        <w:ind w:left="905" w:right="41" w:hanging="567"/>
        <w:jc w:val="both"/>
        <w:rPr>
          <w:sz w:val="20"/>
        </w:rPr>
      </w:pPr>
      <w:r>
        <w:rPr>
          <w:sz w:val="20"/>
        </w:rPr>
        <w:t>Mortier, R. M., Fox, M. F., &amp; Orszulik, S. T. (2011). </w:t>
      </w:r>
      <w:r>
        <w:rPr>
          <w:i/>
          <w:sz w:val="20"/>
        </w:rPr>
        <w:t>Chemistry and technology</w:t>
      </w:r>
      <w:r>
        <w:rPr>
          <w:i/>
          <w:spacing w:val="-2"/>
          <w:sz w:val="20"/>
        </w:rPr>
        <w:t> </w:t>
      </w:r>
      <w:r>
        <w:rPr>
          <w:i/>
          <w:sz w:val="20"/>
        </w:rPr>
        <w:t>of lubricants </w:t>
      </w:r>
      <w:r>
        <w:rPr>
          <w:sz w:val="20"/>
        </w:rPr>
        <w:t>(3rd ed.). </w:t>
      </w:r>
      <w:r>
        <w:rPr>
          <w:spacing w:val="-2"/>
          <w:sz w:val="20"/>
        </w:rPr>
        <w:t>Springer.</w:t>
      </w:r>
    </w:p>
    <w:p>
      <w:pPr>
        <w:spacing w:before="0"/>
        <w:ind w:left="338" w:right="0" w:firstLine="0"/>
        <w:jc w:val="both"/>
        <w:rPr>
          <w:sz w:val="20"/>
        </w:rPr>
      </w:pPr>
      <w:r>
        <w:rPr>
          <w:sz w:val="20"/>
        </w:rPr>
        <w:t>MTU.</w:t>
      </w:r>
      <w:r>
        <w:rPr>
          <w:spacing w:val="63"/>
          <w:w w:val="150"/>
          <w:sz w:val="20"/>
        </w:rPr>
        <w:t> </w:t>
      </w:r>
      <w:r>
        <w:rPr>
          <w:sz w:val="20"/>
        </w:rPr>
        <w:t>(2012).</w:t>
      </w:r>
      <w:r>
        <w:rPr>
          <w:spacing w:val="64"/>
          <w:w w:val="150"/>
          <w:sz w:val="20"/>
        </w:rPr>
        <w:t> </w:t>
      </w:r>
      <w:r>
        <w:rPr>
          <w:i/>
          <w:sz w:val="20"/>
        </w:rPr>
        <w:t>Fluids</w:t>
      </w:r>
      <w:r>
        <w:rPr>
          <w:i/>
          <w:spacing w:val="62"/>
          <w:w w:val="150"/>
          <w:sz w:val="20"/>
        </w:rPr>
        <w:t> </w:t>
      </w:r>
      <w:r>
        <w:rPr>
          <w:i/>
          <w:sz w:val="20"/>
        </w:rPr>
        <w:t>and</w:t>
      </w:r>
      <w:r>
        <w:rPr>
          <w:i/>
          <w:spacing w:val="61"/>
          <w:w w:val="150"/>
          <w:sz w:val="20"/>
        </w:rPr>
        <w:t> </w:t>
      </w:r>
      <w:r>
        <w:rPr>
          <w:i/>
          <w:sz w:val="20"/>
        </w:rPr>
        <w:t>lubricants</w:t>
      </w:r>
      <w:r>
        <w:rPr>
          <w:i/>
          <w:spacing w:val="63"/>
          <w:w w:val="150"/>
          <w:sz w:val="20"/>
        </w:rPr>
        <w:t> </w:t>
      </w:r>
      <w:r>
        <w:rPr>
          <w:i/>
          <w:spacing w:val="-2"/>
          <w:sz w:val="20"/>
        </w:rPr>
        <w:t>specifications</w:t>
      </w:r>
      <w:r>
        <w:rPr>
          <w:spacing w:val="-2"/>
          <w:sz w:val="20"/>
        </w:rPr>
        <w:t>.</w:t>
      </w:r>
    </w:p>
    <w:p>
      <w:pPr>
        <w:pStyle w:val="BodyText"/>
        <w:ind w:left="905"/>
      </w:pPr>
      <w:r>
        <w:rPr/>
        <w:t>MTU.</w:t>
      </w:r>
      <w:r>
        <w:rPr>
          <w:spacing w:val="-4"/>
        </w:rPr>
        <w:t> </w:t>
      </w:r>
      <w:r>
        <w:rPr>
          <w:spacing w:val="-2"/>
        </w:rPr>
        <w:t>Friedrichshafen</w:t>
      </w:r>
    </w:p>
    <w:p>
      <w:pPr>
        <w:pStyle w:val="BodyText"/>
        <w:spacing w:before="1"/>
        <w:ind w:left="905" w:right="38" w:hanging="567"/>
      </w:pPr>
      <w:r>
        <w:rPr/>
        <w:t>Niu,</w:t>
      </w:r>
      <w:r>
        <w:rPr>
          <w:spacing w:val="-13"/>
        </w:rPr>
        <w:t> </w:t>
      </w:r>
      <w:r>
        <w:rPr/>
        <w:t>M.,</w:t>
      </w:r>
      <w:r>
        <w:rPr>
          <w:spacing w:val="-12"/>
        </w:rPr>
        <w:t> </w:t>
      </w:r>
      <w:r>
        <w:rPr/>
        <w:t>&amp;</w:t>
      </w:r>
      <w:r>
        <w:rPr>
          <w:spacing w:val="-13"/>
        </w:rPr>
        <w:t> </w:t>
      </w:r>
      <w:r>
        <w:rPr/>
        <w:t>Qu,</w:t>
      </w:r>
      <w:r>
        <w:rPr>
          <w:spacing w:val="-12"/>
        </w:rPr>
        <w:t> </w:t>
      </w:r>
      <w:r>
        <w:rPr/>
        <w:t>J.</w:t>
      </w:r>
      <w:r>
        <w:rPr>
          <w:spacing w:val="-13"/>
        </w:rPr>
        <w:t> </w:t>
      </w:r>
      <w:r>
        <w:rPr/>
        <w:t>(2018).</w:t>
      </w:r>
      <w:r>
        <w:rPr>
          <w:spacing w:val="-12"/>
        </w:rPr>
        <w:t> </w:t>
      </w:r>
      <w:r>
        <w:rPr/>
        <w:t>Tribological</w:t>
      </w:r>
      <w:r>
        <w:rPr>
          <w:spacing w:val="-13"/>
        </w:rPr>
        <w:t> </w:t>
      </w:r>
      <w:r>
        <w:rPr/>
        <w:t>properties</w:t>
      </w:r>
      <w:r>
        <w:rPr>
          <w:spacing w:val="-12"/>
        </w:rPr>
        <w:t> </w:t>
      </w:r>
      <w:r>
        <w:rPr/>
        <w:t>of</w:t>
      </w:r>
      <w:r>
        <w:rPr>
          <w:spacing w:val="-13"/>
        </w:rPr>
        <w:t> </w:t>
      </w:r>
      <w:r>
        <w:rPr/>
        <w:t>nano- graphite</w:t>
      </w:r>
      <w:r>
        <w:rPr>
          <w:spacing w:val="-13"/>
        </w:rPr>
        <w:t> </w:t>
      </w:r>
      <w:r>
        <w:rPr/>
        <w:t>as</w:t>
      </w:r>
      <w:r>
        <w:rPr>
          <w:spacing w:val="-12"/>
        </w:rPr>
        <w:t> </w:t>
      </w:r>
      <w:r>
        <w:rPr/>
        <w:t>an</w:t>
      </w:r>
      <w:r>
        <w:rPr>
          <w:spacing w:val="-13"/>
        </w:rPr>
        <w:t> </w:t>
      </w:r>
      <w:r>
        <w:rPr/>
        <w:t>additive</w:t>
      </w:r>
      <w:r>
        <w:rPr>
          <w:spacing w:val="-12"/>
        </w:rPr>
        <w:t> </w:t>
      </w:r>
      <w:r>
        <w:rPr/>
        <w:t>in</w:t>
      </w:r>
      <w:r>
        <w:rPr>
          <w:spacing w:val="-13"/>
        </w:rPr>
        <w:t> </w:t>
      </w:r>
      <w:r>
        <w:rPr/>
        <w:t>mixed</w:t>
      </w:r>
      <w:r>
        <w:rPr>
          <w:spacing w:val="-12"/>
        </w:rPr>
        <w:t> </w:t>
      </w:r>
      <w:r>
        <w:rPr/>
        <w:t>oil-based</w:t>
      </w:r>
      <w:r>
        <w:rPr>
          <w:spacing w:val="-13"/>
        </w:rPr>
        <w:t> </w:t>
      </w:r>
      <w:r>
        <w:rPr/>
        <w:t>titanium complex</w:t>
      </w:r>
      <w:r>
        <w:rPr>
          <w:spacing w:val="43"/>
        </w:rPr>
        <w:t> </w:t>
      </w:r>
      <w:r>
        <w:rPr/>
        <w:t>grease.</w:t>
      </w:r>
      <w:r>
        <w:rPr>
          <w:spacing w:val="45"/>
        </w:rPr>
        <w:t> </w:t>
      </w:r>
      <w:r>
        <w:rPr>
          <w:i/>
        </w:rPr>
        <w:t>RSC</w:t>
      </w:r>
      <w:r>
        <w:rPr>
          <w:i/>
          <w:spacing w:val="42"/>
        </w:rPr>
        <w:t> </w:t>
      </w:r>
      <w:r>
        <w:rPr>
          <w:i/>
        </w:rPr>
        <w:t>Advances</w:t>
      </w:r>
      <w:r>
        <w:rPr/>
        <w:t>,</w:t>
      </w:r>
      <w:r>
        <w:rPr>
          <w:spacing w:val="44"/>
        </w:rPr>
        <w:t> </w:t>
      </w:r>
      <w:r>
        <w:rPr>
          <w:i/>
        </w:rPr>
        <w:t>8</w:t>
      </w:r>
      <w:r>
        <w:rPr/>
        <w:t>(70),</w:t>
      </w:r>
      <w:r>
        <w:rPr>
          <w:spacing w:val="41"/>
        </w:rPr>
        <w:t> </w:t>
      </w:r>
      <w:r>
        <w:rPr>
          <w:spacing w:val="-2"/>
        </w:rPr>
        <w:t>42133–</w:t>
      </w:r>
    </w:p>
    <w:p>
      <w:pPr>
        <w:pStyle w:val="BodyText"/>
        <w:spacing w:line="229" w:lineRule="exact"/>
        <w:ind w:left="905"/>
      </w:pPr>
      <w:r>
        <w:rPr/>
        <w:t>42144.</w:t>
      </w:r>
      <w:r>
        <w:rPr>
          <w:spacing w:val="-3"/>
        </w:rPr>
        <w:t> </w:t>
      </w:r>
      <w:r>
        <w:rPr/>
        <w:t>DOI:</w:t>
      </w:r>
      <w:r>
        <w:rPr>
          <w:spacing w:val="-4"/>
        </w:rPr>
        <w:t> </w:t>
      </w:r>
      <w:r>
        <w:rPr>
          <w:spacing w:val="-2"/>
        </w:rPr>
        <w:t>10.1039/c8ra08109c</w:t>
      </w:r>
    </w:p>
    <w:p>
      <w:pPr>
        <w:spacing w:before="0"/>
        <w:ind w:left="905" w:right="38" w:hanging="567"/>
        <w:jc w:val="both"/>
        <w:rPr>
          <w:sz w:val="20"/>
        </w:rPr>
      </w:pPr>
      <w:r>
        <w:rPr>
          <w:sz w:val="20"/>
        </w:rPr>
        <w:t>Nor, N. M., &amp; Salimon, J. (2022). Synthesis of green- renewable</w:t>
      </w:r>
      <w:r>
        <w:rPr>
          <w:spacing w:val="-13"/>
          <w:sz w:val="20"/>
        </w:rPr>
        <w:t> </w:t>
      </w:r>
      <w:r>
        <w:rPr>
          <w:sz w:val="20"/>
        </w:rPr>
        <w:t>biolubricant</w:t>
      </w:r>
      <w:r>
        <w:rPr>
          <w:spacing w:val="-12"/>
          <w:sz w:val="20"/>
        </w:rPr>
        <w:t> </w:t>
      </w:r>
      <w:r>
        <w:rPr>
          <w:sz w:val="20"/>
        </w:rPr>
        <w:t>base</w:t>
      </w:r>
      <w:r>
        <w:rPr>
          <w:spacing w:val="-13"/>
          <w:sz w:val="20"/>
        </w:rPr>
        <w:t> </w:t>
      </w:r>
      <w:r>
        <w:rPr>
          <w:sz w:val="20"/>
        </w:rPr>
        <w:t>stock</w:t>
      </w:r>
      <w:r>
        <w:rPr>
          <w:spacing w:val="-12"/>
          <w:sz w:val="20"/>
        </w:rPr>
        <w:t> </w:t>
      </w:r>
      <w:r>
        <w:rPr>
          <w:sz w:val="20"/>
        </w:rPr>
        <w:t>from</w:t>
      </w:r>
      <w:r>
        <w:rPr>
          <w:spacing w:val="-13"/>
          <w:sz w:val="20"/>
        </w:rPr>
        <w:t> </w:t>
      </w:r>
      <w:r>
        <w:rPr>
          <w:sz w:val="20"/>
        </w:rPr>
        <w:t>Malaysian palm oil. </w:t>
      </w:r>
      <w:r>
        <w:rPr>
          <w:i/>
          <w:sz w:val="20"/>
        </w:rPr>
        <w:t>Malaysian Journal of Analytical Sciences</w:t>
      </w:r>
      <w:r>
        <w:rPr>
          <w:sz w:val="20"/>
        </w:rPr>
        <w:t>, 26(3), 492–506.</w:t>
      </w:r>
    </w:p>
    <w:p>
      <w:pPr>
        <w:pStyle w:val="BodyText"/>
        <w:ind w:left="905" w:right="40" w:hanging="567"/>
      </w:pPr>
      <w:r>
        <w:rPr/>
        <w:t>Ob-eye, J., Chaiendoo, K., &amp; Itthipilotapong, V. (2021). Catalytic conversion of epoxidized palm fatty acids</w:t>
      </w:r>
      <w:r>
        <w:rPr>
          <w:spacing w:val="-13"/>
        </w:rPr>
        <w:t> </w:t>
      </w:r>
      <w:r>
        <w:rPr/>
        <w:t>through</w:t>
      </w:r>
      <w:r>
        <w:rPr>
          <w:spacing w:val="-12"/>
        </w:rPr>
        <w:t> </w:t>
      </w:r>
      <w:r>
        <w:rPr/>
        <w:t>oxirane</w:t>
      </w:r>
      <w:r>
        <w:rPr>
          <w:spacing w:val="-13"/>
        </w:rPr>
        <w:t> </w:t>
      </w:r>
      <w:r>
        <w:rPr/>
        <w:t>ring</w:t>
      </w:r>
      <w:r>
        <w:rPr>
          <w:spacing w:val="-12"/>
        </w:rPr>
        <w:t> </w:t>
      </w:r>
      <w:r>
        <w:rPr/>
        <w:t>opening</w:t>
      </w:r>
      <w:r>
        <w:rPr>
          <w:spacing w:val="-13"/>
        </w:rPr>
        <w:t> </w:t>
      </w:r>
      <w:r>
        <w:rPr/>
        <w:t>combined</w:t>
      </w:r>
      <w:r>
        <w:rPr>
          <w:spacing w:val="-12"/>
        </w:rPr>
        <w:t> </w:t>
      </w:r>
      <w:r>
        <w:rPr/>
        <w:t>with esterification</w:t>
      </w:r>
      <w:r>
        <w:rPr>
          <w:spacing w:val="-3"/>
        </w:rPr>
        <w:t> </w:t>
      </w:r>
      <w:r>
        <w:rPr/>
        <w:t>and</w:t>
      </w:r>
      <w:r>
        <w:rPr>
          <w:spacing w:val="-3"/>
        </w:rPr>
        <w:t> </w:t>
      </w:r>
      <w:r>
        <w:rPr/>
        <w:t>the</w:t>
      </w:r>
      <w:r>
        <w:rPr>
          <w:spacing w:val="-3"/>
        </w:rPr>
        <w:t> </w:t>
      </w:r>
      <w:r>
        <w:rPr/>
        <w:t>properties</w:t>
      </w:r>
      <w:r>
        <w:rPr>
          <w:spacing w:val="-5"/>
        </w:rPr>
        <w:t> </w:t>
      </w:r>
      <w:r>
        <w:rPr/>
        <w:t>of</w:t>
      </w:r>
      <w:r>
        <w:rPr>
          <w:spacing w:val="-3"/>
        </w:rPr>
        <w:t> </w:t>
      </w:r>
      <w:r>
        <w:rPr/>
        <w:t>palm</w:t>
      </w:r>
      <w:r>
        <w:rPr>
          <w:spacing w:val="-3"/>
        </w:rPr>
        <w:t> </w:t>
      </w:r>
      <w:r>
        <w:rPr/>
        <w:t>oil-based biolubricants. </w:t>
      </w:r>
      <w:r>
        <w:rPr>
          <w:i/>
        </w:rPr>
        <w:t>Industrial &amp; Engineering Chemistry Research</w:t>
      </w:r>
      <w:r>
        <w:rPr/>
        <w:t>, 60(44), 15989–15998. </w:t>
      </w:r>
      <w:r>
        <w:rPr>
          <w:spacing w:val="-2"/>
        </w:rPr>
        <w:t>https://doi.org/10.1021/acs.iecr.1c03974</w:t>
      </w:r>
    </w:p>
    <w:p>
      <w:pPr>
        <w:spacing w:before="1"/>
        <w:ind w:left="905" w:right="41" w:hanging="567"/>
        <w:jc w:val="both"/>
        <w:rPr>
          <w:sz w:val="20"/>
        </w:rPr>
      </w:pPr>
      <w:r>
        <w:rPr>
          <w:sz w:val="20"/>
        </w:rPr>
        <w:t>Peters,</w:t>
      </w:r>
      <w:r>
        <w:rPr>
          <w:spacing w:val="-5"/>
          <w:sz w:val="20"/>
        </w:rPr>
        <w:t> </w:t>
      </w:r>
      <w:r>
        <w:rPr>
          <w:sz w:val="20"/>
        </w:rPr>
        <w:t>M.</w:t>
      </w:r>
      <w:r>
        <w:rPr>
          <w:spacing w:val="-4"/>
          <w:sz w:val="20"/>
        </w:rPr>
        <w:t> </w:t>
      </w:r>
      <w:r>
        <w:rPr>
          <w:sz w:val="20"/>
        </w:rPr>
        <w:t>S.,</w:t>
      </w:r>
      <w:r>
        <w:rPr>
          <w:spacing w:val="-5"/>
          <w:sz w:val="20"/>
        </w:rPr>
        <w:t> </w:t>
      </w:r>
      <w:r>
        <w:rPr>
          <w:sz w:val="20"/>
        </w:rPr>
        <w:t>&amp;</w:t>
      </w:r>
      <w:r>
        <w:rPr>
          <w:spacing w:val="-7"/>
          <w:sz w:val="20"/>
        </w:rPr>
        <w:t> </w:t>
      </w:r>
      <w:r>
        <w:rPr>
          <w:sz w:val="20"/>
        </w:rPr>
        <w:t>Timmerhaus,</w:t>
      </w:r>
      <w:r>
        <w:rPr>
          <w:spacing w:val="-9"/>
          <w:sz w:val="20"/>
        </w:rPr>
        <w:t> </w:t>
      </w:r>
      <w:r>
        <w:rPr>
          <w:sz w:val="20"/>
        </w:rPr>
        <w:t>K.</w:t>
      </w:r>
      <w:r>
        <w:rPr>
          <w:spacing w:val="-5"/>
          <w:sz w:val="20"/>
        </w:rPr>
        <w:t> </w:t>
      </w:r>
      <w:r>
        <w:rPr>
          <w:sz w:val="20"/>
        </w:rPr>
        <w:t>D.</w:t>
      </w:r>
      <w:r>
        <w:rPr>
          <w:spacing w:val="-5"/>
          <w:sz w:val="20"/>
        </w:rPr>
        <w:t> </w:t>
      </w:r>
      <w:r>
        <w:rPr>
          <w:sz w:val="20"/>
        </w:rPr>
        <w:t>(1991).</w:t>
      </w:r>
      <w:r>
        <w:rPr>
          <w:spacing w:val="-2"/>
          <w:sz w:val="20"/>
        </w:rPr>
        <w:t> </w:t>
      </w:r>
      <w:r>
        <w:rPr>
          <w:i/>
          <w:sz w:val="20"/>
        </w:rPr>
        <w:t>Plant</w:t>
      </w:r>
      <w:r>
        <w:rPr>
          <w:i/>
          <w:spacing w:val="-8"/>
          <w:sz w:val="20"/>
        </w:rPr>
        <w:t> </w:t>
      </w:r>
      <w:r>
        <w:rPr>
          <w:i/>
          <w:sz w:val="20"/>
        </w:rPr>
        <w:t>design and economics for chemical engineers </w:t>
      </w:r>
      <w:r>
        <w:rPr>
          <w:sz w:val="20"/>
        </w:rPr>
        <w:t>(4th ed.). </w:t>
      </w:r>
      <w:r>
        <w:rPr>
          <w:spacing w:val="-2"/>
          <w:sz w:val="20"/>
        </w:rPr>
        <w:t>McGraw-Hill.</w:t>
      </w:r>
    </w:p>
    <w:p>
      <w:pPr>
        <w:spacing w:before="0"/>
        <w:ind w:left="905" w:right="41" w:hanging="567"/>
        <w:jc w:val="both"/>
        <w:rPr>
          <w:sz w:val="20"/>
        </w:rPr>
      </w:pPr>
      <w:r>
        <w:rPr>
          <w:sz w:val="20"/>
        </w:rPr>
        <w:t>Pirro, D. M., &amp; Daschner, E. (2001). </w:t>
      </w:r>
      <w:r>
        <w:rPr>
          <w:i/>
          <w:sz w:val="20"/>
        </w:rPr>
        <w:t>Lubrication fundamentals </w:t>
      </w:r>
      <w:r>
        <w:rPr>
          <w:sz w:val="20"/>
        </w:rPr>
        <w:t>(2nd ed.). CRC Press.</w:t>
      </w:r>
    </w:p>
    <w:p>
      <w:pPr>
        <w:pStyle w:val="BodyText"/>
      </w:pPr>
      <w:r>
        <w:rPr/>
        <w:t>Povkha,</w:t>
      </w:r>
      <w:r>
        <w:rPr>
          <w:spacing w:val="13"/>
        </w:rPr>
        <w:t> </w:t>
      </w:r>
      <w:r>
        <w:rPr/>
        <w:t>I.</w:t>
      </w:r>
      <w:r>
        <w:rPr>
          <w:spacing w:val="13"/>
        </w:rPr>
        <w:t> </w:t>
      </w:r>
      <w:r>
        <w:rPr/>
        <w:t>S.,</w:t>
      </w:r>
      <w:r>
        <w:rPr>
          <w:spacing w:val="14"/>
        </w:rPr>
        <w:t> </w:t>
      </w:r>
      <w:r>
        <w:rPr/>
        <w:t>Povkh,</w:t>
      </w:r>
      <w:r>
        <w:rPr>
          <w:spacing w:val="13"/>
        </w:rPr>
        <w:t> </w:t>
      </w:r>
      <w:r>
        <w:rPr/>
        <w:t>Tonkonogov,</w:t>
      </w:r>
      <w:r>
        <w:rPr>
          <w:spacing w:val="14"/>
        </w:rPr>
        <w:t> </w:t>
      </w:r>
      <w:r>
        <w:rPr/>
        <w:t>B.</w:t>
      </w:r>
      <w:r>
        <w:rPr>
          <w:spacing w:val="13"/>
        </w:rPr>
        <w:t> </w:t>
      </w:r>
      <w:r>
        <w:rPr/>
        <w:t>P.,</w:t>
      </w:r>
      <w:r>
        <w:rPr>
          <w:spacing w:val="13"/>
        </w:rPr>
        <w:t> </w:t>
      </w:r>
      <w:r>
        <w:rPr>
          <w:spacing w:val="-2"/>
        </w:rPr>
        <w:t>Bagdasarova,</w:t>
      </w:r>
    </w:p>
    <w:p>
      <w:pPr>
        <w:pStyle w:val="BodyText"/>
        <w:ind w:left="905" w:right="40"/>
      </w:pPr>
      <w:r>
        <w:rPr/>
        <w:t>L. N., Kolybelskyb, D. S., &amp; Porfiryevb, Y. V. (2015). Dependence of properties of lithium complex</w:t>
      </w:r>
      <w:r>
        <w:rPr>
          <w:spacing w:val="-12"/>
        </w:rPr>
        <w:t> </w:t>
      </w:r>
      <w:r>
        <w:rPr/>
        <w:t>greases</w:t>
      </w:r>
      <w:r>
        <w:rPr>
          <w:spacing w:val="-11"/>
        </w:rPr>
        <w:t> </w:t>
      </w:r>
      <w:r>
        <w:rPr/>
        <w:t>based</w:t>
      </w:r>
      <w:r>
        <w:rPr>
          <w:spacing w:val="-12"/>
        </w:rPr>
        <w:t> </w:t>
      </w:r>
      <w:r>
        <w:rPr/>
        <w:t>on</w:t>
      </w:r>
      <w:r>
        <w:rPr>
          <w:spacing w:val="-10"/>
        </w:rPr>
        <w:t> </w:t>
      </w:r>
      <w:r>
        <w:rPr/>
        <w:t>synthetic</w:t>
      </w:r>
      <w:r>
        <w:rPr>
          <w:spacing w:val="-10"/>
        </w:rPr>
        <w:t> </w:t>
      </w:r>
      <w:r>
        <w:rPr/>
        <w:t>base</w:t>
      </w:r>
      <w:r>
        <w:rPr>
          <w:spacing w:val="-13"/>
        </w:rPr>
        <w:t> </w:t>
      </w:r>
      <w:r>
        <w:rPr/>
        <w:t>oils</w:t>
      </w:r>
      <w:r>
        <w:rPr>
          <w:spacing w:val="-11"/>
        </w:rPr>
        <w:t> </w:t>
      </w:r>
      <w:r>
        <w:rPr/>
        <w:t>from the viscosity of dispersion medium and the composition of the thickener agent. </w:t>
      </w:r>
      <w:r>
        <w:rPr>
          <w:i/>
        </w:rPr>
        <w:t>Journal of Siberian Federal University</w:t>
      </w:r>
      <w:r>
        <w:rPr/>
        <w:t>, 8, 53–60.</w:t>
      </w:r>
    </w:p>
    <w:p>
      <w:pPr>
        <w:pStyle w:val="BodyText"/>
        <w:ind w:left="905" w:right="42" w:hanging="567"/>
      </w:pPr>
      <w:r>
        <w:rPr/>
        <w:t>Prasannakumar, P., Sankarannair, S., Prasad, G., &amp; Shanmugam, R. (2025). Bio-based additives in lubricants: Addressing challenges and leveraging for</w:t>
      </w:r>
      <w:r>
        <w:rPr>
          <w:spacing w:val="56"/>
          <w:w w:val="150"/>
        </w:rPr>
        <w:t> </w:t>
      </w:r>
      <w:r>
        <w:rPr/>
        <w:t>improved</w:t>
      </w:r>
      <w:r>
        <w:rPr>
          <w:spacing w:val="79"/>
        </w:rPr>
        <w:t> </w:t>
      </w:r>
      <w:r>
        <w:rPr/>
        <w:t>performance</w:t>
      </w:r>
      <w:r>
        <w:rPr>
          <w:spacing w:val="76"/>
        </w:rPr>
        <w:t> </w:t>
      </w:r>
      <w:r>
        <w:rPr/>
        <w:t>toward</w:t>
      </w:r>
      <w:r>
        <w:rPr>
          <w:spacing w:val="56"/>
          <w:w w:val="150"/>
        </w:rPr>
        <w:t> </w:t>
      </w:r>
      <w:r>
        <w:rPr>
          <w:spacing w:val="-2"/>
        </w:rPr>
        <w:t>sustainable</w:t>
      </w:r>
    </w:p>
    <w:p>
      <w:pPr>
        <w:spacing w:before="91"/>
        <w:ind w:left="905" w:right="51" w:firstLine="0"/>
        <w:jc w:val="both"/>
        <w:rPr>
          <w:sz w:val="20"/>
        </w:rPr>
      </w:pPr>
      <w:r>
        <w:rPr/>
        <w:br w:type="column"/>
      </w:r>
      <w:r>
        <w:rPr>
          <w:sz w:val="20"/>
        </w:rPr>
        <w:t>lubrication.</w:t>
      </w:r>
      <w:r>
        <w:rPr>
          <w:spacing w:val="-9"/>
          <w:sz w:val="20"/>
        </w:rPr>
        <w:t> </w:t>
      </w:r>
      <w:r>
        <w:rPr>
          <w:sz w:val="20"/>
        </w:rPr>
        <w:t>Bio</w:t>
      </w:r>
      <w:r>
        <w:rPr>
          <w:i/>
          <w:sz w:val="20"/>
        </w:rPr>
        <w:t>mass</w:t>
      </w:r>
      <w:r>
        <w:rPr>
          <w:i/>
          <w:spacing w:val="-8"/>
          <w:sz w:val="20"/>
        </w:rPr>
        <w:t> </w:t>
      </w:r>
      <w:r>
        <w:rPr>
          <w:i/>
          <w:sz w:val="20"/>
        </w:rPr>
        <w:t>Conversion</w:t>
      </w:r>
      <w:r>
        <w:rPr>
          <w:i/>
          <w:spacing w:val="-6"/>
          <w:sz w:val="20"/>
        </w:rPr>
        <w:t> </w:t>
      </w:r>
      <w:r>
        <w:rPr>
          <w:i/>
          <w:sz w:val="20"/>
        </w:rPr>
        <w:t>and</w:t>
      </w:r>
      <w:r>
        <w:rPr>
          <w:i/>
          <w:spacing w:val="-8"/>
          <w:sz w:val="20"/>
        </w:rPr>
        <w:t> </w:t>
      </w:r>
      <w:r>
        <w:rPr>
          <w:i/>
          <w:sz w:val="20"/>
        </w:rPr>
        <w:t>Biorefinery</w:t>
      </w:r>
      <w:r>
        <w:rPr>
          <w:sz w:val="20"/>
        </w:rPr>
        <w:t>. </w:t>
      </w:r>
      <w:hyperlink r:id="rId27">
        <w:r>
          <w:rPr>
            <w:spacing w:val="-2"/>
            <w:sz w:val="20"/>
          </w:rPr>
          <w:t>https://doi.org/10.1007/s13399-025-06563-z</w:t>
        </w:r>
      </w:hyperlink>
    </w:p>
    <w:p>
      <w:pPr>
        <w:pStyle w:val="BodyText"/>
        <w:spacing w:line="228" w:lineRule="exact"/>
      </w:pPr>
      <w:r>
        <w:rPr/>
        <w:t>Rahman,</w:t>
      </w:r>
      <w:r>
        <w:rPr>
          <w:spacing w:val="9"/>
        </w:rPr>
        <w:t> </w:t>
      </w:r>
      <w:r>
        <w:rPr/>
        <w:t>N.</w:t>
      </w:r>
      <w:r>
        <w:rPr>
          <w:spacing w:val="9"/>
        </w:rPr>
        <w:t> </w:t>
      </w:r>
      <w:r>
        <w:rPr/>
        <w:t>W.,</w:t>
      </w:r>
      <w:r>
        <w:rPr>
          <w:spacing w:val="9"/>
        </w:rPr>
        <w:t> </w:t>
      </w:r>
      <w:r>
        <w:rPr/>
        <w:t>Japar,</w:t>
      </w:r>
      <w:r>
        <w:rPr>
          <w:spacing w:val="9"/>
        </w:rPr>
        <w:t> </w:t>
      </w:r>
      <w:r>
        <w:rPr/>
        <w:t>N.</w:t>
      </w:r>
      <w:r>
        <w:rPr>
          <w:spacing w:val="7"/>
        </w:rPr>
        <w:t> </w:t>
      </w:r>
      <w:r>
        <w:rPr/>
        <w:t>S.</w:t>
      </w:r>
      <w:r>
        <w:rPr>
          <w:spacing w:val="6"/>
        </w:rPr>
        <w:t> </w:t>
      </w:r>
      <w:r>
        <w:rPr/>
        <w:t>A.,</w:t>
      </w:r>
      <w:r>
        <w:rPr>
          <w:spacing w:val="9"/>
        </w:rPr>
        <w:t> </w:t>
      </w:r>
      <w:r>
        <w:rPr/>
        <w:t>Aziz,</w:t>
      </w:r>
      <w:r>
        <w:rPr>
          <w:spacing w:val="9"/>
        </w:rPr>
        <w:t> </w:t>
      </w:r>
      <w:r>
        <w:rPr/>
        <w:t>M.</w:t>
      </w:r>
      <w:r>
        <w:rPr>
          <w:spacing w:val="10"/>
        </w:rPr>
        <w:t> </w:t>
      </w:r>
      <w:r>
        <w:rPr/>
        <w:t>A.</w:t>
      </w:r>
      <w:r>
        <w:rPr>
          <w:spacing w:val="9"/>
        </w:rPr>
        <w:t> </w:t>
      </w:r>
      <w:r>
        <w:rPr/>
        <w:t>A.,</w:t>
      </w:r>
      <w:r>
        <w:rPr>
          <w:spacing w:val="9"/>
        </w:rPr>
        <w:t> </w:t>
      </w:r>
      <w:r>
        <w:rPr>
          <w:spacing w:val="-2"/>
        </w:rPr>
        <w:t>Razik,</w:t>
      </w:r>
    </w:p>
    <w:p>
      <w:pPr>
        <w:tabs>
          <w:tab w:pos="2736" w:val="left" w:leader="none"/>
          <w:tab w:pos="4252" w:val="left" w:leader="none"/>
        </w:tabs>
        <w:spacing w:before="0"/>
        <w:ind w:left="905" w:right="49" w:firstLine="0"/>
        <w:jc w:val="both"/>
        <w:rPr>
          <w:sz w:val="20"/>
        </w:rPr>
      </w:pPr>
      <w:r>
        <w:rPr>
          <w:sz w:val="20"/>
        </w:rPr>
        <w:t>A. H. A., &amp; Yunus, M. Y. M. (2019). Sodium grease formulation from waste engine oil. </w:t>
      </w:r>
      <w:r>
        <w:rPr>
          <w:i/>
          <w:sz w:val="20"/>
        </w:rPr>
        <w:t>IOP Conference Series: Earth and Environmental </w:t>
      </w:r>
      <w:r>
        <w:rPr>
          <w:i/>
          <w:spacing w:val="-2"/>
          <w:sz w:val="20"/>
        </w:rPr>
        <w:t>Science</w:t>
      </w:r>
      <w:r>
        <w:rPr>
          <w:spacing w:val="-2"/>
          <w:sz w:val="20"/>
        </w:rPr>
        <w:t>,</w:t>
      </w:r>
      <w:r>
        <w:rPr>
          <w:sz w:val="20"/>
        </w:rPr>
        <w:tab/>
      </w:r>
      <w:r>
        <w:rPr>
          <w:spacing w:val="-4"/>
          <w:sz w:val="20"/>
        </w:rPr>
        <w:t>257,</w:t>
      </w:r>
      <w:r>
        <w:rPr>
          <w:sz w:val="20"/>
        </w:rPr>
        <w:tab/>
      </w:r>
      <w:r>
        <w:rPr>
          <w:spacing w:val="-2"/>
          <w:sz w:val="20"/>
        </w:rPr>
        <w:t>012018</w:t>
      </w:r>
      <w:r>
        <w:rPr>
          <w:spacing w:val="-2"/>
          <w:sz w:val="20"/>
        </w:rPr>
        <w:t>.</w:t>
      </w:r>
    </w:p>
    <w:p>
      <w:pPr>
        <w:pStyle w:val="BodyText"/>
        <w:ind w:right="56" w:firstLine="566"/>
      </w:pPr>
      <w:r>
        <w:rPr>
          <w:spacing w:val="-2"/>
        </w:rPr>
        <w:t>https://doi.org/10.1088/1755-1315/257/1/012018 </w:t>
      </w:r>
      <w:r>
        <w:rPr/>
        <w:t>Rahman,</w:t>
      </w:r>
      <w:r>
        <w:rPr>
          <w:spacing w:val="2"/>
        </w:rPr>
        <w:t> </w:t>
      </w:r>
      <w:r>
        <w:rPr/>
        <w:t>T.,</w:t>
      </w:r>
      <w:r>
        <w:rPr>
          <w:spacing w:val="1"/>
        </w:rPr>
        <w:t> </w:t>
      </w:r>
      <w:r>
        <w:rPr/>
        <w:t>Arkeman,</w:t>
      </w:r>
      <w:r>
        <w:rPr>
          <w:spacing w:val="2"/>
        </w:rPr>
        <w:t> </w:t>
      </w:r>
      <w:r>
        <w:rPr/>
        <w:t>Y.,</w:t>
      </w:r>
      <w:r>
        <w:rPr>
          <w:spacing w:val="1"/>
        </w:rPr>
        <w:t> </w:t>
      </w:r>
      <w:r>
        <w:rPr/>
        <w:t>Setyaningsih,</w:t>
      </w:r>
      <w:r>
        <w:rPr>
          <w:spacing w:val="2"/>
        </w:rPr>
        <w:t> </w:t>
      </w:r>
      <w:r>
        <w:rPr/>
        <w:t>D.,</w:t>
      </w:r>
      <w:r>
        <w:rPr>
          <w:spacing w:val="1"/>
        </w:rPr>
        <w:t> </w:t>
      </w:r>
      <w:r>
        <w:rPr/>
        <w:t>&amp;</w:t>
      </w:r>
      <w:r>
        <w:rPr>
          <w:spacing w:val="3"/>
        </w:rPr>
        <w:t> </w:t>
      </w:r>
      <w:r>
        <w:rPr>
          <w:spacing w:val="-2"/>
        </w:rPr>
        <w:t>Saparita,</w:t>
      </w:r>
    </w:p>
    <w:p>
      <w:pPr>
        <w:spacing w:before="0"/>
        <w:ind w:left="905" w:right="51" w:firstLine="0"/>
        <w:jc w:val="both"/>
        <w:rPr>
          <w:sz w:val="20"/>
        </w:rPr>
      </w:pPr>
      <w:r>
        <w:rPr>
          <w:sz w:val="20"/>
        </w:rPr>
        <w:t>R.</w:t>
      </w:r>
      <w:r>
        <w:rPr>
          <w:spacing w:val="-13"/>
          <w:sz w:val="20"/>
        </w:rPr>
        <w:t> </w:t>
      </w:r>
      <w:r>
        <w:rPr>
          <w:sz w:val="20"/>
        </w:rPr>
        <w:t>(2024).</w:t>
      </w:r>
      <w:r>
        <w:rPr>
          <w:spacing w:val="-12"/>
          <w:sz w:val="20"/>
        </w:rPr>
        <w:t> </w:t>
      </w:r>
      <w:r>
        <w:rPr>
          <w:sz w:val="20"/>
        </w:rPr>
        <w:t>Indonesian</w:t>
      </w:r>
      <w:r>
        <w:rPr>
          <w:spacing w:val="-12"/>
          <w:sz w:val="20"/>
        </w:rPr>
        <w:t> </w:t>
      </w:r>
      <w:r>
        <w:rPr>
          <w:sz w:val="20"/>
        </w:rPr>
        <w:t>CPO</w:t>
      </w:r>
      <w:r>
        <w:rPr>
          <w:spacing w:val="-13"/>
          <w:sz w:val="20"/>
        </w:rPr>
        <w:t> </w:t>
      </w:r>
      <w:r>
        <w:rPr>
          <w:sz w:val="20"/>
        </w:rPr>
        <w:t>availability</w:t>
      </w:r>
      <w:r>
        <w:rPr>
          <w:spacing w:val="-11"/>
          <w:sz w:val="20"/>
        </w:rPr>
        <w:t> </w:t>
      </w:r>
      <w:r>
        <w:rPr>
          <w:sz w:val="20"/>
        </w:rPr>
        <w:t>analysis</w:t>
      </w:r>
      <w:r>
        <w:rPr>
          <w:spacing w:val="-13"/>
          <w:sz w:val="20"/>
        </w:rPr>
        <w:t> </w:t>
      </w:r>
      <w:r>
        <w:rPr>
          <w:sz w:val="20"/>
        </w:rPr>
        <w:t>to support food and energy security: A system dynamic approach. </w:t>
      </w:r>
      <w:r>
        <w:rPr>
          <w:i/>
          <w:sz w:val="20"/>
        </w:rPr>
        <w:t>International Conference on Biomass: Technology, Application, </w:t>
      </w:r>
      <w:r>
        <w:rPr>
          <w:i/>
          <w:sz w:val="20"/>
        </w:rPr>
        <w:t>an</w:t>
      </w:r>
      <w:r>
        <w:rPr>
          <w:i/>
          <w:sz w:val="20"/>
        </w:rPr>
        <w:t>d</w:t>
      </w:r>
      <w:r>
        <w:rPr>
          <w:i/>
          <w:sz w:val="20"/>
        </w:rPr>
        <w:t> Sustainable Development</w:t>
      </w:r>
      <w:r>
        <w:rPr>
          <w:sz w:val="20"/>
        </w:rPr>
        <w:t>. IOP Publishing. </w:t>
      </w:r>
      <w:r>
        <w:rPr>
          <w:spacing w:val="-2"/>
          <w:sz w:val="20"/>
        </w:rPr>
        <w:t>https://doi.org/10.1088/1755-1315/65/1/012024</w:t>
      </w:r>
    </w:p>
    <w:p>
      <w:pPr>
        <w:pStyle w:val="BodyText"/>
        <w:tabs>
          <w:tab w:pos="1719" w:val="left" w:leader="none"/>
          <w:tab w:pos="2714" w:val="left" w:leader="none"/>
          <w:tab w:pos="3424" w:val="left" w:leader="none"/>
        </w:tabs>
        <w:spacing w:before="1"/>
        <w:ind w:right="52"/>
        <w:jc w:val="right"/>
      </w:pPr>
      <w:r>
        <w:rPr/>
        <w:t>Rani, H. A., Bonenehu, R. S., Mubarak, H. M. (2020). Financial</w:t>
      </w:r>
      <w:r>
        <w:rPr>
          <w:spacing w:val="80"/>
        </w:rPr>
        <w:t> </w:t>
      </w:r>
      <w:r>
        <w:rPr/>
        <w:t>feasibility</w:t>
      </w:r>
      <w:r>
        <w:rPr>
          <w:spacing w:val="80"/>
        </w:rPr>
        <w:t> </w:t>
      </w:r>
      <w:r>
        <w:rPr/>
        <w:t>study</w:t>
      </w:r>
      <w:r>
        <w:rPr>
          <w:spacing w:val="80"/>
        </w:rPr>
        <w:t> </w:t>
      </w:r>
      <w:r>
        <w:rPr/>
        <w:t>of</w:t>
      </w:r>
      <w:r>
        <w:rPr>
          <w:spacing w:val="80"/>
        </w:rPr>
        <w:t> </w:t>
      </w:r>
      <w:r>
        <w:rPr/>
        <w:t>batching</w:t>
      </w:r>
      <w:r>
        <w:rPr>
          <w:spacing w:val="80"/>
        </w:rPr>
        <w:t> </w:t>
      </w:r>
      <w:r>
        <w:rPr/>
        <w:t>plant investment</w:t>
      </w:r>
      <w:r>
        <w:rPr>
          <w:spacing w:val="80"/>
        </w:rPr>
        <w:t> </w:t>
      </w:r>
      <w:r>
        <w:rPr/>
        <w:t>on</w:t>
      </w:r>
      <w:r>
        <w:rPr>
          <w:spacing w:val="80"/>
        </w:rPr>
        <w:t> </w:t>
      </w:r>
      <w:r>
        <w:rPr/>
        <w:t>Sigli</w:t>
      </w:r>
      <w:r>
        <w:rPr>
          <w:spacing w:val="80"/>
        </w:rPr>
        <w:t> </w:t>
      </w:r>
      <w:r>
        <w:rPr/>
        <w:t>-Banda</w:t>
      </w:r>
      <w:r>
        <w:rPr>
          <w:spacing w:val="80"/>
        </w:rPr>
        <w:t> </w:t>
      </w:r>
      <w:r>
        <w:rPr/>
        <w:t>Aceh</w:t>
      </w:r>
      <w:r>
        <w:rPr>
          <w:spacing w:val="80"/>
        </w:rPr>
        <w:t> </w:t>
      </w:r>
      <w:r>
        <w:rPr/>
        <w:t>highway </w:t>
      </w:r>
      <w:r>
        <w:rPr>
          <w:spacing w:val="-2"/>
        </w:rPr>
        <w:t>construction</w:t>
      </w:r>
      <w:r>
        <w:rPr/>
        <w:tab/>
      </w:r>
      <w:r>
        <w:rPr>
          <w:spacing w:val="-2"/>
        </w:rPr>
        <w:t>project.</w:t>
      </w:r>
      <w:r>
        <w:rPr/>
        <w:tab/>
      </w:r>
      <w:r>
        <w:rPr>
          <w:spacing w:val="-4"/>
        </w:rPr>
        <w:t>IOP</w:t>
      </w:r>
      <w:r>
        <w:rPr/>
        <w:tab/>
      </w:r>
      <w:r>
        <w:rPr>
          <w:spacing w:val="-2"/>
        </w:rPr>
        <w:t>Publishing. </w:t>
      </w:r>
      <w:hyperlink r:id="rId28">
        <w:r>
          <w:rPr>
            <w:spacing w:val="-2"/>
          </w:rPr>
          <w:t>https://doi.org/10.1088/1757-899X/821/1/012012</w:t>
        </w:r>
      </w:hyperlink>
      <w:r>
        <w:rPr>
          <w:spacing w:val="80"/>
        </w:rPr>
        <w:t>  </w:t>
      </w:r>
      <w:r>
        <w:rPr/>
        <w:t>Razak,</w:t>
      </w:r>
      <w:r>
        <w:rPr>
          <w:spacing w:val="40"/>
        </w:rPr>
        <w:t> </w:t>
      </w:r>
      <w:r>
        <w:rPr/>
        <w:t>I.</w:t>
      </w:r>
      <w:r>
        <w:rPr>
          <w:spacing w:val="40"/>
        </w:rPr>
        <w:t> </w:t>
      </w:r>
      <w:r>
        <w:rPr/>
        <w:t>H.</w:t>
      </w:r>
      <w:r>
        <w:rPr>
          <w:spacing w:val="40"/>
        </w:rPr>
        <w:t> </w:t>
      </w:r>
      <w:r>
        <w:rPr/>
        <w:t>A.,</w:t>
      </w:r>
      <w:r>
        <w:rPr>
          <w:spacing w:val="40"/>
        </w:rPr>
        <w:t> </w:t>
      </w:r>
      <w:r>
        <w:rPr/>
        <w:t>Ahmad,</w:t>
      </w:r>
      <w:r>
        <w:rPr>
          <w:spacing w:val="40"/>
        </w:rPr>
        <w:t> </w:t>
      </w:r>
      <w:r>
        <w:rPr/>
        <w:t>M.</w:t>
      </w:r>
      <w:r>
        <w:rPr>
          <w:spacing w:val="40"/>
        </w:rPr>
        <w:t> </w:t>
      </w:r>
      <w:r>
        <w:rPr/>
        <w:t>A.,</w:t>
      </w:r>
      <w:r>
        <w:rPr>
          <w:spacing w:val="40"/>
        </w:rPr>
        <w:t> </w:t>
      </w:r>
      <w:r>
        <w:rPr/>
        <w:t>Abdullah,</w:t>
      </w:r>
      <w:r>
        <w:rPr>
          <w:spacing w:val="40"/>
        </w:rPr>
        <w:t> </w:t>
      </w:r>
      <w:r>
        <w:rPr/>
        <w:t>S.</w:t>
      </w:r>
      <w:r>
        <w:rPr>
          <w:spacing w:val="40"/>
        </w:rPr>
        <w:t> </w:t>
      </w:r>
      <w:r>
        <w:rPr/>
        <w:t>H.,</w:t>
      </w:r>
      <w:r>
        <w:rPr>
          <w:spacing w:val="40"/>
        </w:rPr>
        <w:t> </w:t>
      </w:r>
      <w:r>
        <w:rPr/>
        <w:t>&amp; Hazani,</w:t>
      </w:r>
      <w:r>
        <w:rPr>
          <w:spacing w:val="40"/>
        </w:rPr>
        <w:t> </w:t>
      </w:r>
      <w:r>
        <w:rPr/>
        <w:t>M.</w:t>
      </w:r>
      <w:r>
        <w:rPr>
          <w:spacing w:val="40"/>
        </w:rPr>
        <w:t> </w:t>
      </w:r>
      <w:r>
        <w:rPr/>
        <w:t>H.</w:t>
      </w:r>
      <w:r>
        <w:rPr>
          <w:spacing w:val="40"/>
        </w:rPr>
        <w:t> </w:t>
      </w:r>
      <w:r>
        <w:rPr/>
        <w:t>F.</w:t>
      </w:r>
      <w:r>
        <w:rPr>
          <w:spacing w:val="40"/>
        </w:rPr>
        <w:t> </w:t>
      </w:r>
      <w:r>
        <w:rPr/>
        <w:t>M.</w:t>
      </w:r>
      <w:r>
        <w:rPr>
          <w:spacing w:val="40"/>
        </w:rPr>
        <w:t> </w:t>
      </w:r>
      <w:r>
        <w:rPr/>
        <w:t>(2023).</w:t>
      </w:r>
      <w:r>
        <w:rPr>
          <w:spacing w:val="40"/>
        </w:rPr>
        <w:t> </w:t>
      </w:r>
      <w:r>
        <w:rPr/>
        <w:t>Rheological</w:t>
      </w:r>
      <w:r>
        <w:rPr>
          <w:spacing w:val="40"/>
        </w:rPr>
        <w:t> </w:t>
      </w:r>
      <w:r>
        <w:rPr/>
        <w:t>and tribological behaviors of bio grease based on palm</w:t>
      </w:r>
    </w:p>
    <w:p>
      <w:pPr>
        <w:pStyle w:val="BodyText"/>
        <w:spacing w:line="229" w:lineRule="exact" w:before="1"/>
        <w:ind w:left="905"/>
      </w:pPr>
      <w:r>
        <w:rPr/>
        <w:t>ester</w:t>
      </w:r>
      <w:r>
        <w:rPr>
          <w:spacing w:val="19"/>
        </w:rPr>
        <w:t> </w:t>
      </w:r>
      <w:r>
        <w:rPr/>
        <w:t>thickened</w:t>
      </w:r>
      <w:r>
        <w:rPr>
          <w:spacing w:val="20"/>
        </w:rPr>
        <w:t> </w:t>
      </w:r>
      <w:r>
        <w:rPr/>
        <w:t>with</w:t>
      </w:r>
      <w:r>
        <w:rPr>
          <w:spacing w:val="19"/>
        </w:rPr>
        <w:t> </w:t>
      </w:r>
      <w:r>
        <w:rPr/>
        <w:t>calcium</w:t>
      </w:r>
      <w:r>
        <w:rPr>
          <w:spacing w:val="16"/>
        </w:rPr>
        <w:t> </w:t>
      </w:r>
      <w:r>
        <w:rPr/>
        <w:t>complex</w:t>
      </w:r>
      <w:r>
        <w:rPr>
          <w:spacing w:val="20"/>
        </w:rPr>
        <w:t> </w:t>
      </w:r>
      <w:r>
        <w:rPr>
          <w:spacing w:val="-2"/>
        </w:rPr>
        <w:t>thickener.</w:t>
      </w:r>
    </w:p>
    <w:p>
      <w:pPr>
        <w:spacing w:line="229" w:lineRule="exact" w:before="0"/>
        <w:ind w:left="905" w:right="0" w:firstLine="0"/>
        <w:jc w:val="both"/>
        <w:rPr>
          <w:sz w:val="20"/>
        </w:rPr>
      </w:pPr>
      <w:r>
        <w:rPr>
          <w:i/>
          <w:sz w:val="20"/>
        </w:rPr>
        <w:t>Jurnal</w:t>
      </w:r>
      <w:r>
        <w:rPr>
          <w:i/>
          <w:spacing w:val="-8"/>
          <w:sz w:val="20"/>
        </w:rPr>
        <w:t> </w:t>
      </w:r>
      <w:r>
        <w:rPr>
          <w:i/>
          <w:sz w:val="20"/>
        </w:rPr>
        <w:t>Tribologi</w:t>
      </w:r>
      <w:r>
        <w:rPr>
          <w:sz w:val="20"/>
        </w:rPr>
        <w:t>,</w:t>
      </w:r>
      <w:r>
        <w:rPr>
          <w:spacing w:val="-6"/>
          <w:sz w:val="20"/>
        </w:rPr>
        <w:t> </w:t>
      </w:r>
      <w:r>
        <w:rPr>
          <w:sz w:val="20"/>
        </w:rPr>
        <w:t>38,</w:t>
      </w:r>
      <w:r>
        <w:rPr>
          <w:spacing w:val="-6"/>
          <w:sz w:val="20"/>
        </w:rPr>
        <w:t> </w:t>
      </w:r>
      <w:r>
        <w:rPr>
          <w:sz w:val="20"/>
        </w:rPr>
        <w:t>100-</w:t>
      </w:r>
      <w:r>
        <w:rPr>
          <w:spacing w:val="-4"/>
          <w:sz w:val="20"/>
        </w:rPr>
        <w:t>117.</w:t>
      </w:r>
    </w:p>
    <w:p>
      <w:pPr>
        <w:pStyle w:val="BodyText"/>
        <w:spacing w:before="1"/>
        <w:ind w:left="905" w:right="54" w:hanging="567"/>
      </w:pPr>
      <w:r>
        <w:rPr/>
        <w:t>Ren, G., Zhang, P., Ye, X., Li, W., Fan, X., &amp; Zhu, M. (2021).</w:t>
      </w:r>
      <w:r>
        <w:rPr>
          <w:spacing w:val="-13"/>
        </w:rPr>
        <w:t> </w:t>
      </w:r>
      <w:r>
        <w:rPr/>
        <w:t>Comparative</w:t>
      </w:r>
      <w:r>
        <w:rPr>
          <w:spacing w:val="-12"/>
        </w:rPr>
        <w:t> </w:t>
      </w:r>
      <w:r>
        <w:rPr/>
        <w:t>study</w:t>
      </w:r>
      <w:r>
        <w:rPr>
          <w:spacing w:val="-13"/>
        </w:rPr>
        <w:t> </w:t>
      </w:r>
      <w:r>
        <w:rPr/>
        <w:t>on</w:t>
      </w:r>
      <w:r>
        <w:rPr>
          <w:spacing w:val="-12"/>
        </w:rPr>
        <w:t> </w:t>
      </w:r>
      <w:r>
        <w:rPr/>
        <w:t>corrosion</w:t>
      </w:r>
      <w:r>
        <w:rPr>
          <w:spacing w:val="-13"/>
        </w:rPr>
        <w:t> </w:t>
      </w:r>
      <w:r>
        <w:rPr/>
        <w:t>resistance </w:t>
      </w:r>
      <w:r>
        <w:rPr>
          <w:spacing w:val="-2"/>
        </w:rPr>
        <w:t>and</w:t>
      </w:r>
      <w:r>
        <w:rPr>
          <w:spacing w:val="-4"/>
        </w:rPr>
        <w:t> </w:t>
      </w:r>
      <w:r>
        <w:rPr>
          <w:spacing w:val="-2"/>
        </w:rPr>
        <w:t>lubrication</w:t>
      </w:r>
      <w:r>
        <w:rPr>
          <w:spacing w:val="-4"/>
        </w:rPr>
        <w:t> </w:t>
      </w:r>
      <w:r>
        <w:rPr>
          <w:spacing w:val="-2"/>
        </w:rPr>
        <w:t>function</w:t>
      </w:r>
      <w:r>
        <w:rPr>
          <w:spacing w:val="-4"/>
        </w:rPr>
        <w:t> </w:t>
      </w:r>
      <w:r>
        <w:rPr>
          <w:spacing w:val="-2"/>
        </w:rPr>
        <w:t>of</w:t>
      </w:r>
      <w:r>
        <w:rPr>
          <w:spacing w:val="-4"/>
        </w:rPr>
        <w:t> </w:t>
      </w:r>
      <w:r>
        <w:rPr>
          <w:spacing w:val="-2"/>
        </w:rPr>
        <w:t>lithium</w:t>
      </w:r>
      <w:r>
        <w:rPr>
          <w:spacing w:val="-4"/>
        </w:rPr>
        <w:t> </w:t>
      </w:r>
      <w:r>
        <w:rPr>
          <w:spacing w:val="-2"/>
        </w:rPr>
        <w:t>complex</w:t>
      </w:r>
      <w:r>
        <w:rPr>
          <w:spacing w:val="-6"/>
        </w:rPr>
        <w:t> </w:t>
      </w:r>
      <w:r>
        <w:rPr>
          <w:spacing w:val="-2"/>
        </w:rPr>
        <w:t>grease </w:t>
      </w:r>
      <w:r>
        <w:rPr/>
        <w:t>and polyurea grease. </w:t>
      </w:r>
      <w:r>
        <w:rPr>
          <w:i/>
        </w:rPr>
        <w:t>Friction</w:t>
      </w:r>
      <w:r>
        <w:rPr/>
        <w:t>, 9(1), 75–90.</w:t>
      </w:r>
    </w:p>
    <w:p>
      <w:pPr>
        <w:spacing w:before="2"/>
        <w:ind w:left="905" w:right="52" w:hanging="567"/>
        <w:jc w:val="both"/>
        <w:rPr>
          <w:sz w:val="20"/>
        </w:rPr>
      </w:pPr>
      <w:r>
        <w:rPr>
          <w:sz w:val="20"/>
        </w:rPr>
        <w:t>Saleem, M., Ali, M., &amp; Saeed, A. (2024). Preparation of soap and detergents with potential use of biochemical methods. </w:t>
      </w:r>
      <w:r>
        <w:rPr>
          <w:i/>
          <w:sz w:val="20"/>
        </w:rPr>
        <w:t>Recent Advances in Industrial Biochemistry</w:t>
      </w:r>
      <w:r>
        <w:rPr>
          <w:sz w:val="20"/>
        </w:rPr>
        <w:t>, 433–446.</w:t>
      </w:r>
    </w:p>
    <w:p>
      <w:pPr>
        <w:spacing w:before="0"/>
        <w:ind w:left="905" w:right="51" w:hanging="567"/>
        <w:jc w:val="both"/>
        <w:rPr>
          <w:sz w:val="20"/>
        </w:rPr>
      </w:pPr>
      <w:r>
        <w:rPr>
          <w:sz w:val="20"/>
        </w:rPr>
        <w:t>Salimon, J., Salih, N., &amp; Yousif, E. (2011). </w:t>
      </w:r>
      <w:r>
        <w:rPr>
          <w:i/>
          <w:sz w:val="20"/>
        </w:rPr>
        <w:t>Chemically modified</w:t>
      </w:r>
      <w:r>
        <w:rPr>
          <w:i/>
          <w:spacing w:val="-4"/>
          <w:sz w:val="20"/>
        </w:rPr>
        <w:t> </w:t>
      </w:r>
      <w:r>
        <w:rPr>
          <w:i/>
          <w:sz w:val="20"/>
        </w:rPr>
        <w:t>biolubricant</w:t>
      </w:r>
      <w:r>
        <w:rPr>
          <w:i/>
          <w:spacing w:val="-5"/>
          <w:sz w:val="20"/>
        </w:rPr>
        <w:t> </w:t>
      </w:r>
      <w:r>
        <w:rPr>
          <w:i/>
          <w:sz w:val="20"/>
        </w:rPr>
        <w:t>basestocks</w:t>
      </w:r>
      <w:r>
        <w:rPr>
          <w:i/>
          <w:spacing w:val="-5"/>
          <w:sz w:val="20"/>
        </w:rPr>
        <w:t> </w:t>
      </w:r>
      <w:r>
        <w:rPr>
          <w:i/>
          <w:sz w:val="20"/>
        </w:rPr>
        <w:t>from</w:t>
      </w:r>
      <w:r>
        <w:rPr>
          <w:i/>
          <w:spacing w:val="-4"/>
          <w:sz w:val="20"/>
        </w:rPr>
        <w:t> </w:t>
      </w:r>
      <w:r>
        <w:rPr>
          <w:i/>
          <w:sz w:val="20"/>
        </w:rPr>
        <w:t>epoxidized oleic acid: Improved low temperature properties and</w:t>
      </w:r>
      <w:r>
        <w:rPr>
          <w:i/>
          <w:spacing w:val="-7"/>
          <w:sz w:val="20"/>
        </w:rPr>
        <w:t> </w:t>
      </w:r>
      <w:r>
        <w:rPr>
          <w:i/>
          <w:sz w:val="20"/>
        </w:rPr>
        <w:t>oxidative</w:t>
      </w:r>
      <w:r>
        <w:rPr>
          <w:i/>
          <w:spacing w:val="-8"/>
          <w:sz w:val="20"/>
        </w:rPr>
        <w:t> </w:t>
      </w:r>
      <w:r>
        <w:rPr>
          <w:i/>
          <w:sz w:val="20"/>
        </w:rPr>
        <w:t>stability</w:t>
      </w:r>
      <w:r>
        <w:rPr>
          <w:sz w:val="20"/>
        </w:rPr>
        <w:t>.</w:t>
      </w:r>
      <w:r>
        <w:rPr>
          <w:spacing w:val="-8"/>
          <w:sz w:val="20"/>
        </w:rPr>
        <w:t> </w:t>
      </w:r>
      <w:r>
        <w:rPr>
          <w:sz w:val="20"/>
        </w:rPr>
        <w:t>Journal</w:t>
      </w:r>
      <w:r>
        <w:rPr>
          <w:spacing w:val="-8"/>
          <w:sz w:val="20"/>
        </w:rPr>
        <w:t> </w:t>
      </w:r>
      <w:r>
        <w:rPr>
          <w:sz w:val="20"/>
        </w:rPr>
        <w:t>of</w:t>
      </w:r>
      <w:r>
        <w:rPr>
          <w:spacing w:val="-8"/>
          <w:sz w:val="20"/>
        </w:rPr>
        <w:t> </w:t>
      </w:r>
      <w:r>
        <w:rPr>
          <w:sz w:val="20"/>
        </w:rPr>
        <w:t>Saudi</w:t>
      </w:r>
      <w:r>
        <w:rPr>
          <w:spacing w:val="-9"/>
          <w:sz w:val="20"/>
        </w:rPr>
        <w:t> </w:t>
      </w:r>
      <w:r>
        <w:rPr>
          <w:sz w:val="20"/>
        </w:rPr>
        <w:t>Chemical </w:t>
      </w:r>
      <w:r>
        <w:rPr>
          <w:spacing w:val="-2"/>
          <w:sz w:val="20"/>
        </w:rPr>
        <w:t>Society,</w:t>
      </w:r>
      <w:r>
        <w:rPr>
          <w:spacing w:val="-1"/>
          <w:sz w:val="20"/>
        </w:rPr>
        <w:t> </w:t>
      </w:r>
      <w:r>
        <w:rPr>
          <w:spacing w:val="-2"/>
          <w:sz w:val="20"/>
        </w:rPr>
        <w:t>15,</w:t>
      </w:r>
      <w:r>
        <w:rPr>
          <w:sz w:val="20"/>
        </w:rPr>
        <w:t> </w:t>
      </w:r>
      <w:r>
        <w:rPr>
          <w:spacing w:val="-2"/>
          <w:sz w:val="20"/>
        </w:rPr>
        <w:t>195-201.</w:t>
      </w:r>
      <w:r>
        <w:rPr>
          <w:spacing w:val="-1"/>
          <w:sz w:val="20"/>
        </w:rPr>
        <w:t> </w:t>
      </w:r>
      <w:r>
        <w:rPr>
          <w:spacing w:val="-2"/>
          <w:sz w:val="20"/>
        </w:rPr>
        <w:t>Jurnaltribologi.mytribos.org</w:t>
      </w:r>
    </w:p>
    <w:p>
      <w:pPr>
        <w:pStyle w:val="BodyText"/>
        <w:ind w:left="905" w:right="49" w:hanging="567"/>
      </w:pPr>
      <w:r>
        <w:rPr/>
        <w:t>Salomonsson, L., Stang, G., &amp; Zhmud, B. (2007). Oil/thickener interactions and rheology of lubricating greases. </w:t>
      </w:r>
      <w:r>
        <w:rPr>
          <w:i/>
        </w:rPr>
        <w:t>Tribology Transactions</w:t>
      </w:r>
      <w:r>
        <w:rPr/>
        <w:t>, </w:t>
      </w:r>
      <w:r>
        <w:rPr>
          <w:spacing w:val="-2"/>
        </w:rPr>
        <w:t>50(1).</w:t>
      </w:r>
    </w:p>
    <w:p>
      <w:pPr>
        <w:pStyle w:val="BodyText"/>
        <w:ind w:right="61" w:firstLine="566"/>
      </w:pPr>
      <w:r>
        <w:rPr>
          <w:spacing w:val="-2"/>
        </w:rPr>
        <w:t>https://doi.org/10.1080/10402000701413471 </w:t>
      </w:r>
      <w:r>
        <w:rPr/>
        <w:t>Sazzad,</w:t>
      </w:r>
      <w:r>
        <w:rPr>
          <w:spacing w:val="10"/>
        </w:rPr>
        <w:t> </w:t>
      </w:r>
      <w:r>
        <w:rPr/>
        <w:t>M.</w:t>
      </w:r>
      <w:r>
        <w:rPr>
          <w:spacing w:val="11"/>
        </w:rPr>
        <w:t> </w:t>
      </w:r>
      <w:r>
        <w:rPr/>
        <w:t>R.</w:t>
      </w:r>
      <w:r>
        <w:rPr>
          <w:spacing w:val="10"/>
        </w:rPr>
        <w:t> </w:t>
      </w:r>
      <w:r>
        <w:rPr/>
        <w:t>I.,</w:t>
      </w:r>
      <w:r>
        <w:rPr>
          <w:spacing w:val="10"/>
        </w:rPr>
        <w:t> </w:t>
      </w:r>
      <w:r>
        <w:rPr/>
        <w:t>Rahman,</w:t>
      </w:r>
      <w:r>
        <w:rPr>
          <w:spacing w:val="10"/>
        </w:rPr>
        <w:t> </w:t>
      </w:r>
      <w:r>
        <w:rPr/>
        <w:t>M.</w:t>
      </w:r>
      <w:r>
        <w:rPr>
          <w:spacing w:val="11"/>
        </w:rPr>
        <w:t> </w:t>
      </w:r>
      <w:r>
        <w:rPr/>
        <w:t>M.,</w:t>
      </w:r>
      <w:r>
        <w:rPr>
          <w:spacing w:val="10"/>
        </w:rPr>
        <w:t> </w:t>
      </w:r>
      <w:r>
        <w:rPr/>
        <w:t>Hassan,</w:t>
      </w:r>
      <w:r>
        <w:rPr>
          <w:spacing w:val="10"/>
        </w:rPr>
        <w:t> </w:t>
      </w:r>
      <w:r>
        <w:rPr/>
        <w:t>T.,</w:t>
      </w:r>
      <w:r>
        <w:rPr>
          <w:spacing w:val="10"/>
        </w:rPr>
        <w:t> </w:t>
      </w:r>
      <w:r>
        <w:rPr/>
        <w:t>Rifat,</w:t>
      </w:r>
      <w:r>
        <w:rPr>
          <w:spacing w:val="11"/>
        </w:rPr>
        <w:t> </w:t>
      </w:r>
      <w:r>
        <w:rPr>
          <w:spacing w:val="-5"/>
        </w:rPr>
        <w:t>A.</w:t>
      </w:r>
    </w:p>
    <w:p>
      <w:pPr>
        <w:pStyle w:val="BodyText"/>
        <w:tabs>
          <w:tab w:pos="4262" w:val="left" w:leader="none"/>
        </w:tabs>
        <w:ind w:left="905" w:right="48"/>
      </w:pPr>
      <w:r>
        <w:rPr/>
        <w:t>A., Mamun, A. A., Adib, A. R., Meraz, R. M., &amp; Ahmed, M. (2024). Advancing sustainable lubricating oil management: Re-refining techniques, market insights, innovative enhancements, and conversion to fuel. Heliyon, </w:t>
      </w:r>
      <w:r>
        <w:rPr>
          <w:spacing w:val="-2"/>
        </w:rPr>
        <w:t>10(4),</w:t>
      </w:r>
      <w:r>
        <w:rPr/>
        <w:tab/>
      </w:r>
      <w:r>
        <w:rPr>
          <w:spacing w:val="-2"/>
        </w:rPr>
        <w:t>e39248</w:t>
      </w:r>
      <w:r>
        <w:rPr>
          <w:spacing w:val="-2"/>
        </w:rPr>
        <w:t>.</w:t>
      </w:r>
    </w:p>
    <w:p>
      <w:pPr>
        <w:pStyle w:val="BodyText"/>
        <w:ind w:left="905"/>
        <w:jc w:val="left"/>
      </w:pPr>
      <w:hyperlink r:id="rId29">
        <w:r>
          <w:rPr>
            <w:spacing w:val="-2"/>
          </w:rPr>
          <w:t>https://doi.org/10.1016/j.heliyon</w:t>
        </w:r>
        <w:r>
          <w:rPr>
            <w:spacing w:val="43"/>
          </w:rPr>
          <w:t> </w:t>
        </w:r>
        <w:r>
          <w:rPr>
            <w:spacing w:val="-2"/>
          </w:rPr>
          <w:t>2024.e39248</w:t>
        </w:r>
      </w:hyperlink>
    </w:p>
    <w:p>
      <w:pPr>
        <w:pStyle w:val="BodyText"/>
        <w:ind w:left="905" w:right="53" w:hanging="567"/>
      </w:pPr>
      <w:r>
        <w:rPr/>
        <w:t>Sentanuhady,</w:t>
      </w:r>
      <w:r>
        <w:rPr>
          <w:spacing w:val="-13"/>
        </w:rPr>
        <w:t> </w:t>
      </w:r>
      <w:r>
        <w:rPr/>
        <w:t>J.,</w:t>
      </w:r>
      <w:r>
        <w:rPr>
          <w:spacing w:val="-12"/>
        </w:rPr>
        <w:t> </w:t>
      </w:r>
      <w:r>
        <w:rPr/>
        <w:t>Majid,</w:t>
      </w:r>
      <w:r>
        <w:rPr>
          <w:spacing w:val="-13"/>
        </w:rPr>
        <w:t> </w:t>
      </w:r>
      <w:r>
        <w:rPr/>
        <w:t>I.,</w:t>
      </w:r>
      <w:r>
        <w:rPr>
          <w:spacing w:val="-12"/>
        </w:rPr>
        <w:t> </w:t>
      </w:r>
      <w:r>
        <w:rPr/>
        <w:t>M.,</w:t>
      </w:r>
      <w:r>
        <w:rPr>
          <w:spacing w:val="-13"/>
        </w:rPr>
        <w:t> </w:t>
      </w:r>
      <w:r>
        <w:rPr/>
        <w:t>Prashida,</w:t>
      </w:r>
      <w:r>
        <w:rPr>
          <w:spacing w:val="-11"/>
        </w:rPr>
        <w:t> </w:t>
      </w:r>
      <w:r>
        <w:rPr/>
        <w:t>W.,</w:t>
      </w:r>
      <w:r>
        <w:rPr>
          <w:spacing w:val="-12"/>
        </w:rPr>
        <w:t> </w:t>
      </w:r>
      <w:r>
        <w:rPr/>
        <w:t>Saputro,</w:t>
      </w:r>
      <w:r>
        <w:rPr>
          <w:spacing w:val="-12"/>
        </w:rPr>
        <w:t> </w:t>
      </w:r>
      <w:r>
        <w:rPr/>
        <w:t>W., Gunawan, N.P., Raditya, T.Y., Muflikhun, M.A. (2020). Analysis of the Effect of Biodiesel B20 and</w:t>
      </w:r>
      <w:r>
        <w:rPr>
          <w:spacing w:val="36"/>
        </w:rPr>
        <w:t> </w:t>
      </w:r>
      <w:r>
        <w:rPr/>
        <w:t>B100</w:t>
      </w:r>
      <w:r>
        <w:rPr>
          <w:spacing w:val="37"/>
        </w:rPr>
        <w:t> </w:t>
      </w:r>
      <w:r>
        <w:rPr/>
        <w:t>on</w:t>
      </w:r>
      <w:r>
        <w:rPr>
          <w:spacing w:val="36"/>
        </w:rPr>
        <w:t> </w:t>
      </w:r>
      <w:r>
        <w:rPr/>
        <w:t>the</w:t>
      </w:r>
      <w:r>
        <w:rPr>
          <w:spacing w:val="34"/>
        </w:rPr>
        <w:t> </w:t>
      </w:r>
      <w:r>
        <w:rPr/>
        <w:t>Degradation</w:t>
      </w:r>
      <w:r>
        <w:rPr>
          <w:spacing w:val="36"/>
        </w:rPr>
        <w:t> </w:t>
      </w:r>
      <w:r>
        <w:rPr/>
        <w:t>of</w:t>
      </w:r>
      <w:r>
        <w:rPr>
          <w:spacing w:val="34"/>
        </w:rPr>
        <w:t> </w:t>
      </w:r>
      <w:r>
        <w:rPr/>
        <w:t>Viscosity</w:t>
      </w:r>
      <w:r>
        <w:rPr>
          <w:spacing w:val="36"/>
        </w:rPr>
        <w:t> </w:t>
      </w:r>
      <w:r>
        <w:rPr>
          <w:spacing w:val="-5"/>
        </w:rPr>
        <w:t>and</w:t>
      </w:r>
    </w:p>
    <w:p>
      <w:pPr>
        <w:pStyle w:val="BodyText"/>
        <w:spacing w:after="0"/>
        <w:sectPr>
          <w:type w:val="continuous"/>
          <w:pgSz w:w="12240" w:h="15840"/>
          <w:pgMar w:header="851" w:footer="1027" w:top="640" w:bottom="1180" w:left="1080" w:right="1080"/>
          <w:cols w:num="2" w:equalWidth="0">
            <w:col w:w="4946" w:space="178"/>
            <w:col w:w="4956"/>
          </w:cols>
        </w:sectPr>
      </w:pPr>
    </w:p>
    <w:p>
      <w:pPr>
        <w:pStyle w:val="BodyText"/>
        <w:spacing w:before="219"/>
        <w:ind w:left="0"/>
        <w:jc w:val="left"/>
      </w:pPr>
    </w:p>
    <w:p>
      <w:pPr>
        <w:pStyle w:val="BodyText"/>
        <w:spacing w:after="0"/>
        <w:jc w:val="left"/>
        <w:sectPr>
          <w:pgSz w:w="12240" w:h="15840"/>
          <w:pgMar w:header="851" w:footer="1027" w:top="1160" w:bottom="1220" w:left="1080" w:right="1080"/>
        </w:sectPr>
      </w:pPr>
    </w:p>
    <w:p>
      <w:pPr>
        <w:pStyle w:val="BodyText"/>
        <w:tabs>
          <w:tab w:pos="4183" w:val="left" w:leader="none"/>
        </w:tabs>
        <w:spacing w:before="91"/>
        <w:ind w:left="905" w:right="39"/>
      </w:pPr>
      <w:r>
        <w:rPr/>
        <w:t>Total Base Number of Lubricating Oil in Diesel Engines</w:t>
      </w:r>
      <w:r>
        <w:rPr>
          <w:spacing w:val="-10"/>
        </w:rPr>
        <w:t> </w:t>
      </w:r>
      <w:r>
        <w:rPr/>
        <w:t>with</w:t>
      </w:r>
      <w:r>
        <w:rPr>
          <w:spacing w:val="-9"/>
        </w:rPr>
        <w:t> </w:t>
      </w:r>
      <w:r>
        <w:rPr/>
        <w:t>Long-Term</w:t>
      </w:r>
      <w:r>
        <w:rPr>
          <w:spacing w:val="-10"/>
        </w:rPr>
        <w:t> </w:t>
      </w:r>
      <w:r>
        <w:rPr/>
        <w:t>Operation</w:t>
      </w:r>
      <w:r>
        <w:rPr>
          <w:spacing w:val="-9"/>
        </w:rPr>
        <w:t> </w:t>
      </w:r>
      <w:r>
        <w:rPr/>
        <w:t>Using</w:t>
      </w:r>
      <w:r>
        <w:rPr>
          <w:spacing w:val="-9"/>
        </w:rPr>
        <w:t> </w:t>
      </w:r>
      <w:r>
        <w:rPr/>
        <w:t>ASTM D2896 and ASTM D445-06 Methods. </w:t>
      </w:r>
      <w:r>
        <w:rPr>
          <w:i/>
        </w:rPr>
        <w:t>TEKNIK</w:t>
      </w:r>
      <w:r>
        <w:rPr/>
        <w:t>. </w:t>
      </w:r>
      <w:r>
        <w:rPr>
          <w:spacing w:val="-2"/>
        </w:rPr>
        <w:t>41(3),</w:t>
      </w:r>
      <w:r>
        <w:rPr/>
        <w:tab/>
      </w:r>
      <w:r>
        <w:rPr>
          <w:spacing w:val="-2"/>
        </w:rPr>
        <w:t>269-</w:t>
      </w:r>
      <w:r>
        <w:rPr>
          <w:spacing w:val="-4"/>
        </w:rPr>
        <w:t>274,</w:t>
      </w:r>
    </w:p>
    <w:p>
      <w:pPr>
        <w:pStyle w:val="BodyText"/>
        <w:ind w:left="905" w:right="44"/>
      </w:pPr>
      <w:r>
        <w:rPr/>
        <w:t>DOI: </w:t>
      </w:r>
      <w:hyperlink r:id="rId30">
        <w:r>
          <w:rPr/>
          <w:t>https://doi.org/10.14710/teknik.v41i3.3251</w:t>
        </w:r>
      </w:hyperlink>
      <w:r>
        <w:rPr/>
        <w:t> </w:t>
      </w:r>
      <w:hyperlink r:id="rId30">
        <w:r>
          <w:rPr>
            <w:spacing w:val="-10"/>
          </w:rPr>
          <w:t>5</w:t>
        </w:r>
      </w:hyperlink>
    </w:p>
    <w:p>
      <w:pPr>
        <w:pStyle w:val="BodyText"/>
        <w:ind w:left="905" w:right="41" w:hanging="567"/>
      </w:pPr>
      <w:r>
        <w:rPr/>
        <w:t>Shah, R., &amp; Precilla, A. M. (2024). Sustainable grease formulations: Evaluating key performance parameters and testing methodologies. </w:t>
      </w:r>
      <w:r>
        <w:rPr>
          <w:i/>
        </w:rPr>
        <w:t>Petro- </w:t>
      </w:r>
      <w:r>
        <w:rPr>
          <w:i/>
          <w:spacing w:val="-2"/>
        </w:rPr>
        <w:t>Online</w:t>
      </w:r>
      <w:r>
        <w:rPr>
          <w:spacing w:val="-2"/>
        </w:rPr>
        <w:t>.</w:t>
      </w:r>
    </w:p>
    <w:p>
      <w:pPr>
        <w:pStyle w:val="BodyText"/>
        <w:tabs>
          <w:tab w:pos="3045" w:val="left" w:leader="none"/>
          <w:tab w:pos="4652" w:val="left" w:leader="none"/>
        </w:tabs>
        <w:ind w:left="905" w:right="40" w:hanging="567"/>
      </w:pPr>
      <w:r>
        <w:rPr/>
        <w:t>Shah,</w:t>
      </w:r>
      <w:r>
        <w:rPr>
          <w:spacing w:val="-8"/>
        </w:rPr>
        <w:t> </w:t>
      </w:r>
      <w:r>
        <w:rPr/>
        <w:t>R.,</w:t>
      </w:r>
      <w:r>
        <w:rPr>
          <w:spacing w:val="-8"/>
        </w:rPr>
        <w:t> </w:t>
      </w:r>
      <w:r>
        <w:rPr/>
        <w:t>Tung,</w:t>
      </w:r>
      <w:r>
        <w:rPr>
          <w:spacing w:val="-8"/>
        </w:rPr>
        <w:t> </w:t>
      </w:r>
      <w:r>
        <w:rPr/>
        <w:t>S.,</w:t>
      </w:r>
      <w:r>
        <w:rPr>
          <w:spacing w:val="-8"/>
        </w:rPr>
        <w:t> </w:t>
      </w:r>
      <w:r>
        <w:rPr/>
        <w:t>Chen,</w:t>
      </w:r>
      <w:r>
        <w:rPr>
          <w:spacing w:val="-8"/>
        </w:rPr>
        <w:t> </w:t>
      </w:r>
      <w:r>
        <w:rPr/>
        <w:t>R.,</w:t>
      </w:r>
      <w:r>
        <w:rPr>
          <w:spacing w:val="-8"/>
        </w:rPr>
        <w:t> </w:t>
      </w:r>
      <w:r>
        <w:rPr/>
        <w:t>&amp;</w:t>
      </w:r>
      <w:r>
        <w:rPr>
          <w:spacing w:val="-8"/>
        </w:rPr>
        <w:t> </w:t>
      </w:r>
      <w:r>
        <w:rPr/>
        <w:t>Miller,</w:t>
      </w:r>
      <w:r>
        <w:rPr>
          <w:spacing w:val="-8"/>
        </w:rPr>
        <w:t> </w:t>
      </w:r>
      <w:r>
        <w:rPr/>
        <w:t>R.</w:t>
      </w:r>
      <w:r>
        <w:rPr>
          <w:spacing w:val="-8"/>
        </w:rPr>
        <w:t> </w:t>
      </w:r>
      <w:r>
        <w:rPr/>
        <w:t>(2021).</w:t>
      </w:r>
      <w:r>
        <w:rPr>
          <w:spacing w:val="-8"/>
        </w:rPr>
        <w:t> </w:t>
      </w:r>
      <w:r>
        <w:rPr/>
        <w:t>Grease performance</w:t>
      </w:r>
      <w:r>
        <w:rPr>
          <w:spacing w:val="-13"/>
        </w:rPr>
        <w:t> </w:t>
      </w:r>
      <w:r>
        <w:rPr/>
        <w:t>requirements</w:t>
      </w:r>
      <w:r>
        <w:rPr>
          <w:spacing w:val="-12"/>
        </w:rPr>
        <w:t> </w:t>
      </w:r>
      <w:r>
        <w:rPr/>
        <w:t>and</w:t>
      </w:r>
      <w:r>
        <w:rPr>
          <w:spacing w:val="-13"/>
        </w:rPr>
        <w:t> </w:t>
      </w:r>
      <w:r>
        <w:rPr/>
        <w:t>future</w:t>
      </w:r>
      <w:r>
        <w:rPr>
          <w:spacing w:val="-12"/>
        </w:rPr>
        <w:t> </w:t>
      </w:r>
      <w:r>
        <w:rPr/>
        <w:t>perspectives for electric and hybrid vehicle applications. </w:t>
      </w:r>
      <w:r>
        <w:rPr>
          <w:i/>
          <w:spacing w:val="-2"/>
        </w:rPr>
        <w:t>Lubricants</w:t>
      </w:r>
      <w:r>
        <w:rPr>
          <w:spacing w:val="-2"/>
        </w:rPr>
        <w:t>,</w:t>
      </w:r>
      <w:r>
        <w:rPr/>
        <w:tab/>
      </w:r>
      <w:r>
        <w:rPr>
          <w:spacing w:val="-4"/>
        </w:rPr>
        <w:t>9(4),</w:t>
      </w:r>
      <w:r>
        <w:rPr/>
        <w:tab/>
      </w:r>
      <w:r>
        <w:rPr>
          <w:spacing w:val="-5"/>
        </w:rPr>
        <w:t>40.</w:t>
      </w:r>
    </w:p>
    <w:p>
      <w:pPr>
        <w:pStyle w:val="BodyText"/>
        <w:ind w:right="45" w:firstLine="566"/>
      </w:pPr>
      <w:r>
        <w:rPr>
          <w:spacing w:val="-2"/>
        </w:rPr>
        <w:t>https://doi.org/10.3390/lubricants9040040</w:t>
      </w:r>
      <w:r>
        <w:rPr>
          <w:spacing w:val="40"/>
        </w:rPr>
        <w:t> </w:t>
      </w:r>
      <w:r>
        <w:rPr/>
        <w:t>Sharma,</w:t>
      </w:r>
      <w:r>
        <w:rPr>
          <w:spacing w:val="10"/>
        </w:rPr>
        <w:t> </w:t>
      </w:r>
      <w:r>
        <w:rPr/>
        <w:t>B.</w:t>
      </w:r>
      <w:r>
        <w:rPr>
          <w:spacing w:val="10"/>
        </w:rPr>
        <w:t> </w:t>
      </w:r>
      <w:r>
        <w:rPr/>
        <w:t>K.,</w:t>
      </w:r>
      <w:r>
        <w:rPr>
          <w:spacing w:val="8"/>
        </w:rPr>
        <w:t> </w:t>
      </w:r>
      <w:r>
        <w:rPr/>
        <w:t>Adhvaryu,</w:t>
      </w:r>
      <w:r>
        <w:rPr>
          <w:spacing w:val="10"/>
        </w:rPr>
        <w:t> </w:t>
      </w:r>
      <w:r>
        <w:rPr/>
        <w:t>A.,</w:t>
      </w:r>
      <w:r>
        <w:rPr>
          <w:spacing w:val="8"/>
        </w:rPr>
        <w:t> </w:t>
      </w:r>
      <w:r>
        <w:rPr/>
        <w:t>Perez,</w:t>
      </w:r>
      <w:r>
        <w:rPr>
          <w:spacing w:val="10"/>
        </w:rPr>
        <w:t> </w:t>
      </w:r>
      <w:r>
        <w:rPr/>
        <w:t>J.</w:t>
      </w:r>
      <w:r>
        <w:rPr>
          <w:spacing w:val="10"/>
        </w:rPr>
        <w:t> </w:t>
      </w:r>
      <w:r>
        <w:rPr/>
        <w:t>M.,</w:t>
      </w:r>
      <w:r>
        <w:rPr>
          <w:spacing w:val="10"/>
        </w:rPr>
        <w:t> </w:t>
      </w:r>
      <w:r>
        <w:rPr/>
        <w:t>&amp;</w:t>
      </w:r>
      <w:r>
        <w:rPr>
          <w:spacing w:val="9"/>
        </w:rPr>
        <w:t> </w:t>
      </w:r>
      <w:r>
        <w:rPr/>
        <w:t>Erhan,</w:t>
      </w:r>
      <w:r>
        <w:rPr>
          <w:spacing w:val="10"/>
        </w:rPr>
        <w:t> </w:t>
      </w:r>
      <w:r>
        <w:rPr>
          <w:spacing w:val="-5"/>
        </w:rPr>
        <w:t>S.</w:t>
      </w:r>
    </w:p>
    <w:p>
      <w:pPr>
        <w:spacing w:before="0"/>
        <w:ind w:left="905" w:right="38" w:firstLine="0"/>
        <w:jc w:val="both"/>
        <w:rPr>
          <w:sz w:val="20"/>
        </w:rPr>
      </w:pPr>
      <w:r>
        <w:rPr>
          <w:sz w:val="20"/>
        </w:rPr>
        <w:t>(2006).</w:t>
      </w:r>
      <w:r>
        <w:rPr>
          <w:spacing w:val="-2"/>
          <w:sz w:val="20"/>
        </w:rPr>
        <w:t> </w:t>
      </w:r>
      <w:r>
        <w:rPr>
          <w:sz w:val="20"/>
        </w:rPr>
        <w:t>Biobased grease with</w:t>
      </w:r>
      <w:r>
        <w:rPr>
          <w:spacing w:val="-2"/>
          <w:sz w:val="20"/>
        </w:rPr>
        <w:t> </w:t>
      </w:r>
      <w:r>
        <w:rPr>
          <w:sz w:val="20"/>
        </w:rPr>
        <w:t>improved</w:t>
      </w:r>
      <w:r>
        <w:rPr>
          <w:spacing w:val="-2"/>
          <w:sz w:val="20"/>
        </w:rPr>
        <w:t> </w:t>
      </w:r>
      <w:r>
        <w:rPr>
          <w:sz w:val="20"/>
        </w:rPr>
        <w:t>oxidation performance</w:t>
      </w:r>
      <w:r>
        <w:rPr>
          <w:spacing w:val="-3"/>
          <w:sz w:val="20"/>
        </w:rPr>
        <w:t> </w:t>
      </w:r>
      <w:r>
        <w:rPr>
          <w:sz w:val="20"/>
        </w:rPr>
        <w:t>for</w:t>
      </w:r>
      <w:r>
        <w:rPr>
          <w:spacing w:val="-3"/>
          <w:sz w:val="20"/>
        </w:rPr>
        <w:t> </w:t>
      </w:r>
      <w:r>
        <w:rPr>
          <w:sz w:val="20"/>
        </w:rPr>
        <w:t>industrial</w:t>
      </w:r>
      <w:r>
        <w:rPr>
          <w:spacing w:val="-1"/>
          <w:sz w:val="20"/>
        </w:rPr>
        <w:t> </w:t>
      </w:r>
      <w:r>
        <w:rPr>
          <w:sz w:val="20"/>
        </w:rPr>
        <w:t>application. </w:t>
      </w:r>
      <w:r>
        <w:rPr>
          <w:i/>
          <w:sz w:val="20"/>
        </w:rPr>
        <w:t>Journal</w:t>
      </w:r>
      <w:r>
        <w:rPr>
          <w:i/>
          <w:spacing w:val="-3"/>
          <w:sz w:val="20"/>
        </w:rPr>
        <w:t> </w:t>
      </w:r>
      <w:r>
        <w:rPr>
          <w:i/>
          <w:sz w:val="20"/>
        </w:rPr>
        <w:t>of Agricultural and Food Chemistry</w:t>
      </w:r>
      <w:r>
        <w:rPr>
          <w:sz w:val="20"/>
        </w:rPr>
        <w:t>, 54(20). </w:t>
      </w:r>
      <w:r>
        <w:rPr>
          <w:spacing w:val="-2"/>
          <w:sz w:val="20"/>
        </w:rPr>
        <w:t>https://doi.org/10.1021/jf061584c</w:t>
      </w:r>
    </w:p>
    <w:p>
      <w:pPr>
        <w:spacing w:before="0"/>
        <w:ind w:left="905" w:right="39" w:hanging="567"/>
        <w:jc w:val="both"/>
        <w:rPr>
          <w:sz w:val="20"/>
        </w:rPr>
      </w:pPr>
      <w:r>
        <w:rPr>
          <w:sz w:val="20"/>
        </w:rPr>
        <w:t>Sharma, U. C., &amp; Singh, N. (2019). Bio greases for environment friendly lubrication. In B. R. Gurjar &amp; S. Y. Rao (Eds.), </w:t>
      </w:r>
      <w:r>
        <w:rPr>
          <w:i/>
          <w:sz w:val="20"/>
        </w:rPr>
        <w:t>Environmental Science and Engineering</w:t>
      </w:r>
      <w:r>
        <w:rPr>
          <w:i/>
          <w:spacing w:val="-3"/>
          <w:sz w:val="20"/>
        </w:rPr>
        <w:t> </w:t>
      </w:r>
      <w:r>
        <w:rPr>
          <w:i/>
          <w:sz w:val="20"/>
        </w:rPr>
        <w:t>Vol.</w:t>
      </w:r>
      <w:r>
        <w:rPr>
          <w:i/>
          <w:spacing w:val="-3"/>
          <w:sz w:val="20"/>
        </w:rPr>
        <w:t> </w:t>
      </w:r>
      <w:r>
        <w:rPr>
          <w:i/>
          <w:sz w:val="20"/>
        </w:rPr>
        <w:t>1</w:t>
      </w:r>
      <w:r>
        <w:rPr>
          <w:i/>
          <w:spacing w:val="-3"/>
          <w:sz w:val="20"/>
        </w:rPr>
        <w:t> </w:t>
      </w:r>
      <w:r>
        <w:rPr>
          <w:i/>
          <w:sz w:val="20"/>
        </w:rPr>
        <w:t>Sustainable</w:t>
      </w:r>
      <w:r>
        <w:rPr>
          <w:i/>
          <w:spacing w:val="-3"/>
          <w:sz w:val="20"/>
        </w:rPr>
        <w:t> </w:t>
      </w:r>
      <w:r>
        <w:rPr>
          <w:i/>
          <w:sz w:val="20"/>
        </w:rPr>
        <w:t>Development </w:t>
      </w:r>
      <w:r>
        <w:rPr>
          <w:sz w:val="20"/>
        </w:rPr>
        <w:t>(pp. 305–317). Texas: Studium Press LLC.</w:t>
      </w:r>
    </w:p>
    <w:p>
      <w:pPr>
        <w:pStyle w:val="BodyText"/>
        <w:ind w:left="905" w:right="40" w:hanging="567"/>
      </w:pPr>
      <w:r>
        <w:rPr/>
        <w:t>Siskayanti,</w:t>
      </w:r>
      <w:r>
        <w:rPr>
          <w:spacing w:val="-13"/>
        </w:rPr>
        <w:t> </w:t>
      </w:r>
      <w:r>
        <w:rPr/>
        <w:t>R.,</w:t>
      </w:r>
      <w:r>
        <w:rPr>
          <w:spacing w:val="-12"/>
        </w:rPr>
        <w:t> </w:t>
      </w:r>
      <w:r>
        <w:rPr/>
        <w:t>&amp;</w:t>
      </w:r>
      <w:r>
        <w:rPr>
          <w:spacing w:val="-13"/>
        </w:rPr>
        <w:t> </w:t>
      </w:r>
      <w:r>
        <w:rPr/>
        <w:t>Kosim,</w:t>
      </w:r>
      <w:r>
        <w:rPr>
          <w:spacing w:val="-12"/>
        </w:rPr>
        <w:t> </w:t>
      </w:r>
      <w:r>
        <w:rPr/>
        <w:t>M.</w:t>
      </w:r>
      <w:r>
        <w:rPr>
          <w:spacing w:val="-13"/>
        </w:rPr>
        <w:t> </w:t>
      </w:r>
      <w:r>
        <w:rPr/>
        <w:t>E.</w:t>
      </w:r>
      <w:r>
        <w:rPr>
          <w:spacing w:val="-12"/>
        </w:rPr>
        <w:t> </w:t>
      </w:r>
      <w:r>
        <w:rPr/>
        <w:t>(2017).</w:t>
      </w:r>
      <w:r>
        <w:rPr>
          <w:spacing w:val="-13"/>
        </w:rPr>
        <w:t> </w:t>
      </w:r>
      <w:r>
        <w:rPr/>
        <w:t>Analisis</w:t>
      </w:r>
      <w:r>
        <w:rPr>
          <w:spacing w:val="-12"/>
        </w:rPr>
        <w:t> </w:t>
      </w:r>
      <w:r>
        <w:rPr/>
        <w:t>pengaruh bahan dasar terhadap indeks viskositas pelumas berbagai kekentalan. </w:t>
      </w:r>
      <w:r>
        <w:rPr>
          <w:i/>
        </w:rPr>
        <w:t>Jurnal Rekayasa Proses</w:t>
      </w:r>
      <w:r>
        <w:rPr/>
        <w:t>, </w:t>
      </w:r>
      <w:r>
        <w:rPr>
          <w:i/>
        </w:rPr>
        <w:t>11</w:t>
      </w:r>
      <w:r>
        <w:rPr/>
        <w:t>(2), 94–100.</w:t>
      </w:r>
    </w:p>
    <w:p>
      <w:pPr>
        <w:spacing w:before="1"/>
        <w:ind w:left="905" w:right="42" w:hanging="567"/>
        <w:jc w:val="both"/>
        <w:rPr>
          <w:sz w:val="20"/>
        </w:rPr>
      </w:pPr>
      <w:r>
        <w:rPr>
          <w:sz w:val="20"/>
        </w:rPr>
        <w:t>Siswanto, B. T. (2008). </w:t>
      </w:r>
      <w:r>
        <w:rPr>
          <w:i/>
          <w:sz w:val="20"/>
        </w:rPr>
        <w:t>Teknik alat berat untuk SMK </w:t>
      </w:r>
      <w:r>
        <w:rPr>
          <w:sz w:val="20"/>
        </w:rPr>
        <w:t>(Jilid 3). Direktorat Pembinaan Sekolah Menengah Kejuruan.</w:t>
      </w:r>
    </w:p>
    <w:p>
      <w:pPr>
        <w:spacing w:line="229" w:lineRule="exact" w:before="0"/>
        <w:ind w:left="338" w:right="0" w:firstLine="0"/>
        <w:jc w:val="both"/>
        <w:rPr>
          <w:sz w:val="20"/>
        </w:rPr>
      </w:pPr>
      <w:r>
        <w:rPr>
          <w:sz w:val="20"/>
        </w:rPr>
        <w:t>Soekartawi.</w:t>
      </w:r>
      <w:r>
        <w:rPr>
          <w:spacing w:val="-8"/>
          <w:sz w:val="20"/>
        </w:rPr>
        <w:t> </w:t>
      </w:r>
      <w:r>
        <w:rPr>
          <w:sz w:val="20"/>
        </w:rPr>
        <w:t>(1995).</w:t>
      </w:r>
      <w:r>
        <w:rPr>
          <w:spacing w:val="-7"/>
          <w:sz w:val="20"/>
        </w:rPr>
        <w:t> </w:t>
      </w:r>
      <w:r>
        <w:rPr>
          <w:i/>
          <w:sz w:val="20"/>
        </w:rPr>
        <w:t>Analisis</w:t>
      </w:r>
      <w:r>
        <w:rPr>
          <w:i/>
          <w:spacing w:val="-7"/>
          <w:sz w:val="20"/>
        </w:rPr>
        <w:t> </w:t>
      </w:r>
      <w:r>
        <w:rPr>
          <w:i/>
          <w:sz w:val="20"/>
        </w:rPr>
        <w:t>usahatani</w:t>
      </w:r>
      <w:r>
        <w:rPr>
          <w:sz w:val="20"/>
        </w:rPr>
        <w:t>.</w:t>
      </w:r>
      <w:r>
        <w:rPr>
          <w:spacing w:val="-7"/>
          <w:sz w:val="20"/>
        </w:rPr>
        <w:t> </w:t>
      </w:r>
      <w:r>
        <w:rPr>
          <w:sz w:val="20"/>
        </w:rPr>
        <w:t>UI-</w:t>
      </w:r>
      <w:r>
        <w:rPr>
          <w:spacing w:val="-2"/>
          <w:sz w:val="20"/>
        </w:rPr>
        <w:t>Press.</w:t>
      </w:r>
    </w:p>
    <w:p>
      <w:pPr>
        <w:pStyle w:val="BodyText"/>
      </w:pPr>
      <w:r>
        <w:rPr/>
        <w:t>Sofi,</w:t>
      </w:r>
      <w:r>
        <w:rPr>
          <w:spacing w:val="45"/>
        </w:rPr>
        <w:t> </w:t>
      </w:r>
      <w:r>
        <w:rPr/>
        <w:t>S.</w:t>
      </w:r>
      <w:r>
        <w:rPr>
          <w:spacing w:val="46"/>
        </w:rPr>
        <w:t> </w:t>
      </w:r>
      <w:r>
        <w:rPr/>
        <w:t>N.</w:t>
      </w:r>
      <w:r>
        <w:rPr>
          <w:spacing w:val="46"/>
        </w:rPr>
        <w:t> </w:t>
      </w:r>
      <w:r>
        <w:rPr/>
        <w:t>A.</w:t>
      </w:r>
      <w:r>
        <w:rPr>
          <w:spacing w:val="45"/>
        </w:rPr>
        <w:t> </w:t>
      </w:r>
      <w:r>
        <w:rPr/>
        <w:t>M.,</w:t>
      </w:r>
      <w:r>
        <w:rPr>
          <w:spacing w:val="46"/>
        </w:rPr>
        <w:t> </w:t>
      </w:r>
      <w:r>
        <w:rPr/>
        <w:t>Aziz,</w:t>
      </w:r>
      <w:r>
        <w:rPr>
          <w:spacing w:val="46"/>
        </w:rPr>
        <w:t> </w:t>
      </w:r>
      <w:r>
        <w:rPr/>
        <w:t>M.</w:t>
      </w:r>
      <w:r>
        <w:rPr>
          <w:spacing w:val="46"/>
        </w:rPr>
        <w:t> </w:t>
      </w:r>
      <w:r>
        <w:rPr/>
        <w:t>A.</w:t>
      </w:r>
      <w:r>
        <w:rPr>
          <w:spacing w:val="45"/>
        </w:rPr>
        <w:t> </w:t>
      </w:r>
      <w:r>
        <w:rPr/>
        <w:t>A.,</w:t>
      </w:r>
      <w:r>
        <w:rPr>
          <w:spacing w:val="46"/>
        </w:rPr>
        <w:t> </w:t>
      </w:r>
      <w:r>
        <w:rPr/>
        <w:t>Japar,</w:t>
      </w:r>
      <w:r>
        <w:rPr>
          <w:spacing w:val="46"/>
        </w:rPr>
        <w:t> </w:t>
      </w:r>
      <w:r>
        <w:rPr/>
        <w:t>N.</w:t>
      </w:r>
      <w:r>
        <w:rPr>
          <w:spacing w:val="45"/>
        </w:rPr>
        <w:t> </w:t>
      </w:r>
      <w:r>
        <w:rPr/>
        <w:t>S.</w:t>
      </w:r>
      <w:r>
        <w:rPr>
          <w:spacing w:val="46"/>
        </w:rPr>
        <w:t> </w:t>
      </w:r>
      <w:r>
        <w:rPr>
          <w:spacing w:val="-5"/>
        </w:rPr>
        <w:t>A.,</w:t>
      </w:r>
    </w:p>
    <w:p>
      <w:pPr>
        <w:pStyle w:val="BodyText"/>
        <w:spacing w:line="229" w:lineRule="exact" w:before="1"/>
        <w:ind w:left="905"/>
      </w:pPr>
      <w:r>
        <w:rPr/>
        <w:t>Rahman,</w:t>
      </w:r>
      <w:r>
        <w:rPr>
          <w:spacing w:val="1"/>
        </w:rPr>
        <w:t> </w:t>
      </w:r>
      <w:r>
        <w:rPr/>
        <w:t>N.</w:t>
      </w:r>
      <w:r>
        <w:rPr>
          <w:spacing w:val="1"/>
        </w:rPr>
        <w:t> </w:t>
      </w:r>
      <w:r>
        <w:rPr/>
        <w:t>W.</w:t>
      </w:r>
      <w:r>
        <w:rPr>
          <w:spacing w:val="1"/>
        </w:rPr>
        <w:t> </w:t>
      </w:r>
      <w:r>
        <w:rPr/>
        <w:t>A.,</w:t>
      </w:r>
      <w:r>
        <w:rPr>
          <w:spacing w:val="1"/>
        </w:rPr>
        <w:t> </w:t>
      </w:r>
      <w:r>
        <w:rPr/>
        <w:t>Abdulhalim,</w:t>
      </w:r>
      <w:r>
        <w:rPr>
          <w:spacing w:val="1"/>
        </w:rPr>
        <w:t> </w:t>
      </w:r>
      <w:r>
        <w:rPr/>
        <w:t>A.</w:t>
      </w:r>
      <w:r>
        <w:rPr>
          <w:spacing w:val="1"/>
        </w:rPr>
        <w:t> </w:t>
      </w:r>
      <w:r>
        <w:rPr/>
        <w:t>R.,</w:t>
      </w:r>
      <w:r>
        <w:rPr>
          <w:spacing w:val="2"/>
        </w:rPr>
        <w:t> </w:t>
      </w:r>
      <w:r>
        <w:rPr/>
        <w:t>&amp;</w:t>
      </w:r>
      <w:r>
        <w:rPr>
          <w:spacing w:val="1"/>
        </w:rPr>
        <w:t> </w:t>
      </w:r>
      <w:r>
        <w:rPr>
          <w:spacing w:val="-2"/>
        </w:rPr>
        <w:t>Yunus,</w:t>
      </w:r>
    </w:p>
    <w:p>
      <w:pPr>
        <w:tabs>
          <w:tab w:pos="2807" w:val="left" w:leader="none"/>
          <w:tab w:pos="4249" w:val="left" w:leader="none"/>
        </w:tabs>
        <w:spacing w:before="0"/>
        <w:ind w:left="905" w:right="41" w:firstLine="0"/>
        <w:jc w:val="both"/>
        <w:rPr>
          <w:sz w:val="20"/>
        </w:rPr>
      </w:pPr>
      <w:r>
        <w:rPr>
          <w:sz w:val="20"/>
        </w:rPr>
        <w:t>M.</w:t>
      </w:r>
      <w:r>
        <w:rPr>
          <w:spacing w:val="-11"/>
          <w:sz w:val="20"/>
        </w:rPr>
        <w:t> </w:t>
      </w:r>
      <w:r>
        <w:rPr>
          <w:sz w:val="20"/>
        </w:rPr>
        <w:t>Y.</w:t>
      </w:r>
      <w:r>
        <w:rPr>
          <w:spacing w:val="-11"/>
          <w:sz w:val="20"/>
        </w:rPr>
        <w:t> </w:t>
      </w:r>
      <w:r>
        <w:rPr>
          <w:sz w:val="20"/>
        </w:rPr>
        <w:t>M.</w:t>
      </w:r>
      <w:r>
        <w:rPr>
          <w:spacing w:val="-11"/>
          <w:sz w:val="20"/>
        </w:rPr>
        <w:t> </w:t>
      </w:r>
      <w:r>
        <w:rPr>
          <w:sz w:val="20"/>
        </w:rPr>
        <w:t>(2019).</w:t>
      </w:r>
      <w:r>
        <w:rPr>
          <w:spacing w:val="-11"/>
          <w:sz w:val="20"/>
        </w:rPr>
        <w:t> </w:t>
      </w:r>
      <w:r>
        <w:rPr>
          <w:sz w:val="20"/>
        </w:rPr>
        <w:t>Preparation</w:t>
      </w:r>
      <w:r>
        <w:rPr>
          <w:spacing w:val="-12"/>
          <w:sz w:val="20"/>
        </w:rPr>
        <w:t> </w:t>
      </w:r>
      <w:r>
        <w:rPr>
          <w:sz w:val="20"/>
        </w:rPr>
        <w:t>and</w:t>
      </w:r>
      <w:r>
        <w:rPr>
          <w:spacing w:val="-11"/>
          <w:sz w:val="20"/>
        </w:rPr>
        <w:t> </w:t>
      </w:r>
      <w:r>
        <w:rPr>
          <w:sz w:val="20"/>
        </w:rPr>
        <w:t>characterization of grease formulated from waste transformer oil. </w:t>
      </w:r>
      <w:r>
        <w:rPr>
          <w:i/>
          <w:sz w:val="20"/>
        </w:rPr>
        <w:t>IOP Conference Series: Materials Science and </w:t>
      </w:r>
      <w:r>
        <w:rPr>
          <w:i/>
          <w:spacing w:val="-2"/>
          <w:sz w:val="20"/>
        </w:rPr>
        <w:t>Engineering</w:t>
      </w:r>
      <w:r>
        <w:rPr>
          <w:spacing w:val="-2"/>
          <w:sz w:val="20"/>
        </w:rPr>
        <w:t>,</w:t>
      </w:r>
      <w:r>
        <w:rPr>
          <w:sz w:val="20"/>
        </w:rPr>
        <w:tab/>
      </w:r>
      <w:r>
        <w:rPr>
          <w:spacing w:val="-2"/>
          <w:sz w:val="20"/>
        </w:rPr>
        <w:t>702(1),</w:t>
      </w:r>
      <w:r>
        <w:rPr>
          <w:sz w:val="20"/>
        </w:rPr>
        <w:tab/>
      </w:r>
      <w:r>
        <w:rPr>
          <w:spacing w:val="-2"/>
          <w:sz w:val="20"/>
        </w:rPr>
        <w:t>012034.</w:t>
      </w:r>
    </w:p>
    <w:p>
      <w:pPr>
        <w:tabs>
          <w:tab w:pos="1815" w:val="left" w:leader="none"/>
          <w:tab w:pos="2801" w:val="left" w:leader="none"/>
          <w:tab w:pos="3927" w:val="left" w:leader="none"/>
        </w:tabs>
        <w:spacing w:before="1"/>
        <w:ind w:left="338" w:right="38" w:firstLine="566"/>
        <w:jc w:val="right"/>
        <w:rPr>
          <w:sz w:val="20"/>
        </w:rPr>
      </w:pPr>
      <w:r>
        <w:rPr>
          <w:spacing w:val="-2"/>
          <w:sz w:val="20"/>
        </w:rPr>
        <w:t>https://doi.org/10.1088/1757-899X/702/1/012034 </w:t>
      </w:r>
      <w:r>
        <w:rPr>
          <w:sz w:val="20"/>
        </w:rPr>
        <w:t>Sonjaya,</w:t>
      </w:r>
      <w:r>
        <w:rPr>
          <w:spacing w:val="40"/>
          <w:sz w:val="20"/>
        </w:rPr>
        <w:t> </w:t>
      </w:r>
      <w:r>
        <w:rPr>
          <w:sz w:val="20"/>
        </w:rPr>
        <w:t>A.</w:t>
      </w:r>
      <w:r>
        <w:rPr>
          <w:spacing w:val="40"/>
          <w:sz w:val="20"/>
        </w:rPr>
        <w:t> </w:t>
      </w:r>
      <w:r>
        <w:rPr>
          <w:sz w:val="20"/>
        </w:rPr>
        <w:t>N.,</w:t>
      </w:r>
      <w:r>
        <w:rPr>
          <w:spacing w:val="40"/>
          <w:sz w:val="20"/>
        </w:rPr>
        <w:t> </w:t>
      </w:r>
      <w:r>
        <w:rPr>
          <w:sz w:val="20"/>
        </w:rPr>
        <w:t>&amp;</w:t>
      </w:r>
      <w:r>
        <w:rPr>
          <w:spacing w:val="40"/>
          <w:sz w:val="20"/>
        </w:rPr>
        <w:t> </w:t>
      </w:r>
      <w:r>
        <w:rPr>
          <w:sz w:val="20"/>
        </w:rPr>
        <w:t>Rahmasari,</w:t>
      </w:r>
      <w:r>
        <w:rPr>
          <w:spacing w:val="40"/>
          <w:sz w:val="20"/>
        </w:rPr>
        <w:t> </w:t>
      </w:r>
      <w:r>
        <w:rPr>
          <w:sz w:val="20"/>
        </w:rPr>
        <w:t>F.</w:t>
      </w:r>
      <w:r>
        <w:rPr>
          <w:spacing w:val="40"/>
          <w:sz w:val="20"/>
        </w:rPr>
        <w:t> </w:t>
      </w:r>
      <w:r>
        <w:rPr>
          <w:sz w:val="20"/>
        </w:rPr>
        <w:t>(2019).</w:t>
      </w:r>
      <w:r>
        <w:rPr>
          <w:spacing w:val="40"/>
          <w:sz w:val="20"/>
        </w:rPr>
        <w:t> </w:t>
      </w:r>
      <w:r>
        <w:rPr>
          <w:i/>
          <w:sz w:val="20"/>
        </w:rPr>
        <w:t>Pengujian pelumas</w:t>
      </w:r>
      <w:r>
        <w:rPr>
          <w:i/>
          <w:spacing w:val="40"/>
          <w:sz w:val="20"/>
        </w:rPr>
        <w:t> </w:t>
      </w:r>
      <w:r>
        <w:rPr>
          <w:i/>
          <w:sz w:val="20"/>
        </w:rPr>
        <w:t>bekas</w:t>
      </w:r>
      <w:r>
        <w:rPr>
          <w:i/>
          <w:spacing w:val="40"/>
          <w:sz w:val="20"/>
        </w:rPr>
        <w:t> </w:t>
      </w:r>
      <w:r>
        <w:rPr>
          <w:i/>
          <w:sz w:val="20"/>
        </w:rPr>
        <w:t>SAE</w:t>
      </w:r>
      <w:r>
        <w:rPr>
          <w:i/>
          <w:spacing w:val="40"/>
          <w:sz w:val="20"/>
        </w:rPr>
        <w:t> </w:t>
      </w:r>
      <w:r>
        <w:rPr>
          <w:i/>
          <w:sz w:val="20"/>
        </w:rPr>
        <w:t>15W-40</w:t>
      </w:r>
      <w:r>
        <w:rPr>
          <w:i/>
          <w:spacing w:val="40"/>
          <w:sz w:val="20"/>
        </w:rPr>
        <w:t> </w:t>
      </w:r>
      <w:r>
        <w:rPr>
          <w:i/>
          <w:sz w:val="20"/>
        </w:rPr>
        <w:t>API</w:t>
      </w:r>
      <w:r>
        <w:rPr>
          <w:i/>
          <w:spacing w:val="40"/>
          <w:sz w:val="20"/>
        </w:rPr>
        <w:t> </w:t>
      </w:r>
      <w:r>
        <w:rPr>
          <w:i/>
          <w:sz w:val="20"/>
        </w:rPr>
        <w:t>CI-4</w:t>
      </w:r>
      <w:r>
        <w:rPr>
          <w:sz w:val="20"/>
        </w:rPr>
        <w:t>.</w:t>
      </w:r>
      <w:r>
        <w:rPr>
          <w:spacing w:val="40"/>
          <w:sz w:val="20"/>
        </w:rPr>
        <w:t> </w:t>
      </w:r>
      <w:r>
        <w:rPr>
          <w:sz w:val="20"/>
        </w:rPr>
        <w:t>Jurnal </w:t>
      </w:r>
      <w:r>
        <w:rPr>
          <w:spacing w:val="-2"/>
          <w:sz w:val="20"/>
        </w:rPr>
        <w:t>Teknologi,</w:t>
      </w:r>
      <w:r>
        <w:rPr>
          <w:sz w:val="20"/>
        </w:rPr>
        <w:tab/>
      </w:r>
      <w:r>
        <w:rPr>
          <w:spacing w:val="-4"/>
          <w:sz w:val="20"/>
        </w:rPr>
        <w:t>7(1),</w:t>
      </w:r>
      <w:r>
        <w:rPr>
          <w:sz w:val="20"/>
        </w:rPr>
        <w:tab/>
      </w:r>
      <w:r>
        <w:rPr>
          <w:spacing w:val="-2"/>
          <w:sz w:val="20"/>
        </w:rPr>
        <w:t>76-85.</w:t>
      </w:r>
      <w:r>
        <w:rPr>
          <w:sz w:val="20"/>
        </w:rPr>
        <w:tab/>
      </w:r>
      <w:r>
        <w:rPr>
          <w:spacing w:val="-4"/>
          <w:sz w:val="20"/>
        </w:rPr>
        <w:t>DOI:</w:t>
      </w:r>
    </w:p>
    <w:p>
      <w:pPr>
        <w:pStyle w:val="BodyText"/>
        <w:spacing w:line="229" w:lineRule="exact"/>
        <w:ind w:left="905"/>
        <w:jc w:val="left"/>
      </w:pPr>
      <w:r>
        <w:rPr>
          <w:spacing w:val="-2"/>
        </w:rPr>
        <w:t>https://doi.org/10.31479/jtek.v7i1.33</w:t>
      </w:r>
    </w:p>
    <w:p>
      <w:pPr>
        <w:spacing w:before="1"/>
        <w:ind w:left="905" w:right="39" w:hanging="567"/>
        <w:jc w:val="both"/>
        <w:rPr>
          <w:sz w:val="20"/>
        </w:rPr>
      </w:pPr>
      <w:r>
        <w:rPr>
          <w:sz w:val="20"/>
        </w:rPr>
        <w:t>Stambaugh,</w:t>
      </w:r>
      <w:r>
        <w:rPr>
          <w:spacing w:val="-13"/>
          <w:sz w:val="20"/>
        </w:rPr>
        <w:t> </w:t>
      </w:r>
      <w:r>
        <w:rPr>
          <w:sz w:val="20"/>
        </w:rPr>
        <w:t>R.</w:t>
      </w:r>
      <w:r>
        <w:rPr>
          <w:spacing w:val="-12"/>
          <w:sz w:val="20"/>
        </w:rPr>
        <w:t> </w:t>
      </w:r>
      <w:r>
        <w:rPr>
          <w:sz w:val="20"/>
        </w:rPr>
        <w:t>L.,</w:t>
      </w:r>
      <w:r>
        <w:rPr>
          <w:spacing w:val="-13"/>
          <w:sz w:val="20"/>
        </w:rPr>
        <w:t> </w:t>
      </w:r>
      <w:r>
        <w:rPr>
          <w:sz w:val="20"/>
        </w:rPr>
        <w:t>&amp;</w:t>
      </w:r>
      <w:r>
        <w:rPr>
          <w:spacing w:val="-12"/>
          <w:sz w:val="20"/>
        </w:rPr>
        <w:t> </w:t>
      </w:r>
      <w:r>
        <w:rPr>
          <w:sz w:val="20"/>
        </w:rPr>
        <w:t>Kinker,</w:t>
      </w:r>
      <w:r>
        <w:rPr>
          <w:spacing w:val="-13"/>
          <w:sz w:val="20"/>
        </w:rPr>
        <w:t> </w:t>
      </w:r>
      <w:r>
        <w:rPr>
          <w:sz w:val="20"/>
        </w:rPr>
        <w:t>B.</w:t>
      </w:r>
      <w:r>
        <w:rPr>
          <w:spacing w:val="-12"/>
          <w:sz w:val="20"/>
        </w:rPr>
        <w:t> </w:t>
      </w:r>
      <w:r>
        <w:rPr>
          <w:sz w:val="20"/>
        </w:rPr>
        <w:t>G.</w:t>
      </w:r>
      <w:r>
        <w:rPr>
          <w:spacing w:val="-13"/>
          <w:sz w:val="20"/>
        </w:rPr>
        <w:t> </w:t>
      </w:r>
      <w:r>
        <w:rPr>
          <w:sz w:val="20"/>
        </w:rPr>
        <w:t>(2011).</w:t>
      </w:r>
      <w:r>
        <w:rPr>
          <w:spacing w:val="-12"/>
          <w:sz w:val="20"/>
        </w:rPr>
        <w:t> </w:t>
      </w:r>
      <w:r>
        <w:rPr>
          <w:i/>
          <w:sz w:val="20"/>
        </w:rPr>
        <w:t>Chemistry</w:t>
      </w:r>
      <w:r>
        <w:rPr>
          <w:i/>
          <w:spacing w:val="-13"/>
          <w:sz w:val="20"/>
        </w:rPr>
        <w:t> </w:t>
      </w:r>
      <w:r>
        <w:rPr>
          <w:i/>
          <w:sz w:val="20"/>
        </w:rPr>
        <w:t>and technology of lubricants </w:t>
      </w:r>
      <w:r>
        <w:rPr>
          <w:sz w:val="20"/>
        </w:rPr>
        <w:t>(3rd ed.). Springer.</w:t>
      </w:r>
    </w:p>
    <w:p>
      <w:pPr>
        <w:pStyle w:val="BodyText"/>
        <w:ind w:left="905" w:right="44" w:hanging="567"/>
      </w:pPr>
      <w:r>
        <w:rPr/>
        <w:t>Sukirno,</w:t>
      </w:r>
      <w:r>
        <w:rPr>
          <w:spacing w:val="-10"/>
        </w:rPr>
        <w:t> </w:t>
      </w:r>
      <w:r>
        <w:rPr/>
        <w:t>&amp;</w:t>
      </w:r>
      <w:r>
        <w:rPr>
          <w:spacing w:val="-8"/>
        </w:rPr>
        <w:t> </w:t>
      </w:r>
      <w:r>
        <w:rPr/>
        <w:t>Fajar,</w:t>
      </w:r>
      <w:r>
        <w:rPr>
          <w:spacing w:val="-8"/>
        </w:rPr>
        <w:t> </w:t>
      </w:r>
      <w:r>
        <w:rPr/>
        <w:t>R.</w:t>
      </w:r>
      <w:r>
        <w:rPr>
          <w:spacing w:val="-10"/>
        </w:rPr>
        <w:t> </w:t>
      </w:r>
      <w:r>
        <w:rPr/>
        <w:t>(2024).</w:t>
      </w:r>
      <w:r>
        <w:rPr>
          <w:spacing w:val="-12"/>
        </w:rPr>
        <w:t> </w:t>
      </w:r>
      <w:r>
        <w:rPr/>
        <w:t>Metode</w:t>
      </w:r>
      <w:r>
        <w:rPr>
          <w:spacing w:val="-8"/>
        </w:rPr>
        <w:t> </w:t>
      </w:r>
      <w:r>
        <w:rPr/>
        <w:t>untuk</w:t>
      </w:r>
      <w:r>
        <w:rPr>
          <w:spacing w:val="-7"/>
        </w:rPr>
        <w:t> </w:t>
      </w:r>
      <w:r>
        <w:rPr/>
        <w:t>memproduksi pelumas ramah lingkungan dan produk yang dihasilkan (Biolub SAE-30 dan SAE-40).</w:t>
      </w:r>
    </w:p>
    <w:p>
      <w:pPr>
        <w:pStyle w:val="BodyText"/>
        <w:ind w:left="905" w:right="39" w:hanging="567"/>
      </w:pPr>
      <w:r>
        <w:rPr/>
        <w:t>Sukirno, R. F., Bismo, S., &amp; Nasikin, M. (2009). Bio grease based on palm oil and lithium soap thickener:</w:t>
      </w:r>
      <w:r>
        <w:rPr>
          <w:spacing w:val="-9"/>
        </w:rPr>
        <w:t> </w:t>
      </w:r>
      <w:r>
        <w:rPr/>
        <w:t>Evaluation</w:t>
      </w:r>
      <w:r>
        <w:rPr>
          <w:spacing w:val="-9"/>
        </w:rPr>
        <w:t> </w:t>
      </w:r>
      <w:r>
        <w:rPr/>
        <w:t>of</w:t>
      </w:r>
      <w:r>
        <w:rPr>
          <w:spacing w:val="-10"/>
        </w:rPr>
        <w:t> </w:t>
      </w:r>
      <w:r>
        <w:rPr/>
        <w:t>antiwear</w:t>
      </w:r>
      <w:r>
        <w:rPr>
          <w:spacing w:val="-7"/>
        </w:rPr>
        <w:t> </w:t>
      </w:r>
      <w:r>
        <w:rPr/>
        <w:t>property.</w:t>
      </w:r>
      <w:r>
        <w:rPr>
          <w:spacing w:val="-6"/>
        </w:rPr>
        <w:t> </w:t>
      </w:r>
      <w:r>
        <w:rPr>
          <w:i/>
        </w:rPr>
        <w:t>World Applied</w:t>
      </w:r>
      <w:r>
        <w:rPr>
          <w:i/>
          <w:spacing w:val="58"/>
          <w:w w:val="150"/>
        </w:rPr>
        <w:t> </w:t>
      </w:r>
      <w:r>
        <w:rPr>
          <w:i/>
        </w:rPr>
        <w:t>Sciences</w:t>
      </w:r>
      <w:r>
        <w:rPr>
          <w:i/>
          <w:spacing w:val="57"/>
          <w:w w:val="150"/>
        </w:rPr>
        <w:t> </w:t>
      </w:r>
      <w:r>
        <w:rPr>
          <w:i/>
        </w:rPr>
        <w:t>Journal</w:t>
      </w:r>
      <w:r>
        <w:rPr/>
        <w:t>,</w:t>
      </w:r>
      <w:r>
        <w:rPr>
          <w:spacing w:val="78"/>
        </w:rPr>
        <w:t> </w:t>
      </w:r>
      <w:r>
        <w:rPr/>
        <w:t>3,</w:t>
      </w:r>
      <w:r>
        <w:rPr>
          <w:spacing w:val="58"/>
          <w:w w:val="150"/>
        </w:rPr>
        <w:t> </w:t>
      </w:r>
      <w:r>
        <w:rPr/>
        <w:t>401–407.</w:t>
      </w:r>
      <w:r>
        <w:rPr>
          <w:spacing w:val="57"/>
          <w:w w:val="150"/>
        </w:rPr>
        <w:t> </w:t>
      </w:r>
      <w:r>
        <w:rPr>
          <w:spacing w:val="-4"/>
        </w:rPr>
        <w:t>ISSN</w:t>
      </w:r>
    </w:p>
    <w:p>
      <w:pPr>
        <w:pStyle w:val="BodyText"/>
        <w:spacing w:line="229" w:lineRule="exact"/>
        <w:ind w:left="905"/>
        <w:jc w:val="left"/>
      </w:pPr>
      <w:r>
        <w:rPr>
          <w:spacing w:val="-2"/>
        </w:rPr>
        <w:t>1818-</w:t>
      </w:r>
      <w:r>
        <w:rPr>
          <w:spacing w:val="-4"/>
        </w:rPr>
        <w:t>4952</w:t>
      </w:r>
    </w:p>
    <w:p>
      <w:pPr>
        <w:pStyle w:val="BodyText"/>
        <w:spacing w:before="91"/>
        <w:ind w:left="905" w:right="49" w:hanging="567"/>
      </w:pPr>
      <w:r>
        <w:rPr/>
        <w:br w:type="column"/>
      </w:r>
      <w:r>
        <w:rPr/>
        <w:t>Sukirno,</w:t>
      </w:r>
      <w:r>
        <w:rPr>
          <w:spacing w:val="-13"/>
        </w:rPr>
        <w:t> </w:t>
      </w:r>
      <w:r>
        <w:rPr/>
        <w:t>L.,</w:t>
      </w:r>
      <w:r>
        <w:rPr>
          <w:spacing w:val="-12"/>
        </w:rPr>
        <w:t> </w:t>
      </w:r>
      <w:r>
        <w:rPr/>
        <w:t>Rizqon,</w:t>
      </w:r>
      <w:r>
        <w:rPr>
          <w:spacing w:val="-13"/>
        </w:rPr>
        <w:t> </w:t>
      </w:r>
      <w:r>
        <w:rPr/>
        <w:t>B.,</w:t>
      </w:r>
      <w:r>
        <w:rPr>
          <w:spacing w:val="-12"/>
        </w:rPr>
        <w:t> </w:t>
      </w:r>
      <w:r>
        <w:rPr/>
        <w:t>Bismo,</w:t>
      </w:r>
      <w:r>
        <w:rPr>
          <w:spacing w:val="-13"/>
        </w:rPr>
        <w:t> </w:t>
      </w:r>
      <w:r>
        <w:rPr/>
        <w:t>S.,</w:t>
      </w:r>
      <w:r>
        <w:rPr>
          <w:spacing w:val="-12"/>
        </w:rPr>
        <w:t> </w:t>
      </w:r>
      <w:r>
        <w:rPr/>
        <w:t>&amp;</w:t>
      </w:r>
      <w:r>
        <w:rPr>
          <w:spacing w:val="-13"/>
        </w:rPr>
        <w:t> </w:t>
      </w:r>
      <w:r>
        <w:rPr/>
        <w:t>Nasikin,</w:t>
      </w:r>
      <w:r>
        <w:rPr>
          <w:spacing w:val="-12"/>
        </w:rPr>
        <w:t> </w:t>
      </w:r>
      <w:r>
        <w:rPr/>
        <w:t>M.</w:t>
      </w:r>
      <w:r>
        <w:rPr>
          <w:spacing w:val="-13"/>
        </w:rPr>
        <w:t> </w:t>
      </w:r>
      <w:r>
        <w:rPr/>
        <w:t>(2010). Formulation and performance of palm-grease using calcium soap. </w:t>
      </w:r>
      <w:r>
        <w:rPr>
          <w:i/>
        </w:rPr>
        <w:t>CIGR E-journal</w:t>
      </w:r>
      <w:r>
        <w:rPr/>
        <w:t>, </w:t>
      </w:r>
      <w:r>
        <w:rPr>
          <w:i/>
        </w:rPr>
        <w:t>12</w:t>
      </w:r>
      <w:r>
        <w:rPr/>
        <w:t>, 1–10.</w:t>
      </w:r>
    </w:p>
    <w:p>
      <w:pPr>
        <w:pStyle w:val="BodyText"/>
        <w:spacing w:line="229" w:lineRule="exact"/>
      </w:pPr>
      <w:r>
        <w:rPr/>
        <w:t>Sultana, N.,</w:t>
      </w:r>
      <w:r>
        <w:rPr>
          <w:spacing w:val="-1"/>
        </w:rPr>
        <w:t> </w:t>
      </w:r>
      <w:r>
        <w:rPr/>
        <w:t>Roddick,</w:t>
      </w:r>
      <w:r>
        <w:rPr>
          <w:spacing w:val="-1"/>
        </w:rPr>
        <w:t> </w:t>
      </w:r>
      <w:r>
        <w:rPr/>
        <w:t>F.,</w:t>
      </w:r>
      <w:r>
        <w:rPr>
          <w:spacing w:val="1"/>
        </w:rPr>
        <w:t> </w:t>
      </w:r>
      <w:r>
        <w:rPr/>
        <w:t>Gao,</w:t>
      </w:r>
      <w:r>
        <w:rPr>
          <w:spacing w:val="-1"/>
        </w:rPr>
        <w:t> </w:t>
      </w:r>
      <w:r>
        <w:rPr/>
        <w:t>L.,</w:t>
      </w:r>
      <w:r>
        <w:rPr>
          <w:spacing w:val="-1"/>
        </w:rPr>
        <w:t> </w:t>
      </w:r>
      <w:r>
        <w:rPr/>
        <w:t>Guo,</w:t>
      </w:r>
      <w:r>
        <w:rPr>
          <w:spacing w:val="-1"/>
        </w:rPr>
        <w:t> </w:t>
      </w:r>
      <w:r>
        <w:rPr/>
        <w:t>M., &amp; </w:t>
      </w:r>
      <w:r>
        <w:rPr>
          <w:spacing w:val="-2"/>
        </w:rPr>
        <w:t>Pramanik,</w:t>
      </w:r>
    </w:p>
    <w:p>
      <w:pPr>
        <w:pStyle w:val="BodyText"/>
        <w:ind w:left="905" w:right="50"/>
      </w:pPr>
      <w:r>
        <w:rPr/>
        <w:t>B. K. (2022). Understanding the properties</w:t>
      </w:r>
      <w:r>
        <w:rPr>
          <w:spacing w:val="-1"/>
        </w:rPr>
        <w:t> </w:t>
      </w:r>
      <w:r>
        <w:rPr/>
        <w:t>of fat, oil, and grease and their removal using grease interceptors.</w:t>
      </w:r>
      <w:r>
        <w:rPr>
          <w:spacing w:val="74"/>
          <w:w w:val="150"/>
        </w:rPr>
        <w:t>   </w:t>
      </w:r>
      <w:r>
        <w:rPr>
          <w:i/>
        </w:rPr>
        <w:t>Water</w:t>
      </w:r>
      <w:r>
        <w:rPr>
          <w:i/>
          <w:spacing w:val="75"/>
          <w:w w:val="150"/>
        </w:rPr>
        <w:t>   </w:t>
      </w:r>
      <w:r>
        <w:rPr>
          <w:i/>
        </w:rPr>
        <w:t>Research</w:t>
      </w:r>
      <w:r>
        <w:rPr/>
        <w:t>,</w:t>
      </w:r>
      <w:r>
        <w:rPr>
          <w:spacing w:val="74"/>
          <w:w w:val="150"/>
        </w:rPr>
        <w:t>   </w:t>
      </w:r>
      <w:r>
        <w:rPr>
          <w:spacing w:val="-4"/>
        </w:rPr>
        <w:t>225.</w:t>
      </w:r>
    </w:p>
    <w:p>
      <w:pPr>
        <w:pStyle w:val="BodyText"/>
        <w:ind w:right="53" w:firstLine="566"/>
      </w:pPr>
      <w:hyperlink r:id="rId31">
        <w:r>
          <w:rPr>
            <w:spacing w:val="-2"/>
          </w:rPr>
          <w:t>https://doi.org/10.1016/j.watres.2022.119141</w:t>
        </w:r>
      </w:hyperlink>
      <w:r>
        <w:rPr>
          <w:spacing w:val="-2"/>
        </w:rPr>
        <w:t> </w:t>
      </w:r>
      <w:r>
        <w:rPr/>
        <w:t>Susilowati,</w:t>
      </w:r>
      <w:r>
        <w:rPr>
          <w:spacing w:val="12"/>
        </w:rPr>
        <w:t> </w:t>
      </w:r>
      <w:r>
        <w:rPr/>
        <w:t>P.</w:t>
      </w:r>
      <w:r>
        <w:rPr>
          <w:spacing w:val="13"/>
        </w:rPr>
        <w:t> </w:t>
      </w:r>
      <w:r>
        <w:rPr/>
        <w:t>(2023).</w:t>
      </w:r>
      <w:r>
        <w:rPr>
          <w:spacing w:val="16"/>
        </w:rPr>
        <w:t> </w:t>
      </w:r>
      <w:r>
        <w:rPr/>
        <w:t>Pengaruh</w:t>
      </w:r>
      <w:r>
        <w:rPr>
          <w:spacing w:val="13"/>
        </w:rPr>
        <w:t> </w:t>
      </w:r>
      <w:r>
        <w:rPr/>
        <w:t>penambahan</w:t>
      </w:r>
      <w:r>
        <w:rPr>
          <w:spacing w:val="13"/>
        </w:rPr>
        <w:t> </w:t>
      </w:r>
      <w:r>
        <w:rPr>
          <w:spacing w:val="-2"/>
        </w:rPr>
        <w:t>overbased</w:t>
      </w:r>
    </w:p>
    <w:p>
      <w:pPr>
        <w:pStyle w:val="BodyText"/>
        <w:ind w:left="905" w:right="54"/>
      </w:pPr>
      <w:r>
        <w:rPr/>
        <w:t>calcium sulfonate terhadap gemuk kalsium oleat kompleks </w:t>
      </w:r>
      <w:r>
        <w:rPr>
          <w:i/>
        </w:rPr>
        <w:t>Tesis</w:t>
      </w:r>
      <w:r>
        <w:rPr/>
        <w:t>. Universitas Indonesia</w:t>
      </w:r>
    </w:p>
    <w:p>
      <w:pPr>
        <w:spacing w:before="1"/>
        <w:ind w:left="905" w:right="52" w:hanging="567"/>
        <w:jc w:val="both"/>
        <w:rPr>
          <w:sz w:val="20"/>
        </w:rPr>
      </w:pPr>
      <w:r>
        <w:rPr>
          <w:sz w:val="20"/>
        </w:rPr>
        <w:t>Totten, G. E. (2006). </w:t>
      </w:r>
      <w:r>
        <w:rPr>
          <w:i/>
          <w:sz w:val="20"/>
        </w:rPr>
        <w:t>Handbook of lubrication and tribology </w:t>
      </w:r>
      <w:r>
        <w:rPr>
          <w:sz w:val="20"/>
        </w:rPr>
        <w:t>(Vol. 1, 2nd ed.). CRC Press.</w:t>
      </w:r>
    </w:p>
    <w:p>
      <w:pPr>
        <w:pStyle w:val="BodyText"/>
        <w:spacing w:line="228" w:lineRule="exact"/>
      </w:pPr>
      <w:r>
        <w:rPr/>
        <w:t>Turton,</w:t>
      </w:r>
      <w:r>
        <w:rPr>
          <w:spacing w:val="-7"/>
        </w:rPr>
        <w:t> </w:t>
      </w:r>
      <w:r>
        <w:rPr/>
        <w:t>R.,</w:t>
      </w:r>
      <w:r>
        <w:rPr>
          <w:spacing w:val="-4"/>
        </w:rPr>
        <w:t> </w:t>
      </w:r>
      <w:r>
        <w:rPr/>
        <w:t>Bailie,</w:t>
      </w:r>
      <w:r>
        <w:rPr>
          <w:spacing w:val="-5"/>
        </w:rPr>
        <w:t> </w:t>
      </w:r>
      <w:r>
        <w:rPr/>
        <w:t>R.</w:t>
      </w:r>
      <w:r>
        <w:rPr>
          <w:spacing w:val="-5"/>
        </w:rPr>
        <w:t> </w:t>
      </w:r>
      <w:r>
        <w:rPr/>
        <w:t>C.,</w:t>
      </w:r>
      <w:r>
        <w:rPr>
          <w:spacing w:val="-4"/>
        </w:rPr>
        <w:t> </w:t>
      </w:r>
      <w:r>
        <w:rPr/>
        <w:t>Whiting,</w:t>
      </w:r>
      <w:r>
        <w:rPr>
          <w:spacing w:val="-5"/>
        </w:rPr>
        <w:t> </w:t>
      </w:r>
      <w:r>
        <w:rPr/>
        <w:t>W.</w:t>
      </w:r>
      <w:r>
        <w:rPr>
          <w:spacing w:val="-4"/>
        </w:rPr>
        <w:t> </w:t>
      </w:r>
      <w:r>
        <w:rPr/>
        <w:t>B.,</w:t>
      </w:r>
      <w:r>
        <w:rPr>
          <w:spacing w:val="-7"/>
        </w:rPr>
        <w:t> </w:t>
      </w:r>
      <w:r>
        <w:rPr/>
        <w:t>&amp;</w:t>
      </w:r>
      <w:r>
        <w:rPr>
          <w:spacing w:val="-3"/>
        </w:rPr>
        <w:t> </w:t>
      </w:r>
      <w:r>
        <w:rPr/>
        <w:t>Shaeiwitz,</w:t>
      </w:r>
      <w:r>
        <w:rPr>
          <w:spacing w:val="-5"/>
        </w:rPr>
        <w:t> J.</w:t>
      </w:r>
    </w:p>
    <w:p>
      <w:pPr>
        <w:spacing w:before="1"/>
        <w:ind w:left="905" w:right="52" w:firstLine="0"/>
        <w:jc w:val="both"/>
        <w:rPr>
          <w:sz w:val="20"/>
        </w:rPr>
      </w:pPr>
      <w:r>
        <w:rPr>
          <w:sz w:val="20"/>
        </w:rPr>
        <w:t>A. (2009). </w:t>
      </w:r>
      <w:r>
        <w:rPr>
          <w:i/>
          <w:sz w:val="20"/>
        </w:rPr>
        <w:t>Analysis, synthesis, and design of chemical processes </w:t>
      </w:r>
      <w:r>
        <w:rPr>
          <w:sz w:val="20"/>
        </w:rPr>
        <w:t>(3rd ed.). Pearson Education, </w:t>
      </w:r>
      <w:r>
        <w:rPr>
          <w:spacing w:val="-4"/>
          <w:sz w:val="20"/>
        </w:rPr>
        <w:t>Inc.</w:t>
      </w:r>
    </w:p>
    <w:p>
      <w:pPr>
        <w:pStyle w:val="BodyText"/>
        <w:spacing w:before="1"/>
        <w:ind w:left="905" w:right="51" w:hanging="567"/>
      </w:pPr>
      <w:r>
        <w:rPr/>
        <w:t>Wagiman,</w:t>
      </w:r>
      <w:r>
        <w:rPr>
          <w:spacing w:val="-4"/>
        </w:rPr>
        <w:t> </w:t>
      </w:r>
      <w:r>
        <w:rPr/>
        <w:t>A.</w:t>
      </w:r>
      <w:r>
        <w:rPr>
          <w:spacing w:val="-4"/>
        </w:rPr>
        <w:t> </w:t>
      </w:r>
      <w:r>
        <w:rPr/>
        <w:t>M.</w:t>
      </w:r>
      <w:r>
        <w:rPr>
          <w:spacing w:val="-3"/>
        </w:rPr>
        <w:t> </w:t>
      </w:r>
      <w:r>
        <w:rPr/>
        <w:t>F.,</w:t>
      </w:r>
      <w:r>
        <w:rPr>
          <w:spacing w:val="-4"/>
        </w:rPr>
        <w:t> </w:t>
      </w:r>
      <w:r>
        <w:rPr/>
        <w:t>Jumali,</w:t>
      </w:r>
      <w:r>
        <w:rPr>
          <w:spacing w:val="-4"/>
        </w:rPr>
        <w:t> </w:t>
      </w:r>
      <w:r>
        <w:rPr/>
        <w:t>M.,</w:t>
      </w:r>
      <w:r>
        <w:rPr>
          <w:spacing w:val="-4"/>
        </w:rPr>
        <w:t> </w:t>
      </w:r>
      <w:r>
        <w:rPr/>
        <w:t>&amp;</w:t>
      </w:r>
      <w:r>
        <w:rPr>
          <w:spacing w:val="-3"/>
        </w:rPr>
        <w:t> </w:t>
      </w:r>
      <w:r>
        <w:rPr/>
        <w:t>Sukardi.</w:t>
      </w:r>
      <w:r>
        <w:rPr>
          <w:spacing w:val="-6"/>
        </w:rPr>
        <w:t> </w:t>
      </w:r>
      <w:r>
        <w:rPr/>
        <w:t>(2011).</w:t>
      </w:r>
      <w:r>
        <w:rPr>
          <w:spacing w:val="-6"/>
        </w:rPr>
        <w:t> </w:t>
      </w:r>
      <w:r>
        <w:rPr/>
        <w:t>Efek perlakuan kimiawi dan hidrotermolisis pada biomas tanaman jagung (</w:t>
      </w:r>
      <w:r>
        <w:rPr>
          <w:i/>
        </w:rPr>
        <w:t>Zea mays </w:t>
      </w:r>
      <w:r>
        <w:rPr/>
        <w:t>L.) sebagai substrat</w:t>
      </w:r>
      <w:r>
        <w:rPr>
          <w:spacing w:val="-5"/>
        </w:rPr>
        <w:t> </w:t>
      </w:r>
      <w:r>
        <w:rPr/>
        <w:t>produksi</w:t>
      </w:r>
      <w:r>
        <w:rPr>
          <w:spacing w:val="-4"/>
        </w:rPr>
        <w:t> </w:t>
      </w:r>
      <w:r>
        <w:rPr/>
        <w:t>bioetanol.</w:t>
      </w:r>
      <w:r>
        <w:rPr>
          <w:spacing w:val="-3"/>
        </w:rPr>
        <w:t> </w:t>
      </w:r>
      <w:r>
        <w:rPr>
          <w:i/>
        </w:rPr>
        <w:t>Agritech</w:t>
      </w:r>
      <w:r>
        <w:rPr/>
        <w:t>,</w:t>
      </w:r>
      <w:r>
        <w:rPr>
          <w:spacing w:val="-4"/>
        </w:rPr>
        <w:t> </w:t>
      </w:r>
      <w:r>
        <w:rPr>
          <w:i/>
        </w:rPr>
        <w:t>31</w:t>
      </w:r>
      <w:r>
        <w:rPr/>
        <w:t>(2),</w:t>
      </w:r>
      <w:r>
        <w:rPr>
          <w:spacing w:val="-6"/>
        </w:rPr>
        <w:t> </w:t>
      </w:r>
      <w:r>
        <w:rPr>
          <w:spacing w:val="-4"/>
        </w:rPr>
        <w:t>146–</w:t>
      </w:r>
    </w:p>
    <w:p>
      <w:pPr>
        <w:pStyle w:val="BodyText"/>
        <w:tabs>
          <w:tab w:pos="974" w:val="left" w:leader="none"/>
          <w:tab w:pos="1588" w:val="left" w:leader="none"/>
          <w:tab w:pos="2413" w:val="left" w:leader="none"/>
          <w:tab w:pos="3429" w:val="left" w:leader="none"/>
          <w:tab w:pos="4065" w:val="left" w:leader="none"/>
        </w:tabs>
        <w:ind w:right="49" w:firstLine="566"/>
        <w:jc w:val="left"/>
      </w:pPr>
      <w:r>
        <w:rPr/>
        <w:t>152. DOI: </w:t>
      </w:r>
      <w:hyperlink r:id="rId32">
        <w:r>
          <w:rPr/>
          <w:t>https://doi.org/10.22146/agritech.9738</w:t>
        </w:r>
      </w:hyperlink>
      <w:r>
        <w:rPr/>
        <w:t> Zahir,</w:t>
      </w:r>
      <w:r>
        <w:rPr>
          <w:spacing w:val="38"/>
        </w:rPr>
        <w:t> </w:t>
      </w:r>
      <w:r>
        <w:rPr/>
        <w:t>O.</w:t>
      </w:r>
      <w:r>
        <w:rPr>
          <w:spacing w:val="39"/>
        </w:rPr>
        <w:t> </w:t>
      </w:r>
      <w:r>
        <w:rPr/>
        <w:t>S.</w:t>
      </w:r>
      <w:r>
        <w:rPr>
          <w:spacing w:val="38"/>
        </w:rPr>
        <w:t> </w:t>
      </w:r>
      <w:r>
        <w:rPr/>
        <w:t>D.</w:t>
      </w:r>
      <w:r>
        <w:rPr>
          <w:spacing w:val="39"/>
        </w:rPr>
        <w:t> </w:t>
      </w:r>
      <w:r>
        <w:rPr/>
        <w:t>(2012).</w:t>
      </w:r>
      <w:r>
        <w:rPr>
          <w:spacing w:val="40"/>
        </w:rPr>
        <w:t> </w:t>
      </w:r>
      <w:r>
        <w:rPr/>
        <w:t>Penggunaan</w:t>
      </w:r>
      <w:r>
        <w:rPr>
          <w:spacing w:val="39"/>
        </w:rPr>
        <w:t> </w:t>
      </w:r>
      <w:r>
        <w:rPr/>
        <w:t>asam</w:t>
      </w:r>
      <w:r>
        <w:rPr>
          <w:spacing w:val="39"/>
        </w:rPr>
        <w:t> </w:t>
      </w:r>
      <w:r>
        <w:rPr/>
        <w:t>stearat</w:t>
      </w:r>
      <w:r>
        <w:rPr>
          <w:spacing w:val="38"/>
        </w:rPr>
        <w:t> </w:t>
      </w:r>
      <w:r>
        <w:rPr/>
        <w:t>dan </w:t>
      </w:r>
      <w:r>
        <w:rPr>
          <w:spacing w:val="-4"/>
        </w:rPr>
        <w:t>asam</w:t>
      </w:r>
      <w:r>
        <w:rPr/>
        <w:tab/>
      </w:r>
      <w:r>
        <w:rPr>
          <w:spacing w:val="-2"/>
        </w:rPr>
        <w:t>oleat</w:t>
      </w:r>
      <w:r>
        <w:rPr/>
        <w:tab/>
      </w:r>
      <w:r>
        <w:rPr>
          <w:spacing w:val="-2"/>
        </w:rPr>
        <w:t>sebagai</w:t>
      </w:r>
      <w:r>
        <w:rPr/>
        <w:tab/>
      </w:r>
      <w:r>
        <w:rPr>
          <w:spacing w:val="-2"/>
        </w:rPr>
        <w:t>pengganti</w:t>
      </w:r>
      <w:r>
        <w:rPr/>
        <w:tab/>
      </w:r>
      <w:r>
        <w:rPr>
          <w:spacing w:val="-4"/>
        </w:rPr>
        <w:t>asam</w:t>
      </w:r>
      <w:r>
        <w:rPr/>
        <w:tab/>
      </w:r>
      <w:r>
        <w:rPr>
          <w:spacing w:val="-4"/>
        </w:rPr>
        <w:t>12-</w:t>
      </w:r>
    </w:p>
    <w:p>
      <w:pPr>
        <w:pStyle w:val="BodyText"/>
        <w:ind w:left="905" w:right="53"/>
      </w:pPr>
      <w:r>
        <w:rPr/>
        <w:t>hidroksistearat dalam pembuatan sabun sebagai thickener pada gemuk bio kalsium kompleks </w:t>
      </w:r>
      <w:r>
        <w:rPr>
          <w:i/>
        </w:rPr>
        <w:t>Tesis</w:t>
      </w:r>
      <w:r>
        <w:rPr/>
        <w:t>, Universitas Indonesia.</w:t>
      </w:r>
    </w:p>
    <w:p>
      <w:pPr>
        <w:pStyle w:val="BodyText"/>
        <w:ind w:left="905" w:right="49" w:hanging="567"/>
      </w:pPr>
      <w:r>
        <w:rPr/>
        <w:t>Zhornik, V. I., Zapolsky, A. V., Ivakhnik, A. V., &amp; Parnitsky, A. M. (2021). Development of the method and optimization of the composition and modes</w:t>
      </w:r>
      <w:r>
        <w:rPr>
          <w:spacing w:val="-5"/>
        </w:rPr>
        <w:t> </w:t>
      </w:r>
      <w:r>
        <w:rPr/>
        <w:t>of</w:t>
      </w:r>
      <w:r>
        <w:rPr>
          <w:spacing w:val="-4"/>
        </w:rPr>
        <w:t> </w:t>
      </w:r>
      <w:r>
        <w:rPr/>
        <w:t>obtaining</w:t>
      </w:r>
      <w:r>
        <w:rPr>
          <w:spacing w:val="-5"/>
        </w:rPr>
        <w:t> </w:t>
      </w:r>
      <w:r>
        <w:rPr/>
        <w:t>the</w:t>
      </w:r>
      <w:r>
        <w:rPr>
          <w:spacing w:val="-6"/>
        </w:rPr>
        <w:t> </w:t>
      </w:r>
      <w:r>
        <w:rPr/>
        <w:t>biodegradable</w:t>
      </w:r>
      <w:r>
        <w:rPr>
          <w:spacing w:val="-6"/>
        </w:rPr>
        <w:t> </w:t>
      </w:r>
      <w:r>
        <w:rPr/>
        <w:t>grease</w:t>
      </w:r>
      <w:r>
        <w:rPr>
          <w:spacing w:val="-4"/>
        </w:rPr>
        <w:t> </w:t>
      </w:r>
      <w:r>
        <w:rPr/>
        <w:t>with the lithium-calcium thickener. </w:t>
      </w:r>
      <w:r>
        <w:rPr>
          <w:i/>
        </w:rPr>
        <w:t>Materials Science in</w:t>
      </w:r>
      <w:r>
        <w:rPr>
          <w:i/>
          <w:spacing w:val="71"/>
          <w:w w:val="150"/>
        </w:rPr>
        <w:t>  </w:t>
      </w:r>
      <w:r>
        <w:rPr>
          <w:i/>
        </w:rPr>
        <w:t>Mechanical</w:t>
      </w:r>
      <w:r>
        <w:rPr>
          <w:i/>
          <w:spacing w:val="72"/>
          <w:w w:val="150"/>
        </w:rPr>
        <w:t>  </w:t>
      </w:r>
      <w:r>
        <w:rPr>
          <w:i/>
        </w:rPr>
        <w:t>Engineering</w:t>
      </w:r>
      <w:r>
        <w:rPr/>
        <w:t>,</w:t>
      </w:r>
      <w:r>
        <w:rPr>
          <w:spacing w:val="71"/>
          <w:w w:val="150"/>
        </w:rPr>
        <w:t>  </w:t>
      </w:r>
      <w:r>
        <w:rPr/>
        <w:t>2,</w:t>
      </w:r>
      <w:r>
        <w:rPr>
          <w:spacing w:val="71"/>
          <w:w w:val="150"/>
        </w:rPr>
        <w:t>  </w:t>
      </w:r>
      <w:r>
        <w:rPr/>
        <w:t>60-</w:t>
      </w:r>
      <w:r>
        <w:rPr>
          <w:spacing w:val="-5"/>
        </w:rPr>
        <w:t>72.</w:t>
      </w:r>
    </w:p>
    <w:p>
      <w:pPr>
        <w:pStyle w:val="BodyText"/>
        <w:ind w:left="905" w:right="224"/>
        <w:jc w:val="left"/>
      </w:pPr>
      <w:r>
        <w:rPr>
          <w:spacing w:val="-2"/>
        </w:rPr>
        <w:t>https://doi.org/10.46864/1995-0470-2021-2-55- 60-72.</w:t>
      </w:r>
    </w:p>
    <w:sectPr>
      <w:type w:val="continuous"/>
      <w:pgSz w:w="12240" w:h="15840"/>
      <w:pgMar w:header="851" w:footer="1027" w:top="640" w:bottom="1180" w:left="1080" w:right="1080"/>
      <w:cols w:num="2" w:equalWidth="0">
        <w:col w:w="4945" w:space="180"/>
        <w:col w:w="495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198720">
              <wp:simplePos x="0" y="0"/>
              <wp:positionH relativeFrom="page">
                <wp:posOffset>888288</wp:posOffset>
              </wp:positionH>
              <wp:positionV relativeFrom="page">
                <wp:posOffset>9287634</wp:posOffset>
              </wp:positionV>
              <wp:extent cx="1842770" cy="1739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42770"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10.14710/teknik.v46i3.71079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731.309814pt;width:145.1pt;height:13.7pt;mso-position-horizontal-relative:page;mso-position-vertical-relative:page;z-index:-16117760" type="#_x0000_t202" id="docshape1"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10.14710/teknik.v46i3.71079</w:t>
                    </w:r>
                  </w:p>
                </w:txbxContent>
              </v:textbox>
              <w10:wrap type="none"/>
            </v:shape>
          </w:pict>
        </mc:Fallback>
      </mc:AlternateContent>
    </w:r>
    <w:r>
      <w:rPr/>
      <mc:AlternateContent>
        <mc:Choice Requires="wps">
          <w:drawing>
            <wp:anchor distT="0" distB="0" distL="0" distR="0" allowOverlap="1" layoutInCell="1" locked="0" behindDoc="1" simplePos="0" relativeHeight="487199232">
              <wp:simplePos x="0" y="0"/>
              <wp:positionH relativeFrom="page">
                <wp:posOffset>3205098</wp:posOffset>
              </wp:positionH>
              <wp:positionV relativeFrom="page">
                <wp:posOffset>9287634</wp:posOffset>
              </wp:positionV>
              <wp:extent cx="3789045" cy="1739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789045" cy="173990"/>
                      </a:xfrm>
                      <a:prstGeom prst="rect">
                        <a:avLst/>
                      </a:prstGeom>
                    </wps:spPr>
                    <wps:txbx>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 style="position:absolute;margin-left:252.369995pt;margin-top:731.309814pt;width:298.350pt;height:13.7pt;mso-position-horizontal-relative:page;mso-position-vertical-relative:page;z-index:-16117248" type="#_x0000_t202" id="docshape2" filled="false" stroked="false">
              <v:textbox inset="0,0,0,0">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200256">
              <wp:simplePos x="0" y="0"/>
              <wp:positionH relativeFrom="page">
                <wp:posOffset>888288</wp:posOffset>
              </wp:positionH>
              <wp:positionV relativeFrom="page">
                <wp:posOffset>9266298</wp:posOffset>
              </wp:positionV>
              <wp:extent cx="1842770" cy="17399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842770"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10.14710/teknik.v46i3.71079</w:t>
                          </w:r>
                        </w:p>
                      </w:txbxContent>
                    </wps:txbx>
                    <wps:bodyPr wrap="square" lIns="0" tIns="0" rIns="0" bIns="0" rtlCol="0">
                      <a:noAutofit/>
                    </wps:bodyPr>
                  </wps:wsp>
                </a:graphicData>
              </a:graphic>
            </wp:anchor>
          </w:drawing>
        </mc:Choice>
        <mc:Fallback>
          <w:pict>
            <v:shape style="position:absolute;margin-left:69.944pt;margin-top:729.629822pt;width:145.1pt;height:13.7pt;mso-position-horizontal-relative:page;mso-position-vertical-relative:page;z-index:-16116224" type="#_x0000_t202" id="docshape19"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10.14710/teknik.v46i3.71079</w:t>
                    </w:r>
                  </w:p>
                </w:txbxContent>
              </v:textbox>
              <w10:wrap type="none"/>
            </v:shape>
          </w:pict>
        </mc:Fallback>
      </mc:AlternateContent>
    </w:r>
    <w:r>
      <w:rPr/>
      <mc:AlternateContent>
        <mc:Choice Requires="wps">
          <w:drawing>
            <wp:anchor distT="0" distB="0" distL="0" distR="0" allowOverlap="1" layoutInCell="1" locked="0" behindDoc="1" simplePos="0" relativeHeight="487200768">
              <wp:simplePos x="0" y="0"/>
              <wp:positionH relativeFrom="page">
                <wp:posOffset>3205098</wp:posOffset>
              </wp:positionH>
              <wp:positionV relativeFrom="page">
                <wp:posOffset>9266298</wp:posOffset>
              </wp:positionV>
              <wp:extent cx="3789045" cy="17399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789045" cy="173990"/>
                      </a:xfrm>
                      <a:prstGeom prst="rect">
                        <a:avLst/>
                      </a:prstGeom>
                    </wps:spPr>
                    <wps:txbx>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wps:txbx>
                    <wps:bodyPr wrap="square" lIns="0" tIns="0" rIns="0" bIns="0" rtlCol="0">
                      <a:noAutofit/>
                    </wps:bodyPr>
                  </wps:wsp>
                </a:graphicData>
              </a:graphic>
            </wp:anchor>
          </w:drawing>
        </mc:Choice>
        <mc:Fallback>
          <w:pict>
            <v:shape style="position:absolute;margin-left:252.369995pt;margin-top:729.629822pt;width:298.350pt;height:13.7pt;mso-position-horizontal-relative:page;mso-position-vertical-relative:page;z-index:-16115712" type="#_x0000_t202" id="docshape20" filled="false" stroked="false">
              <v:textbox inset="0,0,0,0">
                <w:txbxContent>
                  <w:p>
                    <w:pPr>
                      <w:spacing w:before="12"/>
                      <w:ind w:left="20" w:right="0" w:firstLine="0"/>
                      <w:jc w:val="left"/>
                      <w:rPr>
                        <w:sz w:val="21"/>
                      </w:rPr>
                    </w:pPr>
                    <w:r>
                      <w:rPr>
                        <w:sz w:val="21"/>
                      </w:rPr>
                      <w:t>Copyright</w:t>
                    </w:r>
                    <w:r>
                      <w:rPr>
                        <w:spacing w:val="-12"/>
                        <w:sz w:val="21"/>
                      </w:rPr>
                      <w:t> </w:t>
                    </w:r>
                    <w:r>
                      <w:rPr>
                        <w:sz w:val="21"/>
                      </w:rPr>
                      <w:t>©</w:t>
                    </w:r>
                    <w:r>
                      <w:rPr>
                        <w:spacing w:val="-6"/>
                        <w:sz w:val="21"/>
                      </w:rPr>
                      <w:t> </w:t>
                    </w:r>
                    <w:r>
                      <w:rPr>
                        <w:sz w:val="21"/>
                      </w:rPr>
                      <w:t>2025,</w:t>
                    </w:r>
                    <w:r>
                      <w:rPr>
                        <w:spacing w:val="-8"/>
                        <w:sz w:val="21"/>
                      </w:rPr>
                      <w:t> </w:t>
                    </w:r>
                    <w:r>
                      <w:rPr>
                        <w:sz w:val="21"/>
                      </w:rPr>
                      <w:t>TEKNIK,</w:t>
                    </w:r>
                    <w:r>
                      <w:rPr>
                        <w:spacing w:val="-7"/>
                        <w:sz w:val="21"/>
                      </w:rPr>
                      <w:t> </w:t>
                    </w:r>
                    <w:r>
                      <w:rPr>
                        <w:sz w:val="21"/>
                      </w:rPr>
                      <w:t>p-ISSN:</w:t>
                    </w:r>
                    <w:r>
                      <w:rPr>
                        <w:spacing w:val="-7"/>
                        <w:sz w:val="21"/>
                      </w:rPr>
                      <w:t> </w:t>
                    </w:r>
                    <w:r>
                      <w:rPr>
                        <w:sz w:val="21"/>
                      </w:rPr>
                      <w:t>0852-1697,</w:t>
                    </w:r>
                    <w:r>
                      <w:rPr>
                        <w:spacing w:val="-6"/>
                        <w:sz w:val="21"/>
                      </w:rPr>
                      <w:t> </w:t>
                    </w:r>
                    <w:r>
                      <w:rPr>
                        <w:sz w:val="21"/>
                      </w:rPr>
                      <w:t>e-ISSN:</w:t>
                    </w:r>
                    <w:r>
                      <w:rPr>
                        <w:spacing w:val="-6"/>
                        <w:sz w:val="21"/>
                      </w:rPr>
                      <w:t> </w:t>
                    </w:r>
                    <w:r>
                      <w:rPr>
                        <w:sz w:val="21"/>
                      </w:rPr>
                      <w:t>2460-</w:t>
                    </w:r>
                    <w:r>
                      <w:rPr>
                        <w:spacing w:val="-4"/>
                        <w:sz w:val="21"/>
                      </w:rPr>
                      <w:t>9919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199744">
              <wp:simplePos x="0" y="0"/>
              <wp:positionH relativeFrom="page">
                <wp:posOffset>2949067</wp:posOffset>
              </wp:positionH>
              <wp:positionV relativeFrom="page">
                <wp:posOffset>527923</wp:posOffset>
              </wp:positionV>
              <wp:extent cx="2094864" cy="22288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094864" cy="222885"/>
                      </a:xfrm>
                      <a:prstGeom prst="rect">
                        <a:avLst/>
                      </a:prstGeom>
                    </wps:spPr>
                    <wps:txbx>
                      <w:txbxContent>
                        <w:p>
                          <w:pPr>
                            <w:spacing w:before="9"/>
                            <w:ind w:left="20" w:right="0" w:firstLine="0"/>
                            <w:jc w:val="left"/>
                            <w:rPr>
                              <w:b/>
                              <w:sz w:val="28"/>
                            </w:rPr>
                          </w:pPr>
                          <w:r>
                            <w:rPr>
                              <w:b/>
                              <w:sz w:val="28"/>
                            </w:rPr>
                            <w:t>TEKNIK,</w:t>
                          </w:r>
                          <w:r>
                            <w:rPr>
                              <w:b/>
                              <w:spacing w:val="-9"/>
                              <w:sz w:val="28"/>
                            </w:rPr>
                            <w:t> </w:t>
                          </w:r>
                          <w:r>
                            <w:rPr>
                              <w:b/>
                              <w:sz w:val="28"/>
                            </w:rPr>
                            <w:t>46</w:t>
                          </w:r>
                          <w:r>
                            <w:rPr>
                              <w:b/>
                              <w:spacing w:val="-2"/>
                              <w:sz w:val="28"/>
                            </w:rPr>
                            <w:t> </w:t>
                          </w:r>
                          <w:r>
                            <w:rPr>
                              <w:b/>
                              <w:sz w:val="28"/>
                            </w:rPr>
                            <w:t>(3),</w:t>
                          </w:r>
                          <w:r>
                            <w:rPr>
                              <w:b/>
                              <w:spacing w:val="-4"/>
                              <w:sz w:val="28"/>
                            </w:rPr>
                            <w:t> </w:t>
                          </w:r>
                          <w:r>
                            <w:rPr>
                              <w:b/>
                              <w:sz w:val="28"/>
                            </w:rPr>
                            <w:t>2025,</w:t>
                          </w:r>
                          <w:r>
                            <w:rPr>
                              <w:b/>
                              <w:spacing w:val="-4"/>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219</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32.210007pt;margin-top:41.568771pt;width:164.95pt;height:17.55pt;mso-position-horizontal-relative:page;mso-position-vertical-relative:page;z-index:-16116736" type="#_x0000_t202" id="docshape18" filled="false" stroked="false">
              <v:textbox inset="0,0,0,0">
                <w:txbxContent>
                  <w:p>
                    <w:pPr>
                      <w:spacing w:before="9"/>
                      <w:ind w:left="20" w:right="0" w:firstLine="0"/>
                      <w:jc w:val="left"/>
                      <w:rPr>
                        <w:b/>
                        <w:sz w:val="28"/>
                      </w:rPr>
                    </w:pPr>
                    <w:r>
                      <w:rPr>
                        <w:b/>
                        <w:sz w:val="28"/>
                      </w:rPr>
                      <w:t>TEKNIK,</w:t>
                    </w:r>
                    <w:r>
                      <w:rPr>
                        <w:b/>
                        <w:spacing w:val="-9"/>
                        <w:sz w:val="28"/>
                      </w:rPr>
                      <w:t> </w:t>
                    </w:r>
                    <w:r>
                      <w:rPr>
                        <w:b/>
                        <w:sz w:val="28"/>
                      </w:rPr>
                      <w:t>46</w:t>
                    </w:r>
                    <w:r>
                      <w:rPr>
                        <w:b/>
                        <w:spacing w:val="-2"/>
                        <w:sz w:val="28"/>
                      </w:rPr>
                      <w:t> </w:t>
                    </w:r>
                    <w:r>
                      <w:rPr>
                        <w:b/>
                        <w:sz w:val="28"/>
                      </w:rPr>
                      <w:t>(3),</w:t>
                    </w:r>
                    <w:r>
                      <w:rPr>
                        <w:b/>
                        <w:spacing w:val="-4"/>
                        <w:sz w:val="28"/>
                      </w:rPr>
                      <w:t> </w:t>
                    </w:r>
                    <w:r>
                      <w:rPr>
                        <w:b/>
                        <w:sz w:val="28"/>
                      </w:rPr>
                      <w:t>2025,</w:t>
                    </w:r>
                    <w:r>
                      <w:rPr>
                        <w:b/>
                        <w:spacing w:val="-4"/>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219</w:t>
                    </w:r>
                    <w:r>
                      <w:rPr>
                        <w:b/>
                        <w:spacing w:val="-5"/>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905" w:hanging="567"/>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303" w:hanging="567"/>
      </w:pPr>
      <w:rPr>
        <w:rFonts w:hint="default"/>
        <w:lang w:val="en-US" w:eastAsia="en-US" w:bidi="ar-SA"/>
      </w:rPr>
    </w:lvl>
    <w:lvl w:ilvl="2">
      <w:start w:val="0"/>
      <w:numFmt w:val="bullet"/>
      <w:lvlText w:val="•"/>
      <w:lvlJc w:val="left"/>
      <w:pPr>
        <w:ind w:left="1707" w:hanging="567"/>
      </w:pPr>
      <w:rPr>
        <w:rFonts w:hint="default"/>
        <w:lang w:val="en-US" w:eastAsia="en-US" w:bidi="ar-SA"/>
      </w:rPr>
    </w:lvl>
    <w:lvl w:ilvl="3">
      <w:start w:val="0"/>
      <w:numFmt w:val="bullet"/>
      <w:lvlText w:val="•"/>
      <w:lvlJc w:val="left"/>
      <w:pPr>
        <w:ind w:left="2111" w:hanging="567"/>
      </w:pPr>
      <w:rPr>
        <w:rFonts w:hint="default"/>
        <w:lang w:val="en-US" w:eastAsia="en-US" w:bidi="ar-SA"/>
      </w:rPr>
    </w:lvl>
    <w:lvl w:ilvl="4">
      <w:start w:val="0"/>
      <w:numFmt w:val="bullet"/>
      <w:lvlText w:val="•"/>
      <w:lvlJc w:val="left"/>
      <w:pPr>
        <w:ind w:left="2515" w:hanging="567"/>
      </w:pPr>
      <w:rPr>
        <w:rFonts w:hint="default"/>
        <w:lang w:val="en-US" w:eastAsia="en-US" w:bidi="ar-SA"/>
      </w:rPr>
    </w:lvl>
    <w:lvl w:ilvl="5">
      <w:start w:val="0"/>
      <w:numFmt w:val="bullet"/>
      <w:lvlText w:val="•"/>
      <w:lvlJc w:val="left"/>
      <w:pPr>
        <w:ind w:left="2919" w:hanging="567"/>
      </w:pPr>
      <w:rPr>
        <w:rFonts w:hint="default"/>
        <w:lang w:val="en-US" w:eastAsia="en-US" w:bidi="ar-SA"/>
      </w:rPr>
    </w:lvl>
    <w:lvl w:ilvl="6">
      <w:start w:val="0"/>
      <w:numFmt w:val="bullet"/>
      <w:lvlText w:val="•"/>
      <w:lvlJc w:val="left"/>
      <w:pPr>
        <w:ind w:left="3323" w:hanging="567"/>
      </w:pPr>
      <w:rPr>
        <w:rFonts w:hint="default"/>
        <w:lang w:val="en-US" w:eastAsia="en-US" w:bidi="ar-SA"/>
      </w:rPr>
    </w:lvl>
    <w:lvl w:ilvl="7">
      <w:start w:val="0"/>
      <w:numFmt w:val="bullet"/>
      <w:lvlText w:val="•"/>
      <w:lvlJc w:val="left"/>
      <w:pPr>
        <w:ind w:left="3727" w:hanging="567"/>
      </w:pPr>
      <w:rPr>
        <w:rFonts w:hint="default"/>
        <w:lang w:val="en-US" w:eastAsia="en-US" w:bidi="ar-SA"/>
      </w:rPr>
    </w:lvl>
    <w:lvl w:ilvl="8">
      <w:start w:val="0"/>
      <w:numFmt w:val="bullet"/>
      <w:lvlText w:val="•"/>
      <w:lvlJc w:val="left"/>
      <w:pPr>
        <w:ind w:left="4131" w:hanging="567"/>
      </w:pPr>
      <w:rPr>
        <w:rFonts w:hint="default"/>
        <w:lang w:val="en-US" w:eastAsia="en-US" w:bidi="ar-SA"/>
      </w:rPr>
    </w:lvl>
  </w:abstractNum>
  <w:abstractNum w:abstractNumId="2">
    <w:multiLevelType w:val="hybridMultilevel"/>
    <w:lvl w:ilvl="0">
      <w:start w:val="4"/>
      <w:numFmt w:val="lowerLetter"/>
      <w:lvlText w:val="%1."/>
      <w:lvlJc w:val="left"/>
      <w:pPr>
        <w:ind w:left="905" w:hanging="567"/>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74" w:hanging="567"/>
      </w:pPr>
      <w:rPr>
        <w:rFonts w:hint="default"/>
        <w:lang w:val="en-US" w:eastAsia="en-US" w:bidi="ar-SA"/>
      </w:rPr>
    </w:lvl>
    <w:lvl w:ilvl="2">
      <w:start w:val="0"/>
      <w:numFmt w:val="bullet"/>
      <w:lvlText w:val="•"/>
      <w:lvlJc w:val="left"/>
      <w:pPr>
        <w:ind w:left="1648" w:hanging="567"/>
      </w:pPr>
      <w:rPr>
        <w:rFonts w:hint="default"/>
        <w:lang w:val="en-US" w:eastAsia="en-US" w:bidi="ar-SA"/>
      </w:rPr>
    </w:lvl>
    <w:lvl w:ilvl="3">
      <w:start w:val="0"/>
      <w:numFmt w:val="bullet"/>
      <w:lvlText w:val="•"/>
      <w:lvlJc w:val="left"/>
      <w:pPr>
        <w:ind w:left="2022" w:hanging="567"/>
      </w:pPr>
      <w:rPr>
        <w:rFonts w:hint="default"/>
        <w:lang w:val="en-US" w:eastAsia="en-US" w:bidi="ar-SA"/>
      </w:rPr>
    </w:lvl>
    <w:lvl w:ilvl="4">
      <w:start w:val="0"/>
      <w:numFmt w:val="bullet"/>
      <w:lvlText w:val="•"/>
      <w:lvlJc w:val="left"/>
      <w:pPr>
        <w:ind w:left="2396" w:hanging="567"/>
      </w:pPr>
      <w:rPr>
        <w:rFonts w:hint="default"/>
        <w:lang w:val="en-US" w:eastAsia="en-US" w:bidi="ar-SA"/>
      </w:rPr>
    </w:lvl>
    <w:lvl w:ilvl="5">
      <w:start w:val="0"/>
      <w:numFmt w:val="bullet"/>
      <w:lvlText w:val="•"/>
      <w:lvlJc w:val="left"/>
      <w:pPr>
        <w:ind w:left="2770" w:hanging="567"/>
      </w:pPr>
      <w:rPr>
        <w:rFonts w:hint="default"/>
        <w:lang w:val="en-US" w:eastAsia="en-US" w:bidi="ar-SA"/>
      </w:rPr>
    </w:lvl>
    <w:lvl w:ilvl="6">
      <w:start w:val="0"/>
      <w:numFmt w:val="bullet"/>
      <w:lvlText w:val="•"/>
      <w:lvlJc w:val="left"/>
      <w:pPr>
        <w:ind w:left="3144" w:hanging="567"/>
      </w:pPr>
      <w:rPr>
        <w:rFonts w:hint="default"/>
        <w:lang w:val="en-US" w:eastAsia="en-US" w:bidi="ar-SA"/>
      </w:rPr>
    </w:lvl>
    <w:lvl w:ilvl="7">
      <w:start w:val="0"/>
      <w:numFmt w:val="bullet"/>
      <w:lvlText w:val="•"/>
      <w:lvlJc w:val="left"/>
      <w:pPr>
        <w:ind w:left="3518" w:hanging="567"/>
      </w:pPr>
      <w:rPr>
        <w:rFonts w:hint="default"/>
        <w:lang w:val="en-US" w:eastAsia="en-US" w:bidi="ar-SA"/>
      </w:rPr>
    </w:lvl>
    <w:lvl w:ilvl="8">
      <w:start w:val="0"/>
      <w:numFmt w:val="bullet"/>
      <w:lvlText w:val="•"/>
      <w:lvlJc w:val="left"/>
      <w:pPr>
        <w:ind w:left="3892" w:hanging="567"/>
      </w:pPr>
      <w:rPr>
        <w:rFonts w:hint="default"/>
        <w:lang w:val="en-US" w:eastAsia="en-US" w:bidi="ar-SA"/>
      </w:rPr>
    </w:lvl>
  </w:abstractNum>
  <w:abstractNum w:abstractNumId="1">
    <w:multiLevelType w:val="hybridMultilevel"/>
    <w:lvl w:ilvl="0">
      <w:start w:val="2"/>
      <w:numFmt w:val="decimal"/>
      <w:lvlText w:val="%1"/>
      <w:lvlJc w:val="left"/>
      <w:pPr>
        <w:ind w:left="692" w:hanging="354"/>
        <w:jc w:val="left"/>
      </w:pPr>
      <w:rPr>
        <w:rFonts w:hint="default"/>
        <w:lang w:val="en-US" w:eastAsia="en-US" w:bidi="ar-SA"/>
      </w:rPr>
    </w:lvl>
    <w:lvl w:ilvl="1">
      <w:start w:val="1"/>
      <w:numFmt w:val="decimal"/>
      <w:lvlText w:val="%1.%2"/>
      <w:lvlJc w:val="left"/>
      <w:pPr>
        <w:ind w:left="692" w:hanging="354"/>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551" w:hanging="354"/>
      </w:pPr>
      <w:rPr>
        <w:rFonts w:hint="default"/>
        <w:lang w:val="en-US" w:eastAsia="en-US" w:bidi="ar-SA"/>
      </w:rPr>
    </w:lvl>
    <w:lvl w:ilvl="3">
      <w:start w:val="0"/>
      <w:numFmt w:val="bullet"/>
      <w:lvlText w:val="•"/>
      <w:lvlJc w:val="left"/>
      <w:pPr>
        <w:ind w:left="1976" w:hanging="354"/>
      </w:pPr>
      <w:rPr>
        <w:rFonts w:hint="default"/>
        <w:lang w:val="en-US" w:eastAsia="en-US" w:bidi="ar-SA"/>
      </w:rPr>
    </w:lvl>
    <w:lvl w:ilvl="4">
      <w:start w:val="0"/>
      <w:numFmt w:val="bullet"/>
      <w:lvlText w:val="•"/>
      <w:lvlJc w:val="left"/>
      <w:pPr>
        <w:ind w:left="2402" w:hanging="354"/>
      </w:pPr>
      <w:rPr>
        <w:rFonts w:hint="default"/>
        <w:lang w:val="en-US" w:eastAsia="en-US" w:bidi="ar-SA"/>
      </w:rPr>
    </w:lvl>
    <w:lvl w:ilvl="5">
      <w:start w:val="0"/>
      <w:numFmt w:val="bullet"/>
      <w:lvlText w:val="•"/>
      <w:lvlJc w:val="left"/>
      <w:pPr>
        <w:ind w:left="2827" w:hanging="354"/>
      </w:pPr>
      <w:rPr>
        <w:rFonts w:hint="default"/>
        <w:lang w:val="en-US" w:eastAsia="en-US" w:bidi="ar-SA"/>
      </w:rPr>
    </w:lvl>
    <w:lvl w:ilvl="6">
      <w:start w:val="0"/>
      <w:numFmt w:val="bullet"/>
      <w:lvlText w:val="•"/>
      <w:lvlJc w:val="left"/>
      <w:pPr>
        <w:ind w:left="3253" w:hanging="354"/>
      </w:pPr>
      <w:rPr>
        <w:rFonts w:hint="default"/>
        <w:lang w:val="en-US" w:eastAsia="en-US" w:bidi="ar-SA"/>
      </w:rPr>
    </w:lvl>
    <w:lvl w:ilvl="7">
      <w:start w:val="0"/>
      <w:numFmt w:val="bullet"/>
      <w:lvlText w:val="•"/>
      <w:lvlJc w:val="left"/>
      <w:pPr>
        <w:ind w:left="3678" w:hanging="354"/>
      </w:pPr>
      <w:rPr>
        <w:rFonts w:hint="default"/>
        <w:lang w:val="en-US" w:eastAsia="en-US" w:bidi="ar-SA"/>
      </w:rPr>
    </w:lvl>
    <w:lvl w:ilvl="8">
      <w:start w:val="0"/>
      <w:numFmt w:val="bullet"/>
      <w:lvlText w:val="•"/>
      <w:lvlJc w:val="left"/>
      <w:pPr>
        <w:ind w:left="4104" w:hanging="354"/>
      </w:pPr>
      <w:rPr>
        <w:rFonts w:hint="default"/>
        <w:lang w:val="en-US" w:eastAsia="en-US" w:bidi="ar-SA"/>
      </w:rPr>
    </w:lvl>
  </w:abstractNum>
  <w:abstractNum w:abstractNumId="0">
    <w:multiLevelType w:val="hybridMultilevel"/>
    <w:lvl w:ilvl="0">
      <w:start w:val="1"/>
      <w:numFmt w:val="decimal"/>
      <w:lvlText w:val="%1."/>
      <w:lvlJc w:val="left"/>
      <w:pPr>
        <w:ind w:left="540" w:hanging="202"/>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1"/>
      <w:numFmt w:val="decimal"/>
      <w:lvlText w:val="%1.%2"/>
      <w:lvlJc w:val="left"/>
      <w:pPr>
        <w:ind w:left="353" w:hanging="392"/>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3"/>
      <w:lvlJc w:val="left"/>
      <w:pPr>
        <w:ind w:left="907" w:hanging="389"/>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900" w:hanging="389"/>
      </w:pPr>
      <w:rPr>
        <w:rFonts w:hint="default"/>
        <w:lang w:val="en-US" w:eastAsia="en-US" w:bidi="ar-SA"/>
      </w:rPr>
    </w:lvl>
    <w:lvl w:ilvl="4">
      <w:start w:val="0"/>
      <w:numFmt w:val="bullet"/>
      <w:lvlText w:val="•"/>
      <w:lvlJc w:val="left"/>
      <w:pPr>
        <w:ind w:left="1000" w:hanging="389"/>
      </w:pPr>
      <w:rPr>
        <w:rFonts w:hint="default"/>
        <w:lang w:val="en-US" w:eastAsia="en-US" w:bidi="ar-SA"/>
      </w:rPr>
    </w:lvl>
    <w:lvl w:ilvl="5">
      <w:start w:val="0"/>
      <w:numFmt w:val="bullet"/>
      <w:lvlText w:val="•"/>
      <w:lvlJc w:val="left"/>
      <w:pPr>
        <w:ind w:left="802" w:hanging="389"/>
      </w:pPr>
      <w:rPr>
        <w:rFonts w:hint="default"/>
        <w:lang w:val="en-US" w:eastAsia="en-US" w:bidi="ar-SA"/>
      </w:rPr>
    </w:lvl>
    <w:lvl w:ilvl="6">
      <w:start w:val="0"/>
      <w:numFmt w:val="bullet"/>
      <w:lvlText w:val="•"/>
      <w:lvlJc w:val="left"/>
      <w:pPr>
        <w:ind w:left="605" w:hanging="389"/>
      </w:pPr>
      <w:rPr>
        <w:rFonts w:hint="default"/>
        <w:lang w:val="en-US" w:eastAsia="en-US" w:bidi="ar-SA"/>
      </w:rPr>
    </w:lvl>
    <w:lvl w:ilvl="7">
      <w:start w:val="0"/>
      <w:numFmt w:val="bullet"/>
      <w:lvlText w:val="•"/>
      <w:lvlJc w:val="left"/>
      <w:pPr>
        <w:ind w:left="408" w:hanging="389"/>
      </w:pPr>
      <w:rPr>
        <w:rFonts w:hint="default"/>
        <w:lang w:val="en-US" w:eastAsia="en-US" w:bidi="ar-SA"/>
      </w:rPr>
    </w:lvl>
    <w:lvl w:ilvl="8">
      <w:start w:val="0"/>
      <w:numFmt w:val="bullet"/>
      <w:lvlText w:val="•"/>
      <w:lvlJc w:val="left"/>
      <w:pPr>
        <w:ind w:left="211" w:hanging="389"/>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38"/>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639"/>
      <w:jc w:val="both"/>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58"/>
      <w:ind w:left="346" w:right="57" w:hanging="9"/>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907" w:hanging="38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94"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ejournal.undip.ac.id/index.php/teknik" TargetMode="External"/><Relationship Id="rId8" Type="http://schemas.openxmlformats.org/officeDocument/2006/relationships/hyperlink" Target="mailto:muhammad.luthfi310@ui.ac.id" TargetMode="Externa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dx.doi.org/10.1016/j.applthermaleng.20" TargetMode="External"/><Relationship Id="rId19" Type="http://schemas.openxmlformats.org/officeDocument/2006/relationships/hyperlink" Target="http://dx.doi.org/10.1016/j.scitotenv.2016.03.032" TargetMode="External"/><Relationship Id="rId20" Type="http://schemas.openxmlformats.org/officeDocument/2006/relationships/hyperlink" Target="https://bps.go.id/" TargetMode="External"/><Relationship Id="rId21" Type="http://schemas.openxmlformats.org/officeDocument/2006/relationships/hyperlink" Target="https://www.researchgate.net/" TargetMode="External"/><Relationship Id="rId22" Type="http://schemas.openxmlformats.org/officeDocument/2006/relationships/hyperlink" Target="http://distilat.polinema.ac.id/" TargetMode="External"/><Relationship Id="rId23" Type="http://schemas.openxmlformats.org/officeDocument/2006/relationships/hyperlink" Target="http://www.scientific.net/AMR.906.125" TargetMode="External"/><Relationship Id="rId24" Type="http://schemas.openxmlformats.org/officeDocument/2006/relationships/hyperlink" Target="https://doi.org/10.1016/j.indcrop.2022.116122" TargetMode="External"/><Relationship Id="rId25" Type="http://schemas.openxmlformats.org/officeDocument/2006/relationships/hyperlink" Target="https://doi.org/10.1016/j.apcatb.2006.06.016" TargetMode="External"/><Relationship Id="rId26" Type="http://schemas.openxmlformats.org/officeDocument/2006/relationships/hyperlink" Target="https://peraturan.bpk.go.id/" TargetMode="External"/><Relationship Id="rId27" Type="http://schemas.openxmlformats.org/officeDocument/2006/relationships/hyperlink" Target="https://doi.org/10.1007/s13399-025-06563-z" TargetMode="External"/><Relationship Id="rId28" Type="http://schemas.openxmlformats.org/officeDocument/2006/relationships/hyperlink" Target="https://doi.org/10.1088/1757-899X/821/1/012012" TargetMode="External"/><Relationship Id="rId29" Type="http://schemas.openxmlformats.org/officeDocument/2006/relationships/hyperlink" Target="https://doi.org/10.1016/j.heliyon.2024.e39248" TargetMode="External"/><Relationship Id="rId30" Type="http://schemas.openxmlformats.org/officeDocument/2006/relationships/hyperlink" Target="https://doi.org/10.14710/teknik.v41i3.32515" TargetMode="External"/><Relationship Id="rId31" Type="http://schemas.openxmlformats.org/officeDocument/2006/relationships/hyperlink" Target="https://doi.org/10.1016/j.watres.2022.119141" TargetMode="External"/><Relationship Id="rId32" Type="http://schemas.openxmlformats.org/officeDocument/2006/relationships/hyperlink" Target="https://doi.org/10.22146/agritech.9738" TargetMode="External"/><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Luthfi</dc:creator>
  <dcterms:created xsi:type="dcterms:W3CDTF">2025-11-23T06:12:08Z</dcterms:created>
  <dcterms:modified xsi:type="dcterms:W3CDTF">2025-11-23T06:12:08Z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for Microsoft 365</vt:lpwstr>
  </property>
  <property fmtid="{D5CDD505-2E9C-101B-9397-08002B2CF9AE}" pid="4" name="LastSaved">
    <vt:filetime>2025-11-23T00:00:00Z</vt:filetime>
  </property>
  <property fmtid="{D5CDD505-2E9C-101B-9397-08002B2CF9AE}" pid="5" name="Producer">
    <vt:lpwstr>Microsoft® Word for Microsoft 365</vt:lpwstr>
  </property>
</Properties>
</file>