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182"/>
      </w:pPr>
      <w:r>
        <w:rPr>
          <w:rFonts w:ascii="Times New Roman" w:hAnsi="Times New Roman" w:cs="Times New Roman"/>
          <w:sz w:val="47"/>
          <w:sz-cs w:val="47"/>
          <w:color w:val="000000"/>
        </w:rPr>
        <w:t xml:space="preserve">Cardiovascular disease risk factors</w:t>
      </w:r>
    </w:p>
    <w:p>
      <w:pPr>
        <w:jc w:val="both"/>
        <w:spacing w:after="182"/>
      </w:pPr>
      <w:r>
        <w:rPr>
          <w:rFonts w:ascii="Times New Roman" w:hAnsi="Times New Roman" w:cs="Times New Roman"/>
          <w:sz w:val="26"/>
          <w:sz-cs w:val="26"/>
          <w:color w:val="000000"/>
        </w:rPr>
        <w:t xml:space="preserve">Cardiovascular disease (CVD) includes coronary heart disease, stroke, and other vascular disease such as peripheral arterial disease and renovascular disease. Heart attack and stroke are the leading causes of death and ill health in the world. The majority of patients who develop a cardiovascular event have identifiable and modifiable cardiovascular risk factors (see </w:t>
      </w:r>
      <w:r>
        <w:rPr>
          <w:rFonts w:ascii="Times New Roman" w:hAnsi="Times New Roman" w:cs="Times New Roman"/>
          <w:sz w:val="26"/>
          <w:sz-cs w:val="26"/>
          <w:u w:val="single"/>
          <w:color w:val="000000"/>
        </w:rPr>
        <w:t xml:space="preserve">Box 3.1</w:t>
      </w:r>
      <w:r>
        <w:rPr>
          <w:rFonts w:ascii="Times New Roman" w:hAnsi="Times New Roman" w:cs="Times New Roman"/>
          <w:sz w:val="26"/>
          <w:sz-cs w:val="26"/>
          <w:color w:val="000000"/>
        </w:rPr>
        <w:t xml:space="preserve">) that are amenable to behavioural and therapeutic (including drug) interventions. Improvements in the management of major risk factors such as smoking, elevated blood pressure (BP) and dyslipidaemia have led to a marked decline in the overall death rate for CVD in the past 20 years.</w:t>
      </w:r>
    </w:p>
    <w:p>
      <w:pPr>
        <w:jc w:val="both"/>
        <w:spacing w:after="182"/>
      </w:pPr>
      <w:r>
        <w:rPr>
          <w:rFonts w:ascii="Times New Roman" w:hAnsi="Times New Roman" w:cs="Times New Roman"/>
          <w:sz w:val="26"/>
          <w:sz-cs w:val="26"/>
          <w:color w:val="000000"/>
        </w:rPr>
        <w:t xml:space="preserve">Absolute CVD risk is defined as the probability (expressed as a percentage) of a person having a cardiovascular event within a specified period of time. Assessment of absolute CVD risk takes into account multiple interacting risk factors. This is superior to using a single risk factor (eg elevated BP) for clinical decision-making, as it more accurately predicts who will have a subsequent adverse cardiovascular event such as a heart attack or stroke. It can identify people who would otherwise not be recognised as being at high risk (eg because their individual risk factor levels are not markedly elevated), as well as those at low risk who might otherwise be ‘medicalised’ (eg because a single risk factor is elevated).</w:t>
      </w:r>
    </w:p>
    <w:p>
      <w:pPr>
        <w:jc w:val="both"/>
      </w:pPr>
      <w:r>
        <w:rPr>
          <w:rFonts w:ascii="Times New Roman" w:hAnsi="Times New Roman" w:cs="Times New Roman"/>
          <w:sz w:val="26"/>
          <w:sz-cs w:val="26"/>
          <w:color w:val="000000"/>
        </w:rPr>
        <w:t xml:space="preserve"/>
      </w:r>
    </w:p>
    <w:p>
      <w:pPr>
        <w:spacing w:after="182"/>
      </w:pPr>
      <w:r>
        <w:rPr>
          <w:rFonts w:ascii="Times New Roman" w:hAnsi="Times New Roman" w:cs="Times New Roman"/>
          <w:sz w:val="24"/>
          <w:sz-cs w:val="24"/>
          <w:color w:val="000000"/>
        </w:rPr>
        <w:t xml:space="preserve">Risk factors for cardiovascular disease (Box 3.1)</w:t>
      </w:r>
    </w:p>
    <w:p>
      <w:pPr>
        <w:spacing w:after="182"/>
      </w:pPr>
      <w:r>
        <w:rPr>
          <w:rFonts w:ascii="Times New Roman" w:hAnsi="Times New Roman" w:cs="Times New Roman"/>
          <w:sz w:val="24"/>
          <w:sz-cs w:val="24"/>
          <w:b/>
          <w:color w:val="000000"/>
        </w:rPr>
        <w:t xml:space="preserve">Modifiable risk factors</w:t>
      </w:r>
    </w:p>
    <w:p>
      <w:pPr>
        <w:ind w:left="720" w:first-line="-720"/>
        <w:spacing w:before="100"/>
      </w:pPr>
      <w:r>
        <w:rPr>
          <w:rFonts w:ascii="Times New Roman" w:hAnsi="Times New Roman" w:cs="Times New Roman"/>
          <w:sz w:val="24"/>
          <w:sz-cs w:val="24"/>
        </w:rPr>
        <w:t xml:space="preserve"/>
        <w:tab/>
        <w:t xml:space="preserve">•</w:t>
        <w:tab/>
        <w:t xml:space="preserve">smoking [NB1]</w:t>
      </w:r>
    </w:p>
    <w:p>
      <w:pPr>
        <w:ind w:left="720" w:first-line="-720"/>
        <w:spacing w:before="100"/>
      </w:pPr>
      <w:r>
        <w:rPr>
          <w:rFonts w:ascii="Times New Roman" w:hAnsi="Times New Roman" w:cs="Times New Roman"/>
          <w:sz w:val="24"/>
          <w:sz-cs w:val="24"/>
        </w:rPr>
        <w:t xml:space="preserve"/>
        <w:tab/>
        <w:t xml:space="preserve">•</w:t>
        <w:tab/>
        <w:t xml:space="preserve">elevated blood pressure [NB1]</w:t>
      </w:r>
    </w:p>
    <w:p>
      <w:pPr>
        <w:ind w:left="720" w:first-line="-720"/>
        <w:spacing w:before="100"/>
      </w:pPr>
      <w:r>
        <w:rPr>
          <w:rFonts w:ascii="Times New Roman" w:hAnsi="Times New Roman" w:cs="Times New Roman"/>
          <w:sz w:val="24"/>
          <w:sz-cs w:val="24"/>
        </w:rPr>
        <w:t xml:space="preserve"/>
        <w:tab/>
        <w:t xml:space="preserve">•</w:t>
        <w:tab/>
        <w:t xml:space="preserve">dyslipidaemia [NB1]</w:t>
      </w:r>
    </w:p>
    <w:p>
      <w:pPr>
        <w:ind w:left="720" w:first-line="-720"/>
        <w:spacing w:before="100"/>
      </w:pPr>
      <w:r>
        <w:rPr>
          <w:rFonts w:ascii="Times New Roman" w:hAnsi="Times New Roman" w:cs="Times New Roman"/>
          <w:sz w:val="24"/>
          <w:sz-cs w:val="24"/>
        </w:rPr>
        <w:t xml:space="preserve"/>
        <w:tab/>
        <w:t xml:space="preserve">•</w:t>
        <w:tab/>
        <w:t xml:space="preserve">diabetes [NB1]</w:t>
      </w:r>
    </w:p>
    <w:p>
      <w:pPr>
        <w:ind w:left="720" w:first-line="-720"/>
        <w:spacing w:before="100"/>
      </w:pPr>
      <w:r>
        <w:rPr>
          <w:rFonts w:ascii="Times New Roman" w:hAnsi="Times New Roman" w:cs="Times New Roman"/>
          <w:sz w:val="24"/>
          <w:sz-cs w:val="24"/>
        </w:rPr>
        <w:t xml:space="preserve"/>
        <w:tab/>
        <w:t xml:space="preserve">•</w:t>
        <w:tab/>
        <w:t xml:space="preserve">central obesity</w:t>
      </w:r>
    </w:p>
    <w:p>
      <w:pPr>
        <w:ind w:left="720" w:first-line="-720"/>
        <w:spacing w:before="100"/>
      </w:pPr>
      <w:r>
        <w:rPr>
          <w:rFonts w:ascii="Times New Roman" w:hAnsi="Times New Roman" w:cs="Times New Roman"/>
          <w:sz w:val="24"/>
          <w:sz-cs w:val="24"/>
        </w:rPr>
        <w:t xml:space="preserve"/>
        <w:tab/>
        <w:t xml:space="preserve">•</w:t>
        <w:tab/>
        <w:t xml:space="preserve">poor nutrition</w:t>
      </w:r>
    </w:p>
    <w:p>
      <w:pPr>
        <w:ind w:left="720" w:first-line="-720"/>
        <w:spacing w:before="100"/>
      </w:pPr>
      <w:r>
        <w:rPr>
          <w:rFonts w:ascii="Times New Roman" w:hAnsi="Times New Roman" w:cs="Times New Roman"/>
          <w:sz w:val="24"/>
          <w:sz-cs w:val="24"/>
        </w:rPr>
        <w:t xml:space="preserve"/>
        <w:tab/>
        <w:t xml:space="preserve">•</w:t>
        <w:tab/>
        <w:t xml:space="preserve">sedentary lifestyle</w:t>
      </w:r>
    </w:p>
    <w:p>
      <w:pPr>
        <w:ind w:left="720" w:first-line="-720"/>
        <w:spacing w:before="100"/>
      </w:pPr>
      <w:r>
        <w:rPr>
          <w:rFonts w:ascii="Times New Roman" w:hAnsi="Times New Roman" w:cs="Times New Roman"/>
          <w:sz w:val="24"/>
          <w:sz-cs w:val="24"/>
        </w:rPr>
        <w:t xml:space="preserve"/>
        <w:tab/>
        <w:t xml:space="preserve">•</w:t>
        <w:tab/>
        <w:t xml:space="preserve">excessive alcohol intake</w:t>
      </w:r>
    </w:p>
    <w:p>
      <w:pPr>
        <w:spacing w:after="182"/>
      </w:pPr>
      <w:r>
        <w:rPr>
          <w:rFonts w:ascii="Times New Roman" w:hAnsi="Times New Roman" w:cs="Times New Roman"/>
          <w:sz w:val="24"/>
          <w:sz-cs w:val="24"/>
          <w:b/>
          <w:color w:val="000000"/>
        </w:rPr>
        <w:t xml:space="preserve">Nonmodifiable risk factors</w:t>
      </w:r>
    </w:p>
    <w:p>
      <w:pPr>
        <w:ind w:left="720" w:first-line="-720"/>
        <w:spacing w:before="100"/>
      </w:pPr>
      <w:r>
        <w:rPr>
          <w:rFonts w:ascii="Times New Roman" w:hAnsi="Times New Roman" w:cs="Times New Roman"/>
          <w:sz w:val="24"/>
          <w:sz-cs w:val="24"/>
        </w:rPr>
        <w:t xml:space="preserve"/>
        <w:tab/>
        <w:t xml:space="preserve">•</w:t>
        <w:tab/>
        <w:t xml:space="preserve">age [NB1]</w:t>
      </w:r>
    </w:p>
    <w:p>
      <w:pPr>
        <w:ind w:left="720" w:first-line="-720"/>
        <w:spacing w:before="100"/>
      </w:pPr>
      <w:r>
        <w:rPr>
          <w:rFonts w:ascii="Times New Roman" w:hAnsi="Times New Roman" w:cs="Times New Roman"/>
          <w:sz w:val="24"/>
          <w:sz-cs w:val="24"/>
        </w:rPr>
        <w:t xml:space="preserve"/>
        <w:tab/>
        <w:t xml:space="preserve">•</w:t>
        <w:tab/>
        <w:t xml:space="preserve">sex [NB1]</w:t>
      </w:r>
    </w:p>
    <w:p>
      <w:pPr>
        <w:ind w:left="720" w:first-line="-720"/>
        <w:spacing w:before="100"/>
      </w:pPr>
      <w:r>
        <w:rPr>
          <w:rFonts w:ascii="Times New Roman" w:hAnsi="Times New Roman" w:cs="Times New Roman"/>
          <w:sz w:val="24"/>
          <w:sz-cs w:val="24"/>
        </w:rPr>
        <w:t xml:space="preserve"/>
        <w:tab/>
        <w:t xml:space="preserve">•</w:t>
        <w:tab/>
        <w:t xml:space="preserve">family history of premature cardiovascular disease [NB2]</w:t>
      </w:r>
    </w:p>
    <w:p>
      <w:pPr>
        <w:ind w:left="720" w:first-line="-720"/>
        <w:spacing w:before="100"/>
      </w:pPr>
      <w:r>
        <w:rPr>
          <w:rFonts w:ascii="Times New Roman" w:hAnsi="Times New Roman" w:cs="Times New Roman"/>
          <w:sz w:val="24"/>
          <w:sz-cs w:val="24"/>
        </w:rPr>
        <w:t xml:space="preserve"/>
        <w:tab/>
        <w:t xml:space="preserve">•</w:t>
        <w:tab/>
        <w:t xml:space="preserve">cultural identity and ethnicity (eg Aboriginal and Torres Strait Islander, South Asian, Maori and Pacific Islander, Middle Eastern peoples)</w:t>
      </w:r>
    </w:p>
    <w:p>
      <w:pPr>
        <w:ind w:left="720" w:first-line="-720"/>
        <w:spacing w:before="100"/>
      </w:pPr>
      <w:r>
        <w:rPr>
          <w:rFonts w:ascii="Times New Roman" w:hAnsi="Times New Roman" w:cs="Times New Roman"/>
          <w:sz w:val="24"/>
          <w:sz-cs w:val="24"/>
        </w:rPr>
        <w:t xml:space="preserve"/>
        <w:tab/>
        <w:t xml:space="preserve">•</w:t>
        <w:tab/>
        <w:t xml:space="preserve">lower socioeconomic status</w:t>
      </w:r>
    </w:p>
    <w:p>
      <w:pPr>
        <w:spacing w:after="182"/>
      </w:pPr>
      <w:r>
        <w:rPr>
          <w:rFonts w:ascii="Times New Roman" w:hAnsi="Times New Roman" w:cs="Times New Roman"/>
          <w:sz w:val="24"/>
          <w:sz-cs w:val="24"/>
        </w:rPr>
        <w:t xml:space="preserve"/>
      </w:r>
    </w:p>
    <w:p>
      <w:pPr>
        <w:spacing w:after="182"/>
      </w:pPr>
      <w:r>
        <w:rPr>
          <w:rFonts w:ascii="Times New Roman" w:hAnsi="Times New Roman" w:cs="Times New Roman"/>
          <w:sz w:val="24"/>
          <w:sz-cs w:val="24"/>
          <w:b/>
          <w:color w:val="000000"/>
        </w:rPr>
        <w:t xml:space="preserve">Related conditions</w:t>
      </w:r>
    </w:p>
    <w:p>
      <w:pPr>
        <w:ind w:left="720" w:first-line="-720"/>
        <w:spacing w:before="100"/>
      </w:pPr>
      <w:r>
        <w:rPr>
          <w:rFonts w:ascii="Times New Roman" w:hAnsi="Times New Roman" w:cs="Times New Roman"/>
          <w:sz w:val="24"/>
          <w:sz-cs w:val="24"/>
        </w:rPr>
        <w:t xml:space="preserve"/>
        <w:tab/>
        <w:t xml:space="preserve">•</w:t>
        <w:tab/>
        <w:t xml:space="preserve">left ventricular hypertrophy [NB1]</w:t>
      </w:r>
    </w:p>
    <w:p>
      <w:pPr>
        <w:ind w:left="720" w:first-line="-720"/>
        <w:spacing w:before="100"/>
      </w:pPr>
      <w:r>
        <w:rPr>
          <w:rFonts w:ascii="Times New Roman" w:hAnsi="Times New Roman" w:cs="Times New Roman"/>
          <w:sz w:val="24"/>
          <w:sz-cs w:val="24"/>
        </w:rPr>
        <w:t xml:space="preserve"/>
        <w:tab/>
        <w:t xml:space="preserve">•</w:t>
        <w:tab/>
        <w:t xml:space="preserve">chronic kidney disease</w:t>
      </w:r>
    </w:p>
    <w:p>
      <w:pPr>
        <w:ind w:left="720" w:first-line="-720"/>
        <w:spacing w:before="100"/>
      </w:pPr>
      <w:r>
        <w:rPr>
          <w:rFonts w:ascii="Times New Roman" w:hAnsi="Times New Roman" w:cs="Times New Roman"/>
          <w:sz w:val="24"/>
          <w:sz-cs w:val="24"/>
        </w:rPr>
        <w:t xml:space="preserve"/>
        <w:tab/>
        <w:t xml:space="preserve">•</w:t>
        <w:tab/>
        <w:t xml:space="preserve">familial hypercholesterolaemia</w:t>
      </w:r>
    </w:p>
    <w:p>
      <w:pPr>
        <w:ind w:left="720" w:first-line="-720"/>
        <w:spacing w:before="100"/>
      </w:pPr>
      <w:r>
        <w:rPr>
          <w:rFonts w:ascii="Times New Roman" w:hAnsi="Times New Roman" w:cs="Times New Roman"/>
          <w:sz w:val="24"/>
          <w:sz-cs w:val="24"/>
        </w:rPr>
        <w:t xml:space="preserve"/>
        <w:tab/>
        <w:t xml:space="preserve">•</w:t>
        <w:tab/>
        <w:t xml:space="preserve">mental health (eg depression)</w:t>
      </w:r>
    </w:p>
    <w:p>
      <w:pPr>
        <w:ind w:left="720"/>
        <w:spacing w:before="100"/>
      </w:pPr>
      <w:r>
        <w:rPr>
          <w:rFonts w:ascii="Times New Roman" w:hAnsi="Times New Roman" w:cs="Times New Roman"/>
          <w:sz w:val="24"/>
          <w:sz-cs w:val="24"/>
        </w:rPr>
        <w:t xml:space="preserve"/>
      </w:r>
    </w:p>
    <w:p>
      <w:pPr>
        <w:spacing w:after="55"/>
      </w:pPr>
      <w:r>
        <w:rPr>
          <w:rFonts w:ascii="Times New Roman" w:hAnsi="Times New Roman" w:cs="Times New Roman"/>
          <w:sz w:val="24"/>
          <w:sz-cs w:val="24"/>
          <w:color w:val="414042"/>
        </w:rPr>
        <w:t xml:space="preserve">NB1:  These risk factors are included in the absolute risk calculator, based on the Framingham risk equation.</w:t>
      </w:r>
    </w:p>
    <w:p>
      <w:pPr>
        <w:spacing w:after="55"/>
      </w:pPr>
      <w:r>
        <w:rPr>
          <w:rFonts w:ascii="Times New Roman" w:hAnsi="Times New Roman" w:cs="Times New Roman"/>
          <w:sz w:val="24"/>
          <w:sz-cs w:val="24"/>
          <w:color w:val="414042"/>
        </w:rPr>
        <w:t xml:space="preserve"/>
      </w:r>
    </w:p>
    <w:p>
      <w:pPr>
        <w:spacing w:after="55"/>
      </w:pPr>
      <w:r>
        <w:rPr>
          <w:rFonts w:ascii="Times New Roman" w:hAnsi="Times New Roman" w:cs="Times New Roman"/>
          <w:sz w:val="24"/>
          <w:sz-cs w:val="24"/>
          <w:color w:val="414042"/>
        </w:rPr>
        <w:t xml:space="preserve">NB2:  This applies to cardiovascular disease occurring in a first-degree relative aged less than 60 years.</w:t>
      </w:r>
    </w:p>
    <w:p>
      <w:pPr>
        <w:jc w:val="both"/>
      </w:pPr>
      <w:r>
        <w:rPr>
          <w:rFonts w:ascii="Times New Roman" w:hAnsi="Times New Roman" w:cs="Times New Roman"/>
          <w:sz w:val="24"/>
          <w:sz-cs w:val="24"/>
          <w:color w:val="414042"/>
        </w:rPr>
        <w:t xml:space="preserve"/>
      </w:r>
    </w:p>
    <w:p>
      <w:pPr>
        <w:jc w:val="both"/>
      </w:pPr>
      <w:r>
        <w:rPr>
          <w:rFonts w:ascii="Times New Roman" w:hAnsi="Times New Roman" w:cs="Times New Roman"/>
          <w:sz w:val="24"/>
          <w:sz-cs w:val="24"/>
          <w:color w:val="414042"/>
        </w:rPr>
        <w:t xml:space="preserve"/>
      </w:r>
    </w:p>
    <w:p>
      <w:pPr>
        <w:spacing w:before="547" w:after="182"/>
      </w:pPr>
      <w:r>
        <w:rPr>
          <w:rFonts w:ascii="Times New Roman" w:hAnsi="Times New Roman" w:cs="Times New Roman"/>
          <w:sz w:val="37"/>
          <w:sz-cs w:val="37"/>
          <w:color w:val="000000"/>
        </w:rPr>
        <w:t xml:space="preserve">Who should have their absolute cardiovascular risk estimated</w:t>
      </w:r>
    </w:p>
    <w:p>
      <w:pPr>
        <w:jc w:val="both"/>
        <w:spacing w:after="182"/>
      </w:pPr>
      <w:r>
        <w:rPr>
          <w:rFonts w:ascii="Times New Roman" w:hAnsi="Times New Roman" w:cs="Times New Roman"/>
          <w:sz w:val="24"/>
          <w:sz-cs w:val="24"/>
          <w:color w:val="000000"/>
        </w:rPr>
        <w:t xml:space="preserve">Estimate absolute CVD risk in all adults aged 45 years or older and Aboriginal and Torres Strait Islander adults aged 35 years or older who are not known to have CVD.</w:t>
      </w:r>
    </w:p>
    <w:p>
      <w:pPr>
        <w:jc w:val="both"/>
        <w:spacing w:after="182"/>
      </w:pPr>
      <w:r>
        <w:rPr>
          <w:rFonts w:ascii="Times New Roman" w:hAnsi="Times New Roman" w:cs="Times New Roman"/>
          <w:sz w:val="24"/>
          <w:sz-cs w:val="24"/>
          <w:color w:val="000000"/>
        </w:rPr>
        <w:t xml:space="preserve">People who have established CVD or any of the other risk factors listed in </w:t>
      </w:r>
      <w:r>
        <w:rPr>
          <w:rFonts w:ascii="Times New Roman" w:hAnsi="Times New Roman" w:cs="Times New Roman"/>
          <w:sz w:val="24"/>
          <w:sz-cs w:val="24"/>
          <w:u w:val="single"/>
          <w:color w:val="000000"/>
        </w:rPr>
        <w:t xml:space="preserve">Box 3.2</w:t>
      </w:r>
      <w:r>
        <w:rPr>
          <w:rFonts w:ascii="Times New Roman" w:hAnsi="Times New Roman" w:cs="Times New Roman"/>
          <w:sz w:val="24"/>
          <w:sz-cs w:val="24"/>
          <w:color w:val="000000"/>
        </w:rPr>
        <w:t xml:space="preserve"> are already known to be at high risk of a cardiovascular event, so do not need formal risk calculation before starting therapy. For advice on the management of people with established CVD, see </w:t>
      </w:r>
      <w:r>
        <w:rPr>
          <w:rFonts w:ascii="Times New Roman" w:hAnsi="Times New Roman" w:cs="Times New Roman"/>
          <w:sz w:val="24"/>
          <w:sz-cs w:val="24"/>
          <w:u w:val="single"/>
          <w:color w:val="000000"/>
        </w:rPr>
        <w:t xml:space="preserve">Ongoing management of patients with stable coronary artery disease</w:t>
      </w:r>
      <w:r>
        <w:rPr>
          <w:rFonts w:ascii="Times New Roman" w:hAnsi="Times New Roman" w:cs="Times New Roman"/>
          <w:sz w:val="24"/>
          <w:sz-cs w:val="24"/>
          <w:color w:val="000000"/>
        </w:rPr>
        <w:t xml:space="preserve">, </w:t>
      </w:r>
      <w:r>
        <w:rPr>
          <w:rFonts w:ascii="Times New Roman" w:hAnsi="Times New Roman" w:cs="Times New Roman"/>
          <w:sz w:val="24"/>
          <w:sz-cs w:val="24"/>
          <w:u w:val="single"/>
          <w:color w:val="000000"/>
        </w:rPr>
        <w:t xml:space="preserve">Peripheral arterial disease</w:t>
      </w:r>
      <w:r>
        <w:rPr>
          <w:rFonts w:ascii="Times New Roman" w:hAnsi="Times New Roman" w:cs="Times New Roman"/>
          <w:sz w:val="24"/>
          <w:sz-cs w:val="24"/>
          <w:color w:val="000000"/>
        </w:rPr>
        <w:t xml:space="preserve"> and </w:t>
      </w:r>
      <w:r>
        <w:rPr>
          <w:rFonts w:ascii="Times New Roman" w:hAnsi="Times New Roman" w:cs="Times New Roman"/>
          <w:sz w:val="24"/>
          <w:sz-cs w:val="24"/>
          <w:u w:val="single"/>
          <w:color w:val="000000"/>
        </w:rPr>
        <w:t xml:space="preserve">Stroke and transient ischaemic attack: management</w:t>
      </w:r>
      <w:r>
        <w:rPr>
          <w:rFonts w:ascii="Times New Roman" w:hAnsi="Times New Roman" w:cs="Times New Roman"/>
          <w:sz w:val="24"/>
          <w:sz-cs w:val="24"/>
          <w:color w:val="000000"/>
        </w:rPr>
        <w:t xml:space="preserve">. For the management of people with atrial fibrillation, see </w:t>
      </w:r>
      <w:r>
        <w:rPr>
          <w:rFonts w:ascii="Times New Roman" w:hAnsi="Times New Roman" w:cs="Times New Roman"/>
          <w:sz w:val="24"/>
          <w:sz-cs w:val="24"/>
          <w:u w:val="single"/>
          <w:color w:val="000000"/>
        </w:rPr>
        <w:t xml:space="preserve">Atrial fibrillation</w:t>
      </w:r>
      <w:r>
        <w:rPr>
          <w:rFonts w:ascii="Times New Roman" w:hAnsi="Times New Roman" w:cs="Times New Roman"/>
          <w:sz w:val="24"/>
          <w:sz-cs w:val="24"/>
          <w:color w:val="000000"/>
        </w:rPr>
        <w:t xml:space="preserve">.</w:t>
      </w:r>
    </w:p>
    <w:p>
      <w:pPr>
        <w:jc w:val="both"/>
        <w:spacing w:after="182"/>
      </w:pPr>
      <w:r>
        <w:rPr>
          <w:rFonts w:ascii="Times New Roman" w:hAnsi="Times New Roman" w:cs="Times New Roman"/>
          <w:sz w:val="24"/>
          <w:sz-cs w:val="24"/>
          <w:color w:val="000000"/>
        </w:rPr>
        <w:t xml:space="preserve">For people with any of the risk factors in </w:t>
      </w:r>
      <w:r>
        <w:rPr>
          <w:rFonts w:ascii="Times New Roman" w:hAnsi="Times New Roman" w:cs="Times New Roman"/>
          <w:sz w:val="24"/>
          <w:sz-cs w:val="24"/>
          <w:u w:val="single"/>
          <w:color w:val="000000"/>
        </w:rPr>
        <w:t xml:space="preserve">Box 3.2</w:t>
      </w:r>
      <w:r>
        <w:rPr>
          <w:rFonts w:ascii="Times New Roman" w:hAnsi="Times New Roman" w:cs="Times New Roman"/>
          <w:sz w:val="24"/>
          <w:sz-cs w:val="24"/>
          <w:color w:val="000000"/>
        </w:rPr>
        <w:t xml:space="preserve"> but without established CVD, see </w:t>
      </w:r>
      <w:r>
        <w:rPr>
          <w:rFonts w:ascii="Times New Roman" w:hAnsi="Times New Roman" w:cs="Times New Roman"/>
          <w:sz w:val="24"/>
          <w:sz-cs w:val="24"/>
          <w:u w:val="single"/>
          <w:color w:val="000000"/>
        </w:rPr>
        <w:t xml:space="preserve">People at high absolute risk</w:t>
      </w:r>
      <w:r>
        <w:rPr>
          <w:rFonts w:ascii="Times New Roman" w:hAnsi="Times New Roman" w:cs="Times New Roman"/>
          <w:sz w:val="24"/>
          <w:sz-cs w:val="24"/>
          <w:color w:val="000000"/>
        </w:rPr>
        <w:t xml:space="preserve"> for appropriate management.</w:t>
      </w:r>
    </w:p>
    <w:p>
      <w:pPr>
        <w:jc w:val="both"/>
        <w:spacing w:after="182"/>
      </w:pPr>
      <w:r>
        <w:rPr>
          <w:rFonts w:ascii="Times New Roman" w:hAnsi="Times New Roman" w:cs="Times New Roman"/>
          <w:sz w:val="24"/>
          <w:sz-cs w:val="24"/>
          <w:color w:val="000000"/>
        </w:rPr>
        <w:t xml:space="preserve">People who do not have established CVD or any of the other risk factors listed in </w:t>
      </w:r>
      <w:r>
        <w:rPr>
          <w:rFonts w:ascii="Times New Roman" w:hAnsi="Times New Roman" w:cs="Times New Roman"/>
          <w:sz w:val="24"/>
          <w:sz-cs w:val="24"/>
          <w:u w:val="single"/>
          <w:color w:val="000000"/>
        </w:rPr>
        <w:t xml:space="preserve">Box 3.2</w:t>
      </w:r>
      <w:r>
        <w:rPr>
          <w:rFonts w:ascii="Times New Roman" w:hAnsi="Times New Roman" w:cs="Times New Roman"/>
          <w:sz w:val="24"/>
          <w:sz-cs w:val="24"/>
          <w:color w:val="000000"/>
        </w:rPr>
        <w:t xml:space="preserve"> require further assessment to determine their level of risk and the appropriate management.</w:t>
      </w:r>
    </w:p>
    <w:p>
      <w:pPr>
        <w:jc w:val="both"/>
        <w:spacing w:after="182"/>
      </w:pPr>
      <w:r>
        <w:rPr>
          <w:rFonts w:ascii="Times New Roman" w:hAnsi="Times New Roman" w:cs="Times New Roman"/>
          <w:sz w:val="24"/>
          <w:sz-cs w:val="24"/>
          <w:color w:val="000000"/>
        </w:rPr>
        <w:t xml:space="preserve">Estimate absolute CVD risk in all adults aged 45 years or older and Aboriginal and Torres Strait Islander adults aged 35 years or older who are not known to have CVD.</w:t>
      </w:r>
      <w:r>
        <w:rPr>
          <w:rFonts w:ascii="Helvetica" w:hAnsi="Helvetica" w:cs="Helvetica"/>
          <w:sz w:val="24"/>
          <w:sz-cs w:val="24"/>
        </w:rPr>
        <w:t xml:space="preserve"/>
      </w:r>
    </w:p>
    <w:sectPr>
      <w:pgSz w:w="12240" w:h="15840"/>
      <w:pgMar w:top="993" w:right="1041" w:bottom="993" w:left="993"/>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gngraja</dc:creator>
</cp:coreProperties>
</file>

<file path=docProps/meta.xml><?xml version="1.0" encoding="utf-8"?>
<meta xmlns="http://schemas.apple.com/cocoa/2006/metadata">
  <generator>CocoaOOXMLWriter/2113.65</generator>
</meta>
</file>