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92A" w:rsidRPr="00E0441A" w:rsidRDefault="00B01217" w:rsidP="0099692A">
      <w:pPr>
        <w:rPr>
          <w:rFonts w:cstheme="minorHAnsi"/>
          <w:b/>
        </w:rPr>
      </w:pPr>
      <w:r>
        <w:rPr>
          <w:rFonts w:cstheme="minorHAnsi"/>
          <w:b/>
        </w:rPr>
        <w:t>Statistical Analysis Plan</w:t>
      </w:r>
      <w:r w:rsidR="007A41EB">
        <w:rPr>
          <w:rFonts w:cstheme="minorHAnsi"/>
          <w:b/>
        </w:rPr>
        <w:t xml:space="preserve"> </w:t>
      </w:r>
    </w:p>
    <w:p w:rsidR="0099692A" w:rsidRPr="00E0441A" w:rsidRDefault="0099692A" w:rsidP="0099692A">
      <w:pPr>
        <w:jc w:val="both"/>
        <w:rPr>
          <w:rFonts w:cstheme="minorHAnsi"/>
          <w:b/>
        </w:rPr>
      </w:pPr>
      <w:r>
        <w:rPr>
          <w:rFonts w:cstheme="minorHAnsi"/>
          <w:b/>
        </w:rPr>
        <w:t>DATA and STUDY DESIGNS</w:t>
      </w:r>
    </w:p>
    <w:p w:rsidR="0099692A" w:rsidRPr="00E0441A" w:rsidRDefault="00487B7A" w:rsidP="0099692A">
      <w:pPr>
        <w:jc w:val="both"/>
        <w:rPr>
          <w:rFonts w:cstheme="minorHAnsi"/>
        </w:rPr>
      </w:pPr>
      <w:r>
        <w:rPr>
          <w:rFonts w:cstheme="minorHAnsi"/>
        </w:rPr>
        <w:t>Analyses</w:t>
      </w:r>
      <w:r w:rsidR="00D0783B">
        <w:rPr>
          <w:rFonts w:cstheme="minorHAnsi"/>
        </w:rPr>
        <w:t xml:space="preserve"> were</w:t>
      </w:r>
      <w:r>
        <w:rPr>
          <w:rFonts w:cstheme="minorHAnsi"/>
        </w:rPr>
        <w:t xml:space="preserve"> ba</w:t>
      </w:r>
      <w:r w:rsidR="00516A55">
        <w:rPr>
          <w:rFonts w:cstheme="minorHAnsi"/>
        </w:rPr>
        <w:t>s</w:t>
      </w:r>
      <w:r>
        <w:rPr>
          <w:rFonts w:cstheme="minorHAnsi"/>
        </w:rPr>
        <w:t xml:space="preserve">ed on </w:t>
      </w:r>
      <w:r w:rsidR="00F970DC">
        <w:rPr>
          <w:rFonts w:cstheme="minorHAnsi"/>
        </w:rPr>
        <w:t>t</w:t>
      </w:r>
      <w:r w:rsidR="0099692A" w:rsidRPr="00E0441A">
        <w:rPr>
          <w:rFonts w:cstheme="minorHAnsi"/>
        </w:rPr>
        <w:t>he cardiovascular disease research using linked bespoke studies and electronic hea</w:t>
      </w:r>
      <w:r w:rsidR="00D270B8">
        <w:rPr>
          <w:rFonts w:cstheme="minorHAnsi"/>
        </w:rPr>
        <w:t>lth records (CALIBER) platform</w:t>
      </w:r>
      <w:r w:rsidR="00F970DC">
        <w:rPr>
          <w:rFonts w:cstheme="minorHAnsi"/>
        </w:rPr>
        <w:t>.</w:t>
      </w:r>
      <w:r w:rsidR="00F970DC">
        <w:rPr>
          <w:rFonts w:cstheme="minorHAnsi"/>
          <w:vertAlign w:val="superscript"/>
        </w:rPr>
        <w:t>1</w:t>
      </w:r>
      <w:r w:rsidR="00F970DC">
        <w:rPr>
          <w:rFonts w:cstheme="minorHAnsi"/>
        </w:rPr>
        <w:t xml:space="preserve"> CALIBER</w:t>
      </w:r>
      <w:r w:rsidR="00D270B8">
        <w:rPr>
          <w:rFonts w:cstheme="minorHAnsi"/>
        </w:rPr>
        <w:t xml:space="preserve"> </w:t>
      </w:r>
      <w:r w:rsidR="0099692A">
        <w:rPr>
          <w:rFonts w:cstheme="minorHAnsi"/>
        </w:rPr>
        <w:t xml:space="preserve">links individual electronic health records </w:t>
      </w:r>
      <w:r w:rsidR="0099692A" w:rsidRPr="00E0441A">
        <w:rPr>
          <w:rFonts w:cstheme="minorHAnsi"/>
        </w:rPr>
        <w:t xml:space="preserve">from </w:t>
      </w:r>
      <w:r w:rsidR="0099692A">
        <w:rPr>
          <w:rFonts w:cstheme="minorHAnsi"/>
        </w:rPr>
        <w:t>consented general practices (</w:t>
      </w:r>
      <w:r w:rsidR="0099692A" w:rsidRPr="00CC1829">
        <w:rPr>
          <w:rFonts w:cstheme="minorHAnsi"/>
        </w:rPr>
        <w:t>Clinical Practice Research Datalink (CPRD)</w:t>
      </w:r>
      <w:r w:rsidR="0099692A">
        <w:rPr>
          <w:rFonts w:cstheme="minorHAnsi"/>
        </w:rPr>
        <w:t>)</w:t>
      </w:r>
      <w:r w:rsidR="0099692A" w:rsidRPr="00CC1829">
        <w:rPr>
          <w:rFonts w:cstheme="minorHAnsi"/>
        </w:rPr>
        <w:t xml:space="preserve"> </w:t>
      </w:r>
      <w:r w:rsidR="0099692A" w:rsidRPr="00E0441A">
        <w:rPr>
          <w:rFonts w:cstheme="minorHAnsi"/>
        </w:rPr>
        <w:t>with hospital care (Hospital Episodes Statistics</w:t>
      </w:r>
      <w:r w:rsidR="0099692A">
        <w:rPr>
          <w:rFonts w:cstheme="minorHAnsi"/>
        </w:rPr>
        <w:t xml:space="preserve"> (HES)</w:t>
      </w:r>
      <w:r w:rsidR="0099692A" w:rsidRPr="00E0441A">
        <w:rPr>
          <w:rFonts w:cstheme="minorHAnsi"/>
        </w:rPr>
        <w:t>) and death registry (Office of National Statistics)</w:t>
      </w:r>
      <w:r w:rsidR="0099692A">
        <w:rPr>
          <w:rFonts w:cstheme="minorHAnsi"/>
        </w:rPr>
        <w:t>.</w:t>
      </w:r>
      <w:r w:rsidR="00F970DC">
        <w:rPr>
          <w:rFonts w:cstheme="minorHAnsi"/>
          <w:vertAlign w:val="superscript"/>
        </w:rPr>
        <w:t>1</w:t>
      </w:r>
      <w:r w:rsidR="00F970DC">
        <w:rPr>
          <w:rFonts w:cstheme="minorHAnsi"/>
        </w:rPr>
        <w:t xml:space="preserve"> </w:t>
      </w:r>
      <w:r w:rsidR="0099692A" w:rsidRPr="00E0441A">
        <w:rPr>
          <w:rFonts w:cstheme="minorHAnsi"/>
        </w:rPr>
        <w:t xml:space="preserve">A description of the phenotyping </w:t>
      </w:r>
      <w:r w:rsidR="0099692A">
        <w:rPr>
          <w:rFonts w:cstheme="minorHAnsi"/>
        </w:rPr>
        <w:t xml:space="preserve">and phenotype </w:t>
      </w:r>
      <w:r w:rsidR="0099692A" w:rsidRPr="00E0441A">
        <w:rPr>
          <w:rFonts w:cstheme="minorHAnsi"/>
        </w:rPr>
        <w:t xml:space="preserve">validations of </w:t>
      </w:r>
      <w:r w:rsidR="0099692A">
        <w:rPr>
          <w:rFonts w:cstheme="minorHAnsi"/>
        </w:rPr>
        <w:t>CVD</w:t>
      </w:r>
      <w:r w:rsidR="0099692A" w:rsidRPr="00E0441A">
        <w:rPr>
          <w:rFonts w:cstheme="minorHAnsi"/>
        </w:rPr>
        <w:t xml:space="preserve"> risk factors and endpoints have been published</w:t>
      </w:r>
      <w:r w:rsidR="00D270B8">
        <w:rPr>
          <w:rFonts w:cstheme="minorHAnsi"/>
        </w:rPr>
        <w:t>.</w:t>
      </w:r>
      <w:r w:rsidR="00F970DC" w:rsidRPr="00F970DC">
        <w:rPr>
          <w:rFonts w:cstheme="minorHAnsi"/>
          <w:vertAlign w:val="superscript"/>
        </w:rPr>
        <w:t xml:space="preserve"> </w:t>
      </w:r>
      <w:r w:rsidR="00F970DC">
        <w:rPr>
          <w:rFonts w:cstheme="minorHAnsi"/>
          <w:vertAlign w:val="superscript"/>
        </w:rPr>
        <w:t>2</w:t>
      </w:r>
      <w:r w:rsidR="00D270B8">
        <w:rPr>
          <w:rFonts w:cstheme="minorHAnsi"/>
        </w:rPr>
        <w:t xml:space="preserve"> </w:t>
      </w:r>
      <w:r w:rsidR="0099692A" w:rsidRPr="00E0441A">
        <w:rPr>
          <w:rFonts w:cstheme="minorHAnsi"/>
        </w:rPr>
        <w:t>The use of CPRD a</w:t>
      </w:r>
      <w:r w:rsidR="00F970DC">
        <w:rPr>
          <w:rFonts w:cstheme="minorHAnsi"/>
        </w:rPr>
        <w:t>nd HES data for the research has been</w:t>
      </w:r>
      <w:r w:rsidR="0099692A" w:rsidRPr="00E0441A">
        <w:rPr>
          <w:rFonts w:cstheme="minorHAnsi"/>
        </w:rPr>
        <w:t xml:space="preserve"> given by the CPRD Independent Scientific Advisory Committee </w:t>
      </w:r>
      <w:r w:rsidR="00F970DC">
        <w:rPr>
          <w:rFonts w:cstheme="minorHAnsi"/>
        </w:rPr>
        <w:t>(ISAC, protocol number 17_205). We conduct</w:t>
      </w:r>
      <w:r w:rsidR="00D0783B">
        <w:rPr>
          <w:rFonts w:cstheme="minorHAnsi"/>
        </w:rPr>
        <w:t>ed</w:t>
      </w:r>
      <w:r w:rsidR="0099692A">
        <w:rPr>
          <w:rFonts w:cstheme="minorHAnsi"/>
        </w:rPr>
        <w:t xml:space="preserve"> </w:t>
      </w:r>
      <w:r w:rsidR="0075123D">
        <w:rPr>
          <w:rFonts w:cstheme="minorHAnsi"/>
          <w:color w:val="4472C4" w:themeColor="accent5"/>
        </w:rPr>
        <w:t>cohort</w:t>
      </w:r>
      <w:r w:rsidR="0099692A">
        <w:rPr>
          <w:rFonts w:cstheme="minorHAnsi"/>
        </w:rPr>
        <w:t xml:space="preserve"> </w:t>
      </w:r>
      <w:r w:rsidR="00F970DC">
        <w:rPr>
          <w:rFonts w:cstheme="minorHAnsi"/>
        </w:rPr>
        <w:t>analyses</w:t>
      </w:r>
      <w:r w:rsidR="0099692A">
        <w:rPr>
          <w:rFonts w:cstheme="minorHAnsi"/>
        </w:rPr>
        <w:t xml:space="preserve"> </w:t>
      </w:r>
      <w:r w:rsidR="00F970DC">
        <w:rPr>
          <w:rFonts w:cstheme="minorHAnsi"/>
        </w:rPr>
        <w:t xml:space="preserve">within the longitudinal CALIBER nationwide </w:t>
      </w:r>
      <w:r w:rsidR="0075123D">
        <w:rPr>
          <w:rFonts w:cstheme="minorHAnsi"/>
        </w:rPr>
        <w:t>data</w:t>
      </w:r>
      <w:r w:rsidR="00F970DC">
        <w:rPr>
          <w:rFonts w:cstheme="minorHAnsi"/>
        </w:rPr>
        <w:t xml:space="preserve"> </w:t>
      </w:r>
      <w:r w:rsidR="0099692A">
        <w:rPr>
          <w:rFonts w:cstheme="minorHAnsi"/>
        </w:rPr>
        <w:t xml:space="preserve">to </w:t>
      </w:r>
      <w:r w:rsidR="00F970DC">
        <w:rPr>
          <w:rFonts w:cstheme="minorHAnsi"/>
        </w:rPr>
        <w:t xml:space="preserve">evaluate the association between </w:t>
      </w:r>
      <w:r w:rsidR="0099692A">
        <w:t>angiotensin converting enzyme inhibitors</w:t>
      </w:r>
      <w:r w:rsidR="008D0158">
        <w:t xml:space="preserve"> (ACEI) and angiotensin II receptor blocker (ARB)</w:t>
      </w:r>
      <w:r w:rsidR="0099692A">
        <w:t xml:space="preserve"> prescriptions and influenza</w:t>
      </w:r>
      <w:r w:rsidR="0099692A" w:rsidRPr="00E0441A">
        <w:rPr>
          <w:rFonts w:cstheme="minorHAnsi"/>
        </w:rPr>
        <w:t xml:space="preserve"> incidence. </w:t>
      </w:r>
    </w:p>
    <w:p w:rsidR="0099692A" w:rsidRPr="00C462BF" w:rsidRDefault="0099692A" w:rsidP="0099692A">
      <w:pPr>
        <w:jc w:val="both"/>
        <w:rPr>
          <w:rFonts w:cstheme="minorHAnsi"/>
          <w:b/>
        </w:rPr>
      </w:pPr>
      <w:r>
        <w:rPr>
          <w:rFonts w:cstheme="minorHAnsi"/>
          <w:b/>
        </w:rPr>
        <w:t>STUDY POPULATIONS</w:t>
      </w:r>
    </w:p>
    <w:p w:rsidR="005F4544" w:rsidRPr="00C462BF" w:rsidRDefault="005F4544" w:rsidP="005F4544">
      <w:pPr>
        <w:jc w:val="both"/>
        <w:rPr>
          <w:rFonts w:cstheme="minorHAnsi"/>
          <w:i/>
        </w:rPr>
      </w:pPr>
      <w:r>
        <w:rPr>
          <w:rFonts w:cstheme="minorHAnsi"/>
        </w:rPr>
        <w:t>We identif</w:t>
      </w:r>
      <w:r w:rsidR="00487B7A">
        <w:rPr>
          <w:rFonts w:cstheme="minorHAnsi"/>
        </w:rPr>
        <w:t>ied</w:t>
      </w:r>
      <w:r w:rsidRPr="00E0441A">
        <w:rPr>
          <w:rFonts w:cstheme="minorHAnsi"/>
        </w:rPr>
        <w:t xml:space="preserve"> individuals aged 18 years or older registered in the current primary care practi</w:t>
      </w:r>
      <w:r w:rsidR="008D0158">
        <w:rPr>
          <w:rFonts w:cstheme="minorHAnsi"/>
        </w:rPr>
        <w:t>c</w:t>
      </w:r>
      <w:r w:rsidRPr="00E0441A">
        <w:rPr>
          <w:rFonts w:cstheme="minorHAnsi"/>
        </w:rPr>
        <w:t xml:space="preserve">e for at least one year. </w:t>
      </w:r>
      <w:r>
        <w:rPr>
          <w:rFonts w:cstheme="minorHAnsi"/>
        </w:rPr>
        <w:t xml:space="preserve">The </w:t>
      </w:r>
      <w:r w:rsidR="00F970DC">
        <w:rPr>
          <w:rFonts w:cstheme="minorHAnsi"/>
        </w:rPr>
        <w:t xml:space="preserve">use of </w:t>
      </w:r>
      <w:r>
        <w:rPr>
          <w:rFonts w:cstheme="minorHAnsi"/>
        </w:rPr>
        <w:t xml:space="preserve">ACEI </w:t>
      </w:r>
      <w:r w:rsidR="00640320">
        <w:rPr>
          <w:rFonts w:cstheme="minorHAnsi"/>
        </w:rPr>
        <w:t xml:space="preserve">and ARBs </w:t>
      </w:r>
      <w:r w:rsidR="00487B7A">
        <w:rPr>
          <w:rFonts w:cstheme="minorHAnsi"/>
        </w:rPr>
        <w:t>were</w:t>
      </w:r>
      <w:r w:rsidR="00640320">
        <w:rPr>
          <w:rFonts w:cstheme="minorHAnsi"/>
        </w:rPr>
        <w:t xml:space="preserve"> </w:t>
      </w:r>
      <w:r w:rsidR="00F970DC">
        <w:rPr>
          <w:rFonts w:cstheme="minorHAnsi"/>
        </w:rPr>
        <w:t xml:space="preserve">identified from </w:t>
      </w:r>
      <w:r>
        <w:rPr>
          <w:rFonts w:cstheme="minorHAnsi"/>
        </w:rPr>
        <w:t>CPRD prescription data using unique code</w:t>
      </w:r>
      <w:r w:rsidR="00743DE9">
        <w:rPr>
          <w:rFonts w:cstheme="minorHAnsi"/>
        </w:rPr>
        <w:t>s</w:t>
      </w:r>
      <w:r>
        <w:rPr>
          <w:rFonts w:cstheme="minorHAnsi"/>
        </w:rPr>
        <w:t xml:space="preserve"> </w:t>
      </w:r>
      <w:r w:rsidR="00B65A28">
        <w:rPr>
          <w:rFonts w:cstheme="minorHAnsi"/>
        </w:rPr>
        <w:t xml:space="preserve">for medication (product code). </w:t>
      </w:r>
      <w:r w:rsidR="00D0783B">
        <w:rPr>
          <w:rFonts w:cstheme="minorHAnsi"/>
        </w:rPr>
        <w:t>The complete coding has been</w:t>
      </w:r>
      <w:r>
        <w:rPr>
          <w:rFonts w:cstheme="minorHAnsi"/>
        </w:rPr>
        <w:t xml:space="preserve"> documented in public CALIBER code repository</w:t>
      </w:r>
      <w:r w:rsidR="00921E6E">
        <w:rPr>
          <w:rFonts w:cstheme="minorHAnsi"/>
        </w:rPr>
        <w:t xml:space="preserve"> </w:t>
      </w:r>
      <w:r w:rsidR="006673CC">
        <w:rPr>
          <w:rFonts w:cstheme="minorHAnsi"/>
          <w:color w:val="2E74B5" w:themeColor="accent1" w:themeShade="BF"/>
        </w:rPr>
        <w:t>(</w:t>
      </w:r>
      <w:r w:rsidR="0075123D">
        <w:rPr>
          <w:rFonts w:cstheme="minorHAnsi"/>
          <w:color w:val="2E74B5" w:themeColor="accent1" w:themeShade="BF"/>
        </w:rPr>
        <w:t>Table 2</w:t>
      </w:r>
      <w:r w:rsidR="006673CC">
        <w:rPr>
          <w:rFonts w:cstheme="minorHAnsi"/>
          <w:color w:val="2E74B5" w:themeColor="accent1" w:themeShade="BF"/>
        </w:rPr>
        <w:t>)</w:t>
      </w:r>
      <w:r>
        <w:rPr>
          <w:rFonts w:cstheme="minorHAnsi"/>
        </w:rPr>
        <w:t>.</w:t>
      </w:r>
      <w:r w:rsidR="00EE5AB7">
        <w:rPr>
          <w:rFonts w:cstheme="minorHAnsi"/>
          <w:vertAlign w:val="superscript"/>
        </w:rPr>
        <w:t>3</w:t>
      </w:r>
      <w:r>
        <w:rPr>
          <w:rFonts w:cstheme="minorHAnsi"/>
          <w:vertAlign w:val="superscript"/>
        </w:rPr>
        <w:t xml:space="preserve"> </w:t>
      </w:r>
      <w:r>
        <w:rPr>
          <w:rFonts w:cstheme="minorHAnsi"/>
        </w:rPr>
        <w:t xml:space="preserve">We </w:t>
      </w:r>
      <w:r w:rsidR="00F12A50">
        <w:rPr>
          <w:rFonts w:cstheme="minorHAnsi"/>
        </w:rPr>
        <w:t>define</w:t>
      </w:r>
      <w:r w:rsidR="00D0783B">
        <w:rPr>
          <w:rFonts w:cstheme="minorHAnsi"/>
        </w:rPr>
        <w:t>d</w:t>
      </w:r>
      <w:r w:rsidR="00F12A50">
        <w:rPr>
          <w:rFonts w:cstheme="minorHAnsi"/>
        </w:rPr>
        <w:t xml:space="preserve"> ACEI users as </w:t>
      </w:r>
      <w:r>
        <w:rPr>
          <w:rFonts w:cstheme="minorHAnsi"/>
        </w:rPr>
        <w:t xml:space="preserve">individuals with any ACEI prescription. </w:t>
      </w:r>
      <w:r w:rsidRPr="00E0441A">
        <w:rPr>
          <w:rFonts w:cstheme="minorHAnsi"/>
        </w:rPr>
        <w:t xml:space="preserve">The date of </w:t>
      </w:r>
      <w:r>
        <w:rPr>
          <w:rFonts w:cstheme="minorHAnsi"/>
        </w:rPr>
        <w:t xml:space="preserve">study </w:t>
      </w:r>
      <w:r w:rsidRPr="00E0441A">
        <w:rPr>
          <w:rFonts w:cstheme="minorHAnsi"/>
        </w:rPr>
        <w:t xml:space="preserve">entry was defined as the </w:t>
      </w:r>
      <w:r w:rsidRPr="00F12A50">
        <w:rPr>
          <w:rFonts w:cstheme="minorHAnsi"/>
          <w:i/>
        </w:rPr>
        <w:t>latest</w:t>
      </w:r>
      <w:r w:rsidRPr="00E0441A">
        <w:rPr>
          <w:rFonts w:cstheme="minorHAnsi"/>
        </w:rPr>
        <w:t xml:space="preserve"> date of</w:t>
      </w:r>
      <w:r w:rsidR="00F01A4D">
        <w:rPr>
          <w:rFonts w:cstheme="minorHAnsi"/>
        </w:rPr>
        <w:t xml:space="preserve"> </w:t>
      </w:r>
      <w:r w:rsidR="00F12A50">
        <w:rPr>
          <w:rFonts w:cstheme="minorHAnsi"/>
        </w:rPr>
        <w:t xml:space="preserve">the following: </w:t>
      </w:r>
      <w:r w:rsidR="00F01A4D">
        <w:rPr>
          <w:rFonts w:cstheme="minorHAnsi"/>
        </w:rPr>
        <w:t>1)</w:t>
      </w:r>
      <w:r w:rsidRPr="00E0441A">
        <w:rPr>
          <w:rFonts w:cstheme="minorHAnsi"/>
        </w:rPr>
        <w:t xml:space="preserve"> the </w:t>
      </w:r>
      <w:r>
        <w:rPr>
          <w:rFonts w:cstheme="minorHAnsi"/>
        </w:rPr>
        <w:t>individual</w:t>
      </w:r>
      <w:r w:rsidRPr="00E0441A">
        <w:rPr>
          <w:rFonts w:cstheme="minorHAnsi"/>
        </w:rPr>
        <w:t>’s 18</w:t>
      </w:r>
      <w:r w:rsidRPr="00E0441A">
        <w:rPr>
          <w:rFonts w:cstheme="minorHAnsi"/>
          <w:vertAlign w:val="superscript"/>
        </w:rPr>
        <w:t>th</w:t>
      </w:r>
      <w:r w:rsidRPr="00E0441A">
        <w:rPr>
          <w:rFonts w:cstheme="minorHAnsi"/>
        </w:rPr>
        <w:t xml:space="preserve"> birthday, </w:t>
      </w:r>
      <w:r w:rsidR="00F01A4D">
        <w:rPr>
          <w:rFonts w:cstheme="minorHAnsi"/>
        </w:rPr>
        <w:t xml:space="preserve">2) </w:t>
      </w:r>
      <w:r w:rsidRPr="00E0441A">
        <w:rPr>
          <w:rFonts w:cstheme="minorHAnsi"/>
        </w:rPr>
        <w:t>one year anniversa</w:t>
      </w:r>
      <w:r w:rsidR="00F01A4D">
        <w:rPr>
          <w:rFonts w:cstheme="minorHAnsi"/>
        </w:rPr>
        <w:t xml:space="preserve">ry of GP registration, 3) </w:t>
      </w:r>
      <w:r w:rsidRPr="00E0441A">
        <w:rPr>
          <w:rFonts w:cstheme="minorHAnsi"/>
        </w:rPr>
        <w:t>January 1, 1998</w:t>
      </w:r>
      <w:r w:rsidR="00F01A4D">
        <w:rPr>
          <w:rFonts w:cstheme="minorHAnsi"/>
        </w:rPr>
        <w:t>,</w:t>
      </w:r>
      <w:r w:rsidR="00F12A50">
        <w:rPr>
          <w:rFonts w:cstheme="minorHAnsi"/>
        </w:rPr>
        <w:t xml:space="preserve"> or</w:t>
      </w:r>
      <w:r>
        <w:rPr>
          <w:rFonts w:cstheme="minorHAnsi"/>
        </w:rPr>
        <w:t xml:space="preserve"> </w:t>
      </w:r>
      <w:r w:rsidR="00F01A4D">
        <w:rPr>
          <w:rFonts w:cstheme="minorHAnsi"/>
        </w:rPr>
        <w:t xml:space="preserve">4) </w:t>
      </w:r>
      <w:r w:rsidR="00F12A50">
        <w:rPr>
          <w:rFonts w:cstheme="minorHAnsi"/>
        </w:rPr>
        <w:t xml:space="preserve">among ACEI users, the </w:t>
      </w:r>
      <w:r>
        <w:rPr>
          <w:rFonts w:cstheme="minorHAnsi"/>
        </w:rPr>
        <w:t>first ACEI prescription date</w:t>
      </w:r>
      <w:r w:rsidRPr="00E0441A">
        <w:rPr>
          <w:rFonts w:cstheme="minorHAnsi"/>
        </w:rPr>
        <w:t>.</w:t>
      </w:r>
      <w:r w:rsidR="00BC4B91">
        <w:rPr>
          <w:rFonts w:cstheme="minorHAnsi"/>
        </w:rPr>
        <w:t xml:space="preserve"> We</w:t>
      </w:r>
      <w:r w:rsidRPr="00E0441A">
        <w:rPr>
          <w:rFonts w:cstheme="minorHAnsi"/>
        </w:rPr>
        <w:t xml:space="preserve"> </w:t>
      </w:r>
      <w:r w:rsidR="00BC4B91">
        <w:rPr>
          <w:rFonts w:cstheme="minorHAnsi"/>
        </w:rPr>
        <w:t>exclude</w:t>
      </w:r>
      <w:r w:rsidR="00487B7A">
        <w:rPr>
          <w:rFonts w:cstheme="minorHAnsi"/>
        </w:rPr>
        <w:t>d</w:t>
      </w:r>
      <w:r w:rsidR="00BC4B91">
        <w:rPr>
          <w:rFonts w:cstheme="minorHAnsi"/>
        </w:rPr>
        <w:t xml:space="preserve"> i</w:t>
      </w:r>
      <w:r>
        <w:rPr>
          <w:rFonts w:cstheme="minorHAnsi"/>
        </w:rPr>
        <w:t>ndividuals</w:t>
      </w:r>
      <w:r w:rsidRPr="00E0441A">
        <w:rPr>
          <w:rFonts w:cstheme="minorHAnsi"/>
        </w:rPr>
        <w:t xml:space="preserve"> </w:t>
      </w:r>
      <w:r w:rsidR="00BC4B91">
        <w:rPr>
          <w:rFonts w:cstheme="minorHAnsi"/>
        </w:rPr>
        <w:t xml:space="preserve">with </w:t>
      </w:r>
      <w:r w:rsidRPr="00E0441A">
        <w:rPr>
          <w:rFonts w:cstheme="minorHAnsi"/>
        </w:rPr>
        <w:t xml:space="preserve">a prior history of </w:t>
      </w:r>
      <w:r>
        <w:rPr>
          <w:rFonts w:cstheme="minorHAnsi"/>
        </w:rPr>
        <w:t xml:space="preserve">influenza and </w:t>
      </w:r>
      <w:r w:rsidR="00BC4B91">
        <w:rPr>
          <w:rFonts w:cstheme="minorHAnsi"/>
        </w:rPr>
        <w:t xml:space="preserve">viral </w:t>
      </w:r>
      <w:r w:rsidR="00F12A50">
        <w:rPr>
          <w:rFonts w:cstheme="minorHAnsi"/>
        </w:rPr>
        <w:t>pneumonia before</w:t>
      </w:r>
      <w:r w:rsidRPr="00E0441A">
        <w:rPr>
          <w:rFonts w:cstheme="minorHAnsi"/>
        </w:rPr>
        <w:t xml:space="preserve"> study entry. Follow-up </w:t>
      </w:r>
      <w:r w:rsidR="00F12A50">
        <w:rPr>
          <w:rFonts w:cstheme="minorHAnsi"/>
        </w:rPr>
        <w:t xml:space="preserve">is </w:t>
      </w:r>
      <w:r w:rsidRPr="00E0441A">
        <w:rPr>
          <w:rFonts w:cstheme="minorHAnsi"/>
        </w:rPr>
        <w:t>ceased at the</w:t>
      </w:r>
      <w:r>
        <w:rPr>
          <w:rFonts w:cstheme="minorHAnsi"/>
        </w:rPr>
        <w:t xml:space="preserve"> </w:t>
      </w:r>
      <w:r w:rsidRPr="00F12A50">
        <w:rPr>
          <w:rFonts w:cstheme="minorHAnsi"/>
          <w:i/>
        </w:rPr>
        <w:t>earliest</w:t>
      </w:r>
      <w:r w:rsidRPr="00E0441A">
        <w:rPr>
          <w:rFonts w:cstheme="minorHAnsi"/>
        </w:rPr>
        <w:t xml:space="preserve"> date of </w:t>
      </w:r>
      <w:r>
        <w:rPr>
          <w:rFonts w:cstheme="minorHAnsi"/>
        </w:rPr>
        <w:t xml:space="preserve">the following: </w:t>
      </w:r>
      <w:r w:rsidR="00F12A50">
        <w:rPr>
          <w:rFonts w:cstheme="minorHAnsi"/>
        </w:rPr>
        <w:t xml:space="preserve">1) </w:t>
      </w:r>
      <w:r>
        <w:rPr>
          <w:rFonts w:cstheme="minorHAnsi"/>
        </w:rPr>
        <w:t xml:space="preserve">incident influenza, </w:t>
      </w:r>
      <w:r w:rsidR="00640320">
        <w:rPr>
          <w:rFonts w:cstheme="minorHAnsi"/>
        </w:rPr>
        <w:t xml:space="preserve">2) </w:t>
      </w:r>
      <w:r w:rsidRPr="00E0441A">
        <w:rPr>
          <w:rFonts w:cstheme="minorHAnsi"/>
        </w:rPr>
        <w:t xml:space="preserve">death, </w:t>
      </w:r>
      <w:r w:rsidR="00640320">
        <w:rPr>
          <w:rFonts w:cstheme="minorHAnsi"/>
        </w:rPr>
        <w:t>3</w:t>
      </w:r>
      <w:r w:rsidR="00F12A50">
        <w:rPr>
          <w:rFonts w:cstheme="minorHAnsi"/>
        </w:rPr>
        <w:t xml:space="preserve">) </w:t>
      </w:r>
      <w:r w:rsidRPr="00E0441A">
        <w:rPr>
          <w:rFonts w:cstheme="minorHAnsi"/>
        </w:rPr>
        <w:t xml:space="preserve">the end of registration with the practice; </w:t>
      </w:r>
      <w:r w:rsidR="00640320">
        <w:rPr>
          <w:rFonts w:cstheme="minorHAnsi"/>
        </w:rPr>
        <w:t>4</w:t>
      </w:r>
      <w:r w:rsidR="00F12A50">
        <w:rPr>
          <w:rFonts w:cstheme="minorHAnsi"/>
        </w:rPr>
        <w:t xml:space="preserve">) </w:t>
      </w:r>
      <w:r>
        <w:rPr>
          <w:rFonts w:cstheme="minorHAnsi"/>
        </w:rPr>
        <w:t xml:space="preserve">the last date of the </w:t>
      </w:r>
      <w:r w:rsidRPr="00E0441A">
        <w:rPr>
          <w:rFonts w:cstheme="minorHAnsi"/>
        </w:rPr>
        <w:t xml:space="preserve">general practice </w:t>
      </w:r>
      <w:r>
        <w:rPr>
          <w:rFonts w:cstheme="minorHAnsi"/>
        </w:rPr>
        <w:t xml:space="preserve">data collection </w:t>
      </w:r>
      <w:r w:rsidRPr="00E0441A">
        <w:rPr>
          <w:rFonts w:cstheme="minorHAnsi"/>
        </w:rPr>
        <w:t xml:space="preserve">or </w:t>
      </w:r>
      <w:r w:rsidR="00640320">
        <w:rPr>
          <w:rFonts w:cstheme="minorHAnsi"/>
        </w:rPr>
        <w:t>5</w:t>
      </w:r>
      <w:r w:rsidR="00F12A50">
        <w:rPr>
          <w:rFonts w:cstheme="minorHAnsi"/>
        </w:rPr>
        <w:t xml:space="preserve">) </w:t>
      </w:r>
      <w:r w:rsidRPr="00E0441A">
        <w:rPr>
          <w:rFonts w:cstheme="minorHAnsi"/>
        </w:rPr>
        <w:t xml:space="preserve">the end of the study period (May 31, 2016). </w:t>
      </w:r>
    </w:p>
    <w:p w:rsidR="00985662" w:rsidRPr="007925E2" w:rsidRDefault="007A41EB" w:rsidP="00F01A4D">
      <w:pPr>
        <w:jc w:val="both"/>
        <w:rPr>
          <w:rFonts w:cstheme="minorHAnsi"/>
          <w:i/>
        </w:rPr>
      </w:pPr>
      <w:r w:rsidRPr="007925E2">
        <w:rPr>
          <w:rFonts w:cstheme="minorHAnsi"/>
        </w:rPr>
        <w:t>The exposure group is comprised of Individuals with a documented prescription of ACEI, and the comparison group of individuals without a prescription of ACEI, ARB or</w:t>
      </w:r>
      <w:r w:rsidR="00640320" w:rsidRPr="007925E2">
        <w:rPr>
          <w:rFonts w:cstheme="minorHAnsi"/>
        </w:rPr>
        <w:t xml:space="preserve"> Aliskiren</w:t>
      </w:r>
      <w:r w:rsidRPr="007925E2">
        <w:rPr>
          <w:rFonts w:cstheme="minorHAnsi"/>
        </w:rPr>
        <w:t xml:space="preserve">. </w:t>
      </w:r>
      <w:r w:rsidR="00B65A28" w:rsidRPr="007925E2">
        <w:rPr>
          <w:rFonts w:cstheme="minorHAnsi"/>
        </w:rPr>
        <w:t xml:space="preserve">The </w:t>
      </w:r>
      <w:r w:rsidR="00921E6E" w:rsidRPr="00921E6E">
        <w:rPr>
          <w:rFonts w:cstheme="minorHAnsi"/>
          <w:color w:val="2E74B5" w:themeColor="accent1" w:themeShade="BF"/>
        </w:rPr>
        <w:t xml:space="preserve">ACEI </w:t>
      </w:r>
      <w:r w:rsidR="00B65A28" w:rsidRPr="007925E2">
        <w:rPr>
          <w:rFonts w:cstheme="minorHAnsi"/>
        </w:rPr>
        <w:t xml:space="preserve">exposure, </w:t>
      </w:r>
      <w:r w:rsidR="00921E6E" w:rsidRPr="00921E6E">
        <w:rPr>
          <w:rFonts w:cstheme="minorHAnsi"/>
          <w:color w:val="2E74B5" w:themeColor="accent1" w:themeShade="BF"/>
        </w:rPr>
        <w:t xml:space="preserve">was defined as binary use and </w:t>
      </w:r>
      <w:r w:rsidR="00921E6E">
        <w:rPr>
          <w:rFonts w:cstheme="minorHAnsi"/>
          <w:color w:val="2E74B5" w:themeColor="accent1" w:themeShade="BF"/>
        </w:rPr>
        <w:t xml:space="preserve">for sensitivity analyses </w:t>
      </w:r>
      <w:r w:rsidR="00921E6E" w:rsidRPr="00921E6E">
        <w:rPr>
          <w:rFonts w:cstheme="minorHAnsi"/>
          <w:color w:val="2E74B5" w:themeColor="accent1" w:themeShade="BF"/>
        </w:rPr>
        <w:t xml:space="preserve">as </w:t>
      </w:r>
      <w:r w:rsidR="00B65A28" w:rsidRPr="00921E6E">
        <w:rPr>
          <w:rFonts w:cstheme="minorHAnsi"/>
          <w:bCs/>
          <w:color w:val="2E74B5" w:themeColor="accent1" w:themeShade="BF"/>
        </w:rPr>
        <w:t>duration of ACEI use</w:t>
      </w:r>
      <w:r w:rsidR="00B65A28" w:rsidRPr="007925E2">
        <w:rPr>
          <w:rFonts w:cstheme="minorHAnsi"/>
          <w:bCs/>
        </w:rPr>
        <w:t>, defined as the</w:t>
      </w:r>
      <w:r w:rsidR="00FC6B04">
        <w:rPr>
          <w:rFonts w:cstheme="minorHAnsi"/>
          <w:bCs/>
        </w:rPr>
        <w:t xml:space="preserve"> </w:t>
      </w:r>
      <w:r w:rsidR="00FC6B04">
        <w:rPr>
          <w:rFonts w:cstheme="minorHAnsi"/>
          <w:bCs/>
          <w:color w:val="2E74B5" w:themeColor="accent1" w:themeShade="BF"/>
        </w:rPr>
        <w:t>sum of the ACEI prescription days</w:t>
      </w:r>
      <w:r w:rsidR="007925E2" w:rsidRPr="007925E2">
        <w:rPr>
          <w:rFonts w:cstheme="minorHAnsi"/>
          <w:bCs/>
        </w:rPr>
        <w:t xml:space="preserve">, </w:t>
      </w:r>
      <w:r w:rsidR="001C077D">
        <w:rPr>
          <w:rFonts w:cstheme="minorHAnsi"/>
          <w:bCs/>
          <w:color w:val="4472C4" w:themeColor="accent5"/>
        </w:rPr>
        <w:t xml:space="preserve">and </w:t>
      </w:r>
      <w:r w:rsidR="0075123D">
        <w:rPr>
          <w:rFonts w:cstheme="minorHAnsi"/>
          <w:bCs/>
          <w:color w:val="4472C4" w:themeColor="accent5"/>
        </w:rPr>
        <w:t>classified</w:t>
      </w:r>
      <w:r w:rsidR="001C077D">
        <w:rPr>
          <w:rFonts w:cstheme="minorHAnsi"/>
          <w:bCs/>
          <w:color w:val="4472C4" w:themeColor="accent5"/>
        </w:rPr>
        <w:t xml:space="preserve"> into categories</w:t>
      </w:r>
      <w:r w:rsidR="007925E2" w:rsidRPr="009A7BC4">
        <w:rPr>
          <w:rFonts w:cstheme="minorHAnsi"/>
          <w:bCs/>
          <w:color w:val="4472C4" w:themeColor="accent5"/>
        </w:rPr>
        <w:t xml:space="preserve"> </w:t>
      </w:r>
      <w:r w:rsidR="007925E2" w:rsidRPr="00FC6B04">
        <w:rPr>
          <w:rFonts w:cstheme="minorHAnsi"/>
          <w:bCs/>
          <w:color w:val="2E74B5" w:themeColor="accent1" w:themeShade="BF"/>
        </w:rPr>
        <w:t>(none, &lt;6 months use, 6 months-1.5 years, 1.5-2.5, 2.5-5, 5-7.5, 7.5-10 years and ≥ 10 years)</w:t>
      </w:r>
      <w:r w:rsidR="00B65A28" w:rsidRPr="00FC6B04">
        <w:rPr>
          <w:rFonts w:cstheme="minorHAnsi"/>
          <w:bCs/>
          <w:color w:val="2E74B5" w:themeColor="accent1" w:themeShade="BF"/>
        </w:rPr>
        <w:t xml:space="preserve">. </w:t>
      </w:r>
      <w:r w:rsidR="00F01A4D">
        <w:rPr>
          <w:rFonts w:cstheme="minorHAnsi"/>
        </w:rPr>
        <w:t>A</w:t>
      </w:r>
      <w:r w:rsidR="00F01A4D" w:rsidRPr="00E0441A">
        <w:rPr>
          <w:rFonts w:cstheme="minorHAnsi"/>
        </w:rPr>
        <w:t xml:space="preserve">ge at </w:t>
      </w:r>
      <w:r w:rsidR="00F01A4D">
        <w:rPr>
          <w:rFonts w:cstheme="minorHAnsi"/>
        </w:rPr>
        <w:t xml:space="preserve">entry </w:t>
      </w:r>
      <w:r w:rsidR="00516A55">
        <w:rPr>
          <w:rFonts w:cstheme="minorHAnsi"/>
        </w:rPr>
        <w:t>was</w:t>
      </w:r>
      <w:r w:rsidR="00F01A4D">
        <w:rPr>
          <w:rFonts w:cstheme="minorHAnsi"/>
        </w:rPr>
        <w:t xml:space="preserve"> </w:t>
      </w:r>
      <w:r w:rsidR="00F01A4D" w:rsidRPr="00E0441A">
        <w:rPr>
          <w:rFonts w:cstheme="minorHAnsi"/>
        </w:rPr>
        <w:t xml:space="preserve">obtained as the year of </w:t>
      </w:r>
      <w:r w:rsidR="00F01A4D">
        <w:rPr>
          <w:rFonts w:cstheme="minorHAnsi"/>
        </w:rPr>
        <w:t>study entry</w:t>
      </w:r>
      <w:r w:rsidR="00F01A4D" w:rsidRPr="00E0441A">
        <w:rPr>
          <w:rFonts w:cstheme="minorHAnsi"/>
        </w:rPr>
        <w:t xml:space="preserve"> date minus the birth year.</w:t>
      </w:r>
      <w:r>
        <w:rPr>
          <w:rFonts w:cstheme="minorHAnsi"/>
        </w:rPr>
        <w:t xml:space="preserve"> </w:t>
      </w:r>
      <w:r w:rsidR="00985662" w:rsidRPr="007925E2">
        <w:rPr>
          <w:rFonts w:cstheme="minorHAnsi"/>
        </w:rPr>
        <w:t>Following the same methodology, to investigate the effect of ARB use on the risk of incident influenza, we construct</w:t>
      </w:r>
      <w:r w:rsidR="00D0783B">
        <w:rPr>
          <w:rFonts w:cstheme="minorHAnsi"/>
        </w:rPr>
        <w:t>ed</w:t>
      </w:r>
      <w:r w:rsidR="00985662" w:rsidRPr="007925E2">
        <w:rPr>
          <w:rFonts w:cstheme="minorHAnsi"/>
        </w:rPr>
        <w:t xml:space="preserve"> a longitudinal cohort comprised of individuals with ARB prescription and individuals without any use of ACEI, ARB and Aliskiren. </w:t>
      </w:r>
    </w:p>
    <w:p w:rsidR="00F01A4D" w:rsidRPr="00F01A4D" w:rsidRDefault="00F01A4D" w:rsidP="00F01A4D">
      <w:pPr>
        <w:jc w:val="both"/>
        <w:rPr>
          <w:rFonts w:cstheme="minorHAnsi"/>
          <w:b/>
        </w:rPr>
      </w:pPr>
      <w:r w:rsidRPr="00E0441A">
        <w:rPr>
          <w:rFonts w:cstheme="minorHAnsi"/>
          <w:b/>
        </w:rPr>
        <w:t>OU</w:t>
      </w:r>
      <w:r>
        <w:rPr>
          <w:rFonts w:cstheme="minorHAnsi"/>
          <w:b/>
        </w:rPr>
        <w:t xml:space="preserve">TCOMES </w:t>
      </w:r>
    </w:p>
    <w:p w:rsidR="00F12A50" w:rsidRPr="007925E2" w:rsidRDefault="00F01A4D" w:rsidP="0099692A">
      <w:pPr>
        <w:jc w:val="both"/>
        <w:rPr>
          <w:rFonts w:cstheme="minorHAnsi"/>
        </w:rPr>
      </w:pPr>
      <w:r>
        <w:rPr>
          <w:rFonts w:cstheme="minorHAnsi"/>
        </w:rPr>
        <w:t>I</w:t>
      </w:r>
      <w:r w:rsidR="0099692A">
        <w:rPr>
          <w:rFonts w:cstheme="minorHAnsi"/>
        </w:rPr>
        <w:t>ndividuals with a d</w:t>
      </w:r>
      <w:r w:rsidR="0099692A" w:rsidRPr="00E0441A">
        <w:rPr>
          <w:rFonts w:cstheme="minorHAnsi"/>
        </w:rPr>
        <w:t xml:space="preserve">iagnosis of </w:t>
      </w:r>
      <w:r w:rsidR="0099692A">
        <w:rPr>
          <w:rFonts w:cstheme="minorHAnsi"/>
        </w:rPr>
        <w:t>influenza</w:t>
      </w:r>
      <w:r w:rsidR="0099692A" w:rsidRPr="00E0441A">
        <w:rPr>
          <w:rFonts w:cstheme="minorHAnsi"/>
        </w:rPr>
        <w:t xml:space="preserve"> w</w:t>
      </w:r>
      <w:r w:rsidR="008D0158">
        <w:rPr>
          <w:rFonts w:cstheme="minorHAnsi"/>
        </w:rPr>
        <w:t>ere</w:t>
      </w:r>
      <w:r w:rsidR="0099692A" w:rsidRPr="00E0441A">
        <w:rPr>
          <w:rFonts w:cstheme="minorHAnsi"/>
        </w:rPr>
        <w:t xml:space="preserve"> identified </w:t>
      </w:r>
      <w:r w:rsidR="00487B7A">
        <w:rPr>
          <w:rFonts w:cstheme="minorHAnsi"/>
        </w:rPr>
        <w:t>from</w:t>
      </w:r>
      <w:r w:rsidR="00516A55">
        <w:rPr>
          <w:rFonts w:cstheme="minorHAnsi"/>
        </w:rPr>
        <w:t xml:space="preserve"> primary and secondary care. </w:t>
      </w:r>
      <w:r w:rsidR="008D0158">
        <w:rPr>
          <w:rFonts w:cstheme="minorHAnsi"/>
        </w:rPr>
        <w:t xml:space="preserve">Hospital </w:t>
      </w:r>
      <w:r w:rsidR="0099692A">
        <w:rPr>
          <w:rFonts w:cstheme="minorHAnsi"/>
        </w:rPr>
        <w:t>E</w:t>
      </w:r>
      <w:r w:rsidR="008D0158">
        <w:rPr>
          <w:rFonts w:cstheme="minorHAnsi"/>
        </w:rPr>
        <w:t>vent Statistics (HES)</w:t>
      </w:r>
      <w:r w:rsidR="0099692A">
        <w:rPr>
          <w:rFonts w:cstheme="minorHAnsi"/>
        </w:rPr>
        <w:t xml:space="preserve"> using </w:t>
      </w:r>
      <w:r w:rsidR="0099692A" w:rsidRPr="00E0441A">
        <w:rPr>
          <w:rFonts w:cstheme="minorHAnsi"/>
        </w:rPr>
        <w:t>International Classification of Diseases</w:t>
      </w:r>
      <w:r w:rsidR="0099692A">
        <w:rPr>
          <w:rFonts w:cstheme="minorHAnsi"/>
        </w:rPr>
        <w:t xml:space="preserve"> (ICD)</w:t>
      </w:r>
      <w:r w:rsidR="0099692A" w:rsidRPr="00E0441A">
        <w:rPr>
          <w:rFonts w:cstheme="minorHAnsi"/>
        </w:rPr>
        <w:t xml:space="preserve">, tenth revision [ICD-10]: </w:t>
      </w:r>
      <w:r w:rsidR="00C37214">
        <w:t>J09-J11.8</w:t>
      </w:r>
      <w:r w:rsidR="006B5212">
        <w:rPr>
          <w:rFonts w:cstheme="minorHAnsi"/>
        </w:rPr>
        <w:t xml:space="preserve">), </w:t>
      </w:r>
      <w:r w:rsidR="0099692A">
        <w:rPr>
          <w:rFonts w:cstheme="minorHAnsi"/>
        </w:rPr>
        <w:t xml:space="preserve">CPRD using </w:t>
      </w:r>
      <w:r w:rsidR="006B5212">
        <w:rPr>
          <w:rFonts w:cstheme="minorHAnsi"/>
        </w:rPr>
        <w:t>Read codes equivalent to ICD10 with the published coding conversion tool (</w:t>
      </w:r>
      <w:hyperlink r:id="rId6" w:history="1">
        <w:r w:rsidR="00C37214">
          <w:rPr>
            <w:rStyle w:val="Hyperlink"/>
          </w:rPr>
          <w:t>http://r-forge.r-project.org/R/?group_id=1598</w:t>
        </w:r>
      </w:hyperlink>
      <w:r w:rsidR="001C077D">
        <w:t xml:space="preserve">) </w:t>
      </w:r>
      <w:r w:rsidR="001C077D" w:rsidRPr="001C077D">
        <w:rPr>
          <w:color w:val="2E74B5" w:themeColor="accent1" w:themeShade="BF"/>
        </w:rPr>
        <w:t>and reviewed subsequently</w:t>
      </w:r>
      <w:r w:rsidR="001C077D">
        <w:rPr>
          <w:color w:val="2E74B5" w:themeColor="accent1" w:themeShade="BF"/>
        </w:rPr>
        <w:t xml:space="preserve"> for comparability (Table 1). </w:t>
      </w:r>
      <w:r w:rsidR="001C077D" w:rsidRPr="001C077D">
        <w:rPr>
          <w:color w:val="2E74B5" w:themeColor="accent1" w:themeShade="BF"/>
        </w:rPr>
        <w:t xml:space="preserve"> </w:t>
      </w:r>
      <w:r w:rsidR="00A7672B">
        <w:t xml:space="preserve">We identified </w:t>
      </w:r>
      <w:r w:rsidR="006B5212">
        <w:t>individuals whose first influenza diagnosis recorded</w:t>
      </w:r>
      <w:r w:rsidR="00A7672B">
        <w:t xml:space="preserve"> as the primary cause of death within</w:t>
      </w:r>
      <w:r w:rsidR="006B5212">
        <w:t xml:space="preserve"> ONS </w:t>
      </w:r>
      <w:r w:rsidR="00A7672B">
        <w:t xml:space="preserve">using </w:t>
      </w:r>
      <w:r w:rsidR="006B5212">
        <w:t xml:space="preserve">ICD10 and ICD9 </w:t>
      </w:r>
      <w:r w:rsidR="00A7672B">
        <w:t>equivalents (</w:t>
      </w:r>
      <w:r w:rsidR="006B5212">
        <w:t>487, 488, 489</w:t>
      </w:r>
      <w:r w:rsidR="00A7672B">
        <w:t>).</w:t>
      </w:r>
      <w:r w:rsidR="00ED1C50">
        <w:t xml:space="preserve"> </w:t>
      </w:r>
      <w:r w:rsidR="00ED1C50" w:rsidRPr="007925E2">
        <w:t>If the participant's first documentation of influenza appear</w:t>
      </w:r>
      <w:r w:rsidR="00D0783B">
        <w:t>ed</w:t>
      </w:r>
      <w:r w:rsidR="00ED1C50" w:rsidRPr="007925E2">
        <w:t xml:space="preserve"> as t</w:t>
      </w:r>
      <w:r w:rsidR="00D0783B">
        <w:t>he primary cause of death, it was</w:t>
      </w:r>
      <w:r w:rsidR="00ED1C50" w:rsidRPr="007925E2">
        <w:t xml:space="preserve"> regarded as an incident influenza.  </w:t>
      </w:r>
    </w:p>
    <w:p w:rsidR="0099692A" w:rsidRPr="00E0441A" w:rsidRDefault="0099692A" w:rsidP="0099692A">
      <w:pPr>
        <w:jc w:val="both"/>
        <w:rPr>
          <w:rFonts w:cstheme="minorHAnsi"/>
          <w:b/>
        </w:rPr>
      </w:pPr>
      <w:r>
        <w:rPr>
          <w:rFonts w:cstheme="minorHAnsi"/>
          <w:b/>
        </w:rPr>
        <w:t>CLINICAL</w:t>
      </w:r>
      <w:r w:rsidRPr="00E0441A">
        <w:rPr>
          <w:rFonts w:cstheme="minorHAnsi"/>
          <w:b/>
        </w:rPr>
        <w:t xml:space="preserve"> CHARACTERISTICS </w:t>
      </w:r>
    </w:p>
    <w:p w:rsidR="00F01A4D" w:rsidRPr="00A87652" w:rsidRDefault="00516A55" w:rsidP="00F01A4D">
      <w:pPr>
        <w:jc w:val="both"/>
        <w:rPr>
          <w:rFonts w:cstheme="minorHAnsi"/>
        </w:rPr>
      </w:pPr>
      <w:r>
        <w:rPr>
          <w:rFonts w:cstheme="minorHAnsi"/>
        </w:rPr>
        <w:t>T</w:t>
      </w:r>
      <w:r w:rsidRPr="00E0441A">
        <w:rPr>
          <w:rFonts w:cstheme="minorHAnsi"/>
        </w:rPr>
        <w:t>he body-mass index (BMI) at baseline</w:t>
      </w:r>
      <w:r>
        <w:rPr>
          <w:rFonts w:cstheme="minorHAnsi"/>
        </w:rPr>
        <w:t xml:space="preserve"> was derived from the </w:t>
      </w:r>
      <w:r w:rsidR="0099692A" w:rsidRPr="00E0441A">
        <w:rPr>
          <w:rFonts w:cstheme="minorHAnsi"/>
        </w:rPr>
        <w:t xml:space="preserve">average weight and height measurements within a year before and a year after </w:t>
      </w:r>
      <w:r w:rsidR="00F01A4D">
        <w:rPr>
          <w:rFonts w:cstheme="minorHAnsi"/>
        </w:rPr>
        <w:t>study entry</w:t>
      </w:r>
      <w:r w:rsidR="007A41EB">
        <w:rPr>
          <w:rFonts w:cstheme="minorHAnsi"/>
        </w:rPr>
        <w:t xml:space="preserve">. </w:t>
      </w:r>
      <w:r w:rsidR="00D0783B">
        <w:rPr>
          <w:rFonts w:cstheme="minorHAnsi"/>
        </w:rPr>
        <w:t>Obesity wa</w:t>
      </w:r>
      <w:r w:rsidR="00F01A4D">
        <w:rPr>
          <w:rFonts w:cstheme="minorHAnsi"/>
        </w:rPr>
        <w:t>s</w:t>
      </w:r>
      <w:r w:rsidR="0099692A" w:rsidRPr="00E0441A">
        <w:rPr>
          <w:rFonts w:cstheme="minorHAnsi"/>
        </w:rPr>
        <w:t xml:space="preserve"> </w:t>
      </w:r>
      <w:r w:rsidR="00F01A4D">
        <w:rPr>
          <w:rFonts w:cstheme="minorHAnsi"/>
        </w:rPr>
        <w:t xml:space="preserve">defined </w:t>
      </w:r>
      <w:r w:rsidR="0099692A" w:rsidRPr="00E0441A">
        <w:rPr>
          <w:rFonts w:cstheme="minorHAnsi"/>
        </w:rPr>
        <w:t xml:space="preserve">as </w:t>
      </w:r>
      <w:r w:rsidR="00F01A4D">
        <w:rPr>
          <w:rFonts w:cstheme="minorHAnsi"/>
        </w:rPr>
        <w:t>the presence of baseline BMI &gt;= 30 kg/m2. We define</w:t>
      </w:r>
      <w:r w:rsidR="00487B7A">
        <w:rPr>
          <w:rFonts w:cstheme="minorHAnsi"/>
        </w:rPr>
        <w:t>d</w:t>
      </w:r>
      <w:r w:rsidR="00F01A4D">
        <w:rPr>
          <w:rFonts w:cstheme="minorHAnsi"/>
        </w:rPr>
        <w:t xml:space="preserve"> baseline smoking as ever and current smoking </w:t>
      </w:r>
      <w:r w:rsidR="00F01A4D">
        <w:rPr>
          <w:rFonts w:cstheme="minorHAnsi"/>
        </w:rPr>
        <w:lastRenderedPageBreak/>
        <w:t>before and at study entry.</w:t>
      </w:r>
      <w:r w:rsidR="007A41EB">
        <w:rPr>
          <w:rFonts w:cstheme="minorHAnsi"/>
        </w:rPr>
        <w:t xml:space="preserve"> W</w:t>
      </w:r>
      <w:r w:rsidR="007A41EB" w:rsidRPr="007A41EB">
        <w:rPr>
          <w:rFonts w:cstheme="minorHAnsi"/>
        </w:rPr>
        <w:t>e adjust</w:t>
      </w:r>
      <w:r w:rsidR="00D0783B">
        <w:rPr>
          <w:rFonts w:cstheme="minorHAnsi"/>
        </w:rPr>
        <w:t>ed</w:t>
      </w:r>
      <w:r w:rsidR="007A41EB" w:rsidRPr="007A41EB">
        <w:rPr>
          <w:rFonts w:cstheme="minorHAnsi"/>
        </w:rPr>
        <w:t xml:space="preserve"> the fluctuation of flu season by incorporat</w:t>
      </w:r>
      <w:r w:rsidR="00487B7A">
        <w:rPr>
          <w:rFonts w:cstheme="minorHAnsi"/>
        </w:rPr>
        <w:t>ing</w:t>
      </w:r>
      <w:r w:rsidR="007A41EB" w:rsidRPr="007A41EB">
        <w:rPr>
          <w:rFonts w:cstheme="minorHAnsi"/>
        </w:rPr>
        <w:t xml:space="preserve">  dummy variables for </w:t>
      </w:r>
      <w:r w:rsidR="00367BF8">
        <w:rPr>
          <w:rFonts w:cstheme="minorHAnsi"/>
        </w:rPr>
        <w:t xml:space="preserve">year </w:t>
      </w:r>
      <w:r w:rsidR="00367BF8" w:rsidRPr="00D0783B">
        <w:rPr>
          <w:rFonts w:cstheme="minorHAnsi"/>
          <w:color w:val="2E74B5" w:themeColor="accent1" w:themeShade="BF"/>
        </w:rPr>
        <w:t>1998-20</w:t>
      </w:r>
      <w:r w:rsidR="00D0783B" w:rsidRPr="00D0783B">
        <w:rPr>
          <w:rFonts w:cstheme="minorHAnsi"/>
          <w:color w:val="2E74B5" w:themeColor="accent1" w:themeShade="BF"/>
        </w:rPr>
        <w:t>00, 2009-2010 and 2011-2012</w:t>
      </w:r>
      <w:r w:rsidR="007A41EB">
        <w:rPr>
          <w:rFonts w:cstheme="minorHAnsi"/>
        </w:rPr>
        <w:t xml:space="preserve">. </w:t>
      </w:r>
      <w:r w:rsidR="00F01A4D">
        <w:rPr>
          <w:rFonts w:cstheme="minorHAnsi"/>
        </w:rPr>
        <w:t xml:space="preserve"> W</w:t>
      </w:r>
      <w:r w:rsidR="00F01A4D" w:rsidRPr="00E0441A">
        <w:rPr>
          <w:rFonts w:cstheme="minorHAnsi"/>
        </w:rPr>
        <w:t>e</w:t>
      </w:r>
      <w:r w:rsidR="002C009B">
        <w:rPr>
          <w:rFonts w:cstheme="minorHAnsi"/>
        </w:rPr>
        <w:t xml:space="preserve"> adjust</w:t>
      </w:r>
      <w:r w:rsidR="00D0783B">
        <w:rPr>
          <w:rFonts w:cstheme="minorHAnsi"/>
        </w:rPr>
        <w:t>ed</w:t>
      </w:r>
      <w:r w:rsidR="002C009B">
        <w:rPr>
          <w:rFonts w:cstheme="minorHAnsi"/>
        </w:rPr>
        <w:t xml:space="preserve"> </w:t>
      </w:r>
      <w:r w:rsidR="00F01A4D" w:rsidRPr="00E0441A">
        <w:rPr>
          <w:rFonts w:cstheme="minorHAnsi"/>
        </w:rPr>
        <w:t>1</w:t>
      </w:r>
      <w:r w:rsidR="002C009B">
        <w:rPr>
          <w:rFonts w:cstheme="minorHAnsi"/>
        </w:rPr>
        <w:t>2</w:t>
      </w:r>
      <w:r w:rsidR="00F01A4D" w:rsidRPr="00E0441A">
        <w:rPr>
          <w:rFonts w:cstheme="minorHAnsi"/>
        </w:rPr>
        <w:t xml:space="preserve"> </w:t>
      </w:r>
      <w:r w:rsidR="00F01A4D">
        <w:rPr>
          <w:rFonts w:cstheme="minorHAnsi"/>
        </w:rPr>
        <w:t>comorbidities</w:t>
      </w:r>
      <w:r w:rsidR="002C009B">
        <w:rPr>
          <w:rFonts w:cstheme="minorHAnsi"/>
        </w:rPr>
        <w:t xml:space="preserve"> </w:t>
      </w:r>
      <w:r w:rsidR="00F12A50">
        <w:rPr>
          <w:rFonts w:cstheme="minorHAnsi"/>
        </w:rPr>
        <w:t xml:space="preserve">associated with ACEI use and/or associated with influenza </w:t>
      </w:r>
      <w:r w:rsidR="00F12A50" w:rsidRPr="00F12A50">
        <w:rPr>
          <w:rFonts w:cstheme="minorHAnsi"/>
        </w:rPr>
        <w:t>susceptibility</w:t>
      </w:r>
      <w:r w:rsidR="00F12A50">
        <w:rPr>
          <w:rFonts w:cstheme="minorHAnsi"/>
        </w:rPr>
        <w:t xml:space="preserve"> </w:t>
      </w:r>
      <w:r w:rsidR="002C009B">
        <w:rPr>
          <w:rFonts w:cstheme="minorHAnsi"/>
        </w:rPr>
        <w:t>as confounders</w:t>
      </w:r>
      <w:r w:rsidR="008B3459">
        <w:rPr>
          <w:rFonts w:cstheme="minorHAnsi"/>
        </w:rPr>
        <w:t xml:space="preserve"> in the association</w:t>
      </w:r>
      <w:r w:rsidR="00487B7A">
        <w:rPr>
          <w:rFonts w:cstheme="minorHAnsi"/>
        </w:rPr>
        <w:t>. These include</w:t>
      </w:r>
      <w:r w:rsidR="00D0783B">
        <w:rPr>
          <w:rFonts w:cstheme="minorHAnsi"/>
        </w:rPr>
        <w:t>d</w:t>
      </w:r>
      <w:r w:rsidR="007A41EB">
        <w:rPr>
          <w:rFonts w:cstheme="minorHAnsi"/>
        </w:rPr>
        <w:t xml:space="preserve"> </w:t>
      </w:r>
      <w:r w:rsidR="00F01A4D" w:rsidRPr="00E0441A">
        <w:rPr>
          <w:rFonts w:cstheme="minorHAnsi"/>
        </w:rPr>
        <w:t xml:space="preserve">hypertension, diabetes, asthma, angina, atherosclerotic heart disease (including unstable angina and acute myocardial infarction), </w:t>
      </w:r>
      <w:r w:rsidR="00F01A4D">
        <w:rPr>
          <w:rFonts w:cstheme="minorHAnsi"/>
        </w:rPr>
        <w:t xml:space="preserve">atrial fibrillation, </w:t>
      </w:r>
      <w:r w:rsidR="00F01A4D" w:rsidRPr="00E0441A">
        <w:rPr>
          <w:rFonts w:cstheme="minorHAnsi"/>
        </w:rPr>
        <w:t>heart failure, stroke, cancer, chronic kidney disease, chronic obstructive pulmonary diseas</w:t>
      </w:r>
      <w:r w:rsidR="00743DE9">
        <w:rPr>
          <w:rFonts w:cstheme="minorHAnsi"/>
        </w:rPr>
        <w:t xml:space="preserve"> and</w:t>
      </w:r>
      <w:r w:rsidR="00F01A4D" w:rsidRPr="00E0441A">
        <w:rPr>
          <w:rFonts w:cstheme="minorHAnsi"/>
        </w:rPr>
        <w:t xml:space="preserve"> dementia</w:t>
      </w:r>
      <w:r w:rsidR="00F01A4D" w:rsidRPr="001C077D">
        <w:rPr>
          <w:rFonts w:cstheme="minorHAnsi"/>
          <w:color w:val="2E74B5" w:themeColor="accent1" w:themeShade="BF"/>
        </w:rPr>
        <w:t>.</w:t>
      </w:r>
      <w:r w:rsidR="001C077D" w:rsidRPr="001C077D">
        <w:rPr>
          <w:rFonts w:cstheme="minorHAnsi"/>
          <w:color w:val="2E74B5" w:themeColor="accent1" w:themeShade="BF"/>
        </w:rPr>
        <w:t xml:space="preserve"> (Table 2)</w:t>
      </w:r>
      <w:r w:rsidR="002C009B" w:rsidRPr="001C077D">
        <w:rPr>
          <w:rFonts w:cstheme="minorHAnsi"/>
          <w:color w:val="2E74B5" w:themeColor="accent1" w:themeShade="BF"/>
        </w:rPr>
        <w:t xml:space="preserve"> </w:t>
      </w:r>
      <w:r w:rsidR="002C009B">
        <w:rPr>
          <w:rFonts w:cstheme="minorHAnsi"/>
        </w:rPr>
        <w:t xml:space="preserve">Individuals </w:t>
      </w:r>
      <w:r w:rsidR="002C009B" w:rsidRPr="00E0441A">
        <w:rPr>
          <w:rFonts w:cstheme="minorHAnsi"/>
        </w:rPr>
        <w:t xml:space="preserve">without </w:t>
      </w:r>
      <w:r w:rsidR="00743DE9">
        <w:rPr>
          <w:rFonts w:cstheme="minorHAnsi"/>
        </w:rPr>
        <w:t xml:space="preserve">a recorded </w:t>
      </w:r>
      <w:r w:rsidR="002C009B" w:rsidRPr="00E0441A">
        <w:rPr>
          <w:rFonts w:cstheme="minorHAnsi"/>
        </w:rPr>
        <w:t xml:space="preserve">diagnosis were assumed to be free from that condition. Diagnosis code lists for each condition were adapted from the CALIBER code </w:t>
      </w:r>
      <w:r w:rsidR="002C009B">
        <w:rPr>
          <w:rFonts w:cstheme="minorHAnsi"/>
        </w:rPr>
        <w:t>repository</w:t>
      </w:r>
      <w:r w:rsidR="00D270B8">
        <w:rPr>
          <w:rFonts w:cstheme="minorHAnsi"/>
        </w:rPr>
        <w:t xml:space="preserve"> </w:t>
      </w:r>
      <w:r w:rsidR="00D270B8" w:rsidRPr="00504696">
        <w:rPr>
          <w:rFonts w:cstheme="minorHAnsi"/>
        </w:rPr>
        <w:t>(</w:t>
      </w:r>
      <w:hyperlink r:id="rId7" w:history="1">
        <w:r w:rsidR="00D270B8" w:rsidRPr="00504696">
          <w:rPr>
            <w:rStyle w:val="Hyperlink"/>
            <w:rFonts w:cstheme="minorHAnsi"/>
          </w:rPr>
          <w:t>https://caliberresearch.org/portal</w:t>
        </w:r>
      </w:hyperlink>
      <w:r w:rsidR="00D270B8" w:rsidRPr="00504696">
        <w:rPr>
          <w:rFonts w:cstheme="minorHAnsi"/>
        </w:rPr>
        <w:t>)</w:t>
      </w:r>
      <w:r w:rsidR="002C009B" w:rsidRPr="00E0441A">
        <w:rPr>
          <w:rFonts w:cstheme="minorHAnsi"/>
        </w:rPr>
        <w:t>.</w:t>
      </w:r>
      <w:r w:rsidR="002C009B">
        <w:rPr>
          <w:rFonts w:cstheme="minorHAnsi"/>
          <w:vertAlign w:val="superscript"/>
        </w:rPr>
        <w:t xml:space="preserve"> </w:t>
      </w:r>
      <w:r w:rsidR="00D0783B">
        <w:rPr>
          <w:rFonts w:cstheme="minorHAnsi"/>
        </w:rPr>
        <w:t>Influenza vaccination was</w:t>
      </w:r>
      <w:r w:rsidR="002C009B">
        <w:rPr>
          <w:rFonts w:cstheme="minorHAnsi"/>
        </w:rPr>
        <w:t xml:space="preserve"> identified from primary care data </w:t>
      </w:r>
      <w:r w:rsidR="008B3459">
        <w:rPr>
          <w:rFonts w:cstheme="minorHAnsi"/>
        </w:rPr>
        <w:t>(table</w:t>
      </w:r>
      <w:r w:rsidR="00FC6B04">
        <w:rPr>
          <w:rFonts w:cstheme="minorHAnsi"/>
        </w:rPr>
        <w:t xml:space="preserve"> 3</w:t>
      </w:r>
      <w:r w:rsidR="008B3459">
        <w:rPr>
          <w:rFonts w:cstheme="minorHAnsi"/>
        </w:rPr>
        <w:t xml:space="preserve">) </w:t>
      </w:r>
      <w:r w:rsidR="002C009B">
        <w:rPr>
          <w:rFonts w:cstheme="minorHAnsi"/>
        </w:rPr>
        <w:t>and is included in the analysis.</w:t>
      </w:r>
      <w:r w:rsidR="00F01A4D">
        <w:rPr>
          <w:rFonts w:cstheme="minorHAnsi"/>
          <w:b/>
        </w:rPr>
        <w:t xml:space="preserve"> </w:t>
      </w:r>
    </w:p>
    <w:p w:rsidR="00985662" w:rsidRPr="007925E2" w:rsidRDefault="00985662" w:rsidP="00F01A4D">
      <w:pPr>
        <w:jc w:val="both"/>
        <w:rPr>
          <w:rFonts w:cstheme="minorHAnsi"/>
          <w:b/>
        </w:rPr>
      </w:pPr>
      <w:r w:rsidRPr="007925E2">
        <w:rPr>
          <w:rFonts w:cstheme="minorHAnsi"/>
          <w:b/>
        </w:rPr>
        <w:t>Management of missing value</w:t>
      </w:r>
      <w:r w:rsidR="00224A01" w:rsidRPr="007925E2">
        <w:rPr>
          <w:rFonts w:cstheme="minorHAnsi"/>
          <w:b/>
        </w:rPr>
        <w:t>s</w:t>
      </w:r>
    </w:p>
    <w:p w:rsidR="00073B43" w:rsidRPr="007925E2" w:rsidRDefault="00073B43" w:rsidP="00F01A4D">
      <w:pPr>
        <w:jc w:val="both"/>
        <w:rPr>
          <w:rFonts w:cstheme="minorHAnsi"/>
        </w:rPr>
      </w:pPr>
      <w:r w:rsidRPr="007925E2">
        <w:rPr>
          <w:rFonts w:cstheme="minorHAnsi"/>
        </w:rPr>
        <w:t>The frequency of missing values in study covariates</w:t>
      </w:r>
      <w:r w:rsidR="00A87652">
        <w:rPr>
          <w:rFonts w:cstheme="minorHAnsi"/>
        </w:rPr>
        <w:t xml:space="preserve"> was examined</w:t>
      </w:r>
      <w:r w:rsidR="001E69A5">
        <w:rPr>
          <w:rFonts w:cstheme="minorHAnsi"/>
        </w:rPr>
        <w:t xml:space="preserve">. </w:t>
      </w:r>
      <w:r w:rsidR="00A87652">
        <w:rPr>
          <w:rFonts w:cstheme="minorHAnsi"/>
        </w:rPr>
        <w:t xml:space="preserve">In the current analyses we have one variable with missing values (BMI). </w:t>
      </w:r>
      <w:bookmarkStart w:id="0" w:name="_GoBack"/>
      <w:bookmarkEnd w:id="0"/>
      <w:r w:rsidR="001E69A5">
        <w:rPr>
          <w:rFonts w:cstheme="minorHAnsi"/>
        </w:rPr>
        <w:t>W</w:t>
      </w:r>
      <w:r w:rsidR="00D0783B">
        <w:rPr>
          <w:rFonts w:cstheme="minorHAnsi"/>
        </w:rPr>
        <w:t xml:space="preserve">e managed the missing values by </w:t>
      </w:r>
      <w:r w:rsidR="001E69A5">
        <w:rPr>
          <w:rFonts w:cstheme="minorHAnsi"/>
        </w:rPr>
        <w:t xml:space="preserve">deriving baseline </w:t>
      </w:r>
      <w:r w:rsidR="00D0783B">
        <w:rPr>
          <w:rFonts w:cstheme="minorHAnsi"/>
        </w:rPr>
        <w:t xml:space="preserve">obesity </w:t>
      </w:r>
      <w:r w:rsidR="001E69A5">
        <w:rPr>
          <w:rFonts w:cstheme="minorHAnsi"/>
        </w:rPr>
        <w:t xml:space="preserve">status based on BMI measures </w:t>
      </w:r>
      <w:r w:rsidR="00D0783B">
        <w:rPr>
          <w:rFonts w:cstheme="minorHAnsi"/>
        </w:rPr>
        <w:t xml:space="preserve">and </w:t>
      </w:r>
      <w:r w:rsidR="001E69A5">
        <w:rPr>
          <w:rFonts w:cstheme="minorHAnsi"/>
        </w:rPr>
        <w:t xml:space="preserve">consider </w:t>
      </w:r>
      <w:r w:rsidR="00D0783B">
        <w:rPr>
          <w:rFonts w:cstheme="minorHAnsi"/>
        </w:rPr>
        <w:t>individuals without a BMI ≥</w:t>
      </w:r>
      <w:r w:rsidR="001E69A5">
        <w:rPr>
          <w:rFonts w:cstheme="minorHAnsi"/>
        </w:rPr>
        <w:t xml:space="preserve"> 30 recorded as none-obese</w:t>
      </w:r>
      <w:r w:rsidRPr="007925E2">
        <w:rPr>
          <w:rFonts w:cstheme="minorHAnsi"/>
        </w:rPr>
        <w:t xml:space="preserve">. </w:t>
      </w:r>
    </w:p>
    <w:p w:rsidR="00985662" w:rsidRPr="007925E2" w:rsidRDefault="00073B43" w:rsidP="00F01A4D">
      <w:pPr>
        <w:jc w:val="both"/>
        <w:rPr>
          <w:rFonts w:cstheme="minorHAnsi"/>
          <w:b/>
        </w:rPr>
      </w:pPr>
      <w:r w:rsidRPr="007925E2">
        <w:rPr>
          <w:rFonts w:cstheme="minorHAnsi"/>
          <w:b/>
        </w:rPr>
        <w:t>Assessment of unmeasured confounding</w:t>
      </w:r>
    </w:p>
    <w:p w:rsidR="00EE5AB7" w:rsidRPr="007925E2" w:rsidRDefault="00073B43" w:rsidP="00073B43">
      <w:pPr>
        <w:pStyle w:val="NormalWeb"/>
        <w:shd w:val="clear" w:color="auto" w:fill="FFFFFF"/>
        <w:spacing w:before="0" w:beforeAutospacing="0" w:after="0" w:afterAutospacing="0"/>
        <w:rPr>
          <w:rFonts w:asciiTheme="minorHAnsi" w:hAnsiTheme="minorHAnsi" w:cstheme="minorHAnsi"/>
          <w:sz w:val="22"/>
          <w:szCs w:val="22"/>
          <w:bdr w:val="none" w:sz="0" w:space="0" w:color="auto" w:frame="1"/>
          <w:shd w:val="clear" w:color="auto" w:fill="FFFFFF"/>
        </w:rPr>
      </w:pPr>
      <w:r w:rsidRPr="007925E2">
        <w:rPr>
          <w:rFonts w:asciiTheme="minorHAnsi" w:hAnsiTheme="minorHAnsi" w:cstheme="minorHAnsi"/>
          <w:sz w:val="22"/>
          <w:szCs w:val="22"/>
          <w:bdr w:val="none" w:sz="0" w:space="0" w:color="auto" w:frame="1"/>
          <w:shd w:val="clear" w:color="auto" w:fill="FFFFFF"/>
        </w:rPr>
        <w:t xml:space="preserve">Sensitivity analyses </w:t>
      </w:r>
      <w:r w:rsidR="00487B7A">
        <w:rPr>
          <w:rFonts w:asciiTheme="minorHAnsi" w:hAnsiTheme="minorHAnsi" w:cstheme="minorHAnsi"/>
          <w:sz w:val="22"/>
          <w:szCs w:val="22"/>
          <w:bdr w:val="none" w:sz="0" w:space="0" w:color="auto" w:frame="1"/>
          <w:shd w:val="clear" w:color="auto" w:fill="FFFFFF"/>
        </w:rPr>
        <w:t>were</w:t>
      </w:r>
      <w:r w:rsidR="00487B7A" w:rsidRPr="007925E2">
        <w:rPr>
          <w:rFonts w:asciiTheme="minorHAnsi" w:hAnsiTheme="minorHAnsi" w:cstheme="minorHAnsi"/>
          <w:sz w:val="22"/>
          <w:szCs w:val="22"/>
          <w:bdr w:val="none" w:sz="0" w:space="0" w:color="auto" w:frame="1"/>
          <w:shd w:val="clear" w:color="auto" w:fill="FFFFFF"/>
        </w:rPr>
        <w:t xml:space="preserve"> </w:t>
      </w:r>
      <w:r w:rsidRPr="007925E2">
        <w:rPr>
          <w:rFonts w:asciiTheme="minorHAnsi" w:hAnsiTheme="minorHAnsi" w:cstheme="minorHAnsi"/>
          <w:sz w:val="22"/>
          <w:szCs w:val="22"/>
          <w:bdr w:val="none" w:sz="0" w:space="0" w:color="auto" w:frame="1"/>
          <w:shd w:val="clear" w:color="auto" w:fill="FFFFFF"/>
        </w:rPr>
        <w:t>performed to assess the vulnerability of the study results to unmeasured confounding</w:t>
      </w:r>
      <w:r w:rsidR="00487B7A">
        <w:rPr>
          <w:rFonts w:asciiTheme="minorHAnsi" w:hAnsiTheme="minorHAnsi" w:cstheme="minorHAnsi"/>
          <w:sz w:val="22"/>
          <w:szCs w:val="22"/>
          <w:bdr w:val="none" w:sz="0" w:space="0" w:color="auto" w:frame="1"/>
          <w:shd w:val="clear" w:color="auto" w:fill="FFFFFF"/>
        </w:rPr>
        <w:t>. This wa</w:t>
      </w:r>
      <w:r w:rsidR="00FC6B04">
        <w:rPr>
          <w:rFonts w:asciiTheme="minorHAnsi" w:hAnsiTheme="minorHAnsi" w:cstheme="minorHAnsi"/>
          <w:sz w:val="22"/>
          <w:szCs w:val="22"/>
          <w:bdr w:val="none" w:sz="0" w:space="0" w:color="auto" w:frame="1"/>
          <w:shd w:val="clear" w:color="auto" w:fill="FFFFFF"/>
        </w:rPr>
        <w:t>s</w:t>
      </w:r>
      <w:r w:rsidR="00487B7A">
        <w:rPr>
          <w:rFonts w:asciiTheme="minorHAnsi" w:hAnsiTheme="minorHAnsi" w:cstheme="minorHAnsi"/>
          <w:sz w:val="22"/>
          <w:szCs w:val="22"/>
          <w:bdr w:val="none" w:sz="0" w:space="0" w:color="auto" w:frame="1"/>
          <w:shd w:val="clear" w:color="auto" w:fill="FFFFFF"/>
        </w:rPr>
        <w:t xml:space="preserve"> done using</w:t>
      </w:r>
      <w:r w:rsidR="001E69A5">
        <w:rPr>
          <w:rFonts w:asciiTheme="minorHAnsi" w:hAnsiTheme="minorHAnsi" w:cstheme="minorHAnsi"/>
          <w:sz w:val="22"/>
          <w:szCs w:val="22"/>
          <w:bdr w:val="none" w:sz="0" w:space="0" w:color="auto" w:frame="1"/>
          <w:shd w:val="clear" w:color="auto" w:fill="FFFFFF"/>
        </w:rPr>
        <w:t xml:space="preserve"> </w:t>
      </w:r>
      <w:r w:rsidRPr="007925E2">
        <w:rPr>
          <w:rFonts w:asciiTheme="minorHAnsi" w:hAnsiTheme="minorHAnsi" w:cstheme="minorHAnsi"/>
          <w:sz w:val="22"/>
          <w:szCs w:val="22"/>
          <w:bdr w:val="none" w:sz="0" w:space="0" w:color="auto" w:frame="1"/>
          <w:shd w:val="clear" w:color="auto" w:fill="FFFFFF"/>
        </w:rPr>
        <w:t>E-value developed by</w:t>
      </w:r>
      <w:r w:rsidR="00EE5AB7" w:rsidRPr="007925E2">
        <w:rPr>
          <w:rFonts w:asciiTheme="minorHAnsi" w:hAnsiTheme="minorHAnsi" w:cstheme="minorHAnsi"/>
          <w:sz w:val="22"/>
          <w:szCs w:val="22"/>
          <w:bdr w:val="none" w:sz="0" w:space="0" w:color="auto" w:frame="1"/>
          <w:shd w:val="clear" w:color="auto" w:fill="FFFFFF"/>
        </w:rPr>
        <w:t xml:space="preserve"> Vanderweele et al</w:t>
      </w:r>
      <w:r w:rsidRPr="007925E2">
        <w:rPr>
          <w:rFonts w:asciiTheme="minorHAnsi" w:hAnsiTheme="minorHAnsi" w:cstheme="minorHAnsi"/>
          <w:sz w:val="22"/>
          <w:szCs w:val="22"/>
          <w:bdr w:val="none" w:sz="0" w:space="0" w:color="auto" w:frame="1"/>
          <w:shd w:val="clear" w:color="auto" w:fill="FFFFFF"/>
        </w:rPr>
        <w:t>.</w:t>
      </w:r>
      <w:r w:rsidR="00EE5AB7" w:rsidRPr="007925E2">
        <w:rPr>
          <w:rFonts w:asciiTheme="minorHAnsi" w:hAnsiTheme="minorHAnsi" w:cstheme="minorHAnsi"/>
          <w:sz w:val="20"/>
          <w:szCs w:val="20"/>
          <w:vertAlign w:val="superscript"/>
        </w:rPr>
        <w:t>4</w:t>
      </w:r>
      <w:r w:rsidRPr="007925E2">
        <w:rPr>
          <w:rFonts w:asciiTheme="minorHAnsi" w:hAnsiTheme="minorHAnsi" w:cstheme="minorHAnsi"/>
          <w:sz w:val="22"/>
          <w:szCs w:val="22"/>
          <w:bdr w:val="none" w:sz="0" w:space="0" w:color="auto" w:frame="1"/>
          <w:shd w:val="clear" w:color="auto" w:fill="FFFFFF"/>
        </w:rPr>
        <w:t xml:space="preserve"> The maximum risk ratio</w:t>
      </w:r>
      <w:r w:rsidR="00AE12A5" w:rsidRPr="007925E2">
        <w:rPr>
          <w:rFonts w:asciiTheme="minorHAnsi" w:hAnsiTheme="minorHAnsi" w:cstheme="minorHAnsi"/>
          <w:sz w:val="22"/>
          <w:szCs w:val="22"/>
          <w:bdr w:val="none" w:sz="0" w:space="0" w:color="auto" w:frame="1"/>
          <w:shd w:val="clear" w:color="auto" w:fill="FFFFFF"/>
        </w:rPr>
        <w:t xml:space="preserve"> of covariates and the outcome</w:t>
      </w:r>
      <w:r w:rsidRPr="007925E2">
        <w:rPr>
          <w:rFonts w:asciiTheme="minorHAnsi" w:hAnsiTheme="minorHAnsi" w:cstheme="minorHAnsi"/>
          <w:sz w:val="22"/>
          <w:szCs w:val="22"/>
          <w:bdr w:val="none" w:sz="0" w:space="0" w:color="auto" w:frame="1"/>
          <w:shd w:val="clear" w:color="auto" w:fill="FFFFFF"/>
        </w:rPr>
        <w:t xml:space="preserve"> is obtained with the empirical estimates of the confounders in the model and the maximum risk ratio for unmeasured confounders estimated with available data.</w:t>
      </w:r>
    </w:p>
    <w:p w:rsidR="00073B43" w:rsidRPr="000A4903" w:rsidRDefault="00073B43" w:rsidP="00073B43">
      <w:pPr>
        <w:pStyle w:val="NormalWeb"/>
        <w:shd w:val="clear" w:color="auto" w:fill="FFFFFF"/>
        <w:spacing w:before="0" w:beforeAutospacing="0" w:after="0" w:afterAutospacing="0"/>
        <w:rPr>
          <w:rFonts w:asciiTheme="minorHAnsi" w:hAnsiTheme="minorHAnsi" w:cstheme="minorHAnsi"/>
          <w:color w:val="000000"/>
        </w:rPr>
      </w:pPr>
      <w:r w:rsidRPr="000A4903">
        <w:rPr>
          <w:rFonts w:asciiTheme="minorHAnsi" w:hAnsiTheme="minorHAnsi" w:cstheme="minorHAnsi"/>
          <w:color w:val="0C64C0"/>
          <w:sz w:val="22"/>
          <w:szCs w:val="22"/>
          <w:bdr w:val="none" w:sz="0" w:space="0" w:color="auto" w:frame="1"/>
          <w:shd w:val="clear" w:color="auto" w:fill="FFFFFF"/>
        </w:rPr>
        <w:t> </w:t>
      </w:r>
    </w:p>
    <w:p w:rsidR="0099692A" w:rsidRPr="00E0441A" w:rsidRDefault="0099692A" w:rsidP="0099692A">
      <w:pPr>
        <w:jc w:val="both"/>
        <w:rPr>
          <w:rFonts w:cstheme="minorHAnsi"/>
          <w:b/>
        </w:rPr>
      </w:pPr>
      <w:r w:rsidRPr="00E0441A">
        <w:rPr>
          <w:rFonts w:cstheme="minorHAnsi"/>
          <w:b/>
        </w:rPr>
        <w:t>STATISTICAL ANALYSIS</w:t>
      </w:r>
    </w:p>
    <w:p w:rsidR="0099692A" w:rsidRPr="007925E2" w:rsidRDefault="00FC037F" w:rsidP="0099692A">
      <w:pPr>
        <w:jc w:val="both"/>
        <w:rPr>
          <w:rFonts w:cstheme="minorHAnsi"/>
          <w:color w:val="000000" w:themeColor="text1"/>
        </w:rPr>
      </w:pPr>
      <w:r w:rsidRPr="007925E2">
        <w:rPr>
          <w:rFonts w:cstheme="minorHAnsi"/>
          <w:bdr w:val="none" w:sz="0" w:space="0" w:color="auto" w:frame="1"/>
          <w:shd w:val="clear" w:color="auto" w:fill="FFFFFF"/>
        </w:rPr>
        <w:t>We construct</w:t>
      </w:r>
      <w:r w:rsidR="00487B7A">
        <w:rPr>
          <w:rFonts w:cstheme="minorHAnsi"/>
          <w:bdr w:val="none" w:sz="0" w:space="0" w:color="auto" w:frame="1"/>
          <w:shd w:val="clear" w:color="auto" w:fill="FFFFFF"/>
        </w:rPr>
        <w:t>ed</w:t>
      </w:r>
      <w:r w:rsidRPr="007925E2">
        <w:rPr>
          <w:rFonts w:cstheme="minorHAnsi"/>
          <w:bdr w:val="none" w:sz="0" w:space="0" w:color="auto" w:frame="1"/>
          <w:shd w:val="clear" w:color="auto" w:fill="FFFFFF"/>
        </w:rPr>
        <w:t xml:space="preserve"> the study cohort following the aforementioned criteria </w:t>
      </w:r>
      <w:r w:rsidRPr="00D54DBB">
        <w:rPr>
          <w:rFonts w:cstheme="minorHAnsi"/>
          <w:color w:val="4472C4" w:themeColor="accent5"/>
          <w:bdr w:val="none" w:sz="0" w:space="0" w:color="auto" w:frame="1"/>
          <w:shd w:val="clear" w:color="auto" w:fill="FFFFFF"/>
        </w:rPr>
        <w:t xml:space="preserve">(Figure). </w:t>
      </w:r>
      <w:r w:rsidR="000763FD">
        <w:rPr>
          <w:rFonts w:cstheme="minorHAnsi"/>
        </w:rPr>
        <w:t xml:space="preserve">The </w:t>
      </w:r>
      <w:r w:rsidR="002C009B">
        <w:rPr>
          <w:rFonts w:cstheme="minorHAnsi"/>
        </w:rPr>
        <w:t xml:space="preserve">adjusted </w:t>
      </w:r>
      <w:r w:rsidR="000763FD">
        <w:rPr>
          <w:rFonts w:cstheme="minorHAnsi"/>
        </w:rPr>
        <w:t xml:space="preserve">covariates include </w:t>
      </w:r>
      <w:r w:rsidR="00D270B8">
        <w:rPr>
          <w:rFonts w:cstheme="minorHAnsi"/>
        </w:rPr>
        <w:t xml:space="preserve">age, sex, smoking, obesity, </w:t>
      </w:r>
      <w:r w:rsidR="008B3459">
        <w:rPr>
          <w:rFonts w:cstheme="minorHAnsi"/>
        </w:rPr>
        <w:t xml:space="preserve">the </w:t>
      </w:r>
      <w:r w:rsidR="00D270B8">
        <w:rPr>
          <w:rFonts w:cstheme="minorHAnsi"/>
        </w:rPr>
        <w:t xml:space="preserve">above mentioned comorbidities and influenza vaccination. We </w:t>
      </w:r>
      <w:r w:rsidR="000763FD">
        <w:rPr>
          <w:rFonts w:cstheme="minorHAnsi"/>
        </w:rPr>
        <w:t xml:space="preserve">then </w:t>
      </w:r>
      <w:r w:rsidR="00234760">
        <w:rPr>
          <w:rFonts w:cstheme="minorHAnsi"/>
        </w:rPr>
        <w:t>estimate</w:t>
      </w:r>
      <w:r w:rsidR="00487B7A">
        <w:rPr>
          <w:rFonts w:cstheme="minorHAnsi"/>
        </w:rPr>
        <w:t>d</w:t>
      </w:r>
      <w:r w:rsidR="0099692A" w:rsidRPr="00E0441A">
        <w:rPr>
          <w:rFonts w:cstheme="minorHAnsi"/>
        </w:rPr>
        <w:t xml:space="preserve"> </w:t>
      </w:r>
      <w:r w:rsidR="00234760">
        <w:rPr>
          <w:rFonts w:cstheme="minorHAnsi"/>
          <w:color w:val="000000" w:themeColor="text1"/>
        </w:rPr>
        <w:t>h</w:t>
      </w:r>
      <w:r w:rsidR="00D270B8">
        <w:rPr>
          <w:rFonts w:cstheme="minorHAnsi"/>
          <w:color w:val="000000" w:themeColor="text1"/>
        </w:rPr>
        <w:t xml:space="preserve">azard ratios </w:t>
      </w:r>
      <w:r w:rsidR="00B65A28">
        <w:rPr>
          <w:rFonts w:cstheme="minorHAnsi"/>
          <w:color w:val="0C64C0"/>
          <w:bdr w:val="none" w:sz="0" w:space="0" w:color="auto" w:frame="1"/>
          <w:shd w:val="clear" w:color="auto" w:fill="FFFFFF"/>
        </w:rPr>
        <w:t xml:space="preserve">associated with </w:t>
      </w:r>
      <w:r w:rsidR="00921E6E">
        <w:rPr>
          <w:rFonts w:cstheme="minorHAnsi"/>
          <w:color w:val="0C64C0"/>
          <w:bdr w:val="none" w:sz="0" w:space="0" w:color="auto" w:frame="1"/>
          <w:shd w:val="clear" w:color="auto" w:fill="FFFFFF"/>
        </w:rPr>
        <w:t xml:space="preserve">ACEI use </w:t>
      </w:r>
      <w:r w:rsidR="007925E2" w:rsidRPr="007925E2">
        <w:rPr>
          <w:rFonts w:cstheme="minorHAnsi"/>
          <w:color w:val="2E74B5" w:themeColor="accent1" w:themeShade="BF"/>
        </w:rPr>
        <w:t>compared to</w:t>
      </w:r>
      <w:r w:rsidR="007925E2">
        <w:rPr>
          <w:rFonts w:cstheme="minorHAnsi"/>
          <w:color w:val="2E74B5" w:themeColor="accent1" w:themeShade="BF"/>
        </w:rPr>
        <w:t xml:space="preserve"> non-users</w:t>
      </w:r>
      <w:r w:rsidR="007925E2" w:rsidRPr="007925E2">
        <w:rPr>
          <w:rFonts w:cstheme="minorHAnsi"/>
          <w:color w:val="2E74B5" w:themeColor="accent1" w:themeShade="BF"/>
        </w:rPr>
        <w:t xml:space="preserve"> </w:t>
      </w:r>
      <w:r w:rsidR="00D270B8">
        <w:rPr>
          <w:rFonts w:cstheme="minorHAnsi"/>
          <w:color w:val="000000" w:themeColor="text1"/>
        </w:rPr>
        <w:t>for</w:t>
      </w:r>
      <w:r w:rsidR="008D0158">
        <w:rPr>
          <w:rFonts w:cstheme="minorHAnsi"/>
          <w:color w:val="000000" w:themeColor="text1"/>
        </w:rPr>
        <w:t xml:space="preserve"> </w:t>
      </w:r>
      <w:r w:rsidR="00167F30">
        <w:rPr>
          <w:rFonts w:cstheme="minorHAnsi"/>
          <w:color w:val="000000" w:themeColor="text1"/>
        </w:rPr>
        <w:t xml:space="preserve">incident </w:t>
      </w:r>
      <w:r w:rsidR="009D6B10">
        <w:rPr>
          <w:rFonts w:cstheme="minorHAnsi"/>
          <w:color w:val="000000" w:themeColor="text1"/>
        </w:rPr>
        <w:t>influenza</w:t>
      </w:r>
      <w:r w:rsidR="00FC6B04">
        <w:rPr>
          <w:rFonts w:cstheme="minorHAnsi"/>
          <w:color w:val="000000" w:themeColor="text1"/>
        </w:rPr>
        <w:t xml:space="preserve">, </w:t>
      </w:r>
      <w:r w:rsidR="00FC6B04">
        <w:rPr>
          <w:rFonts w:cstheme="minorHAnsi"/>
          <w:color w:val="2E74B5" w:themeColor="accent1" w:themeShade="BF"/>
        </w:rPr>
        <w:t xml:space="preserve">and subsequently by duration of ACEI use categories. </w:t>
      </w:r>
      <w:r w:rsidR="006A5D55" w:rsidRPr="007925E2">
        <w:rPr>
          <w:rFonts w:cstheme="minorHAnsi"/>
          <w:color w:val="000000" w:themeColor="text1"/>
        </w:rPr>
        <w:t>The pro</w:t>
      </w:r>
      <w:r w:rsidR="00C727A6" w:rsidRPr="007925E2">
        <w:rPr>
          <w:rFonts w:cstheme="minorHAnsi"/>
          <w:color w:val="000000" w:themeColor="text1"/>
        </w:rPr>
        <w:t>portional hazards assumption is</w:t>
      </w:r>
      <w:r w:rsidR="006A5D55" w:rsidRPr="007925E2">
        <w:rPr>
          <w:rFonts w:cstheme="minorHAnsi"/>
          <w:color w:val="000000" w:themeColor="text1"/>
        </w:rPr>
        <w:t xml:space="preserve"> examined by </w:t>
      </w:r>
      <w:r w:rsidR="00921E6E" w:rsidRPr="00921E6E">
        <w:rPr>
          <w:rFonts w:cstheme="minorHAnsi"/>
          <w:color w:val="2E74B5" w:themeColor="accent1" w:themeShade="BF"/>
        </w:rPr>
        <w:t>Kaplan-Meir cumulative mortality curves</w:t>
      </w:r>
      <w:r w:rsidR="006A5D55" w:rsidRPr="007925E2">
        <w:rPr>
          <w:rFonts w:cstheme="minorHAnsi"/>
          <w:color w:val="000000" w:themeColor="text1"/>
        </w:rPr>
        <w:t>. S</w:t>
      </w:r>
      <w:r w:rsidR="00583145" w:rsidRPr="007925E2">
        <w:rPr>
          <w:rFonts w:cstheme="minorHAnsi"/>
          <w:color w:val="000000" w:themeColor="text1"/>
        </w:rPr>
        <w:t xml:space="preserve">ensitivity analyses </w:t>
      </w:r>
      <w:r w:rsidR="00487B7A">
        <w:rPr>
          <w:rFonts w:cstheme="minorHAnsi"/>
          <w:color w:val="000000" w:themeColor="text1"/>
        </w:rPr>
        <w:t>were</w:t>
      </w:r>
      <w:r w:rsidR="00487B7A" w:rsidRPr="007925E2">
        <w:rPr>
          <w:rFonts w:cstheme="minorHAnsi"/>
          <w:color w:val="000000" w:themeColor="text1"/>
        </w:rPr>
        <w:t xml:space="preserve"> </w:t>
      </w:r>
      <w:r w:rsidR="00583145" w:rsidRPr="007925E2">
        <w:rPr>
          <w:rFonts w:cstheme="minorHAnsi"/>
          <w:color w:val="000000" w:themeColor="text1"/>
        </w:rPr>
        <w:t xml:space="preserve">conducted to assess the impact of unmeasured confounding on the study results. The analyses of comparing ARB users and non-users </w:t>
      </w:r>
      <w:r w:rsidR="00487B7A">
        <w:rPr>
          <w:rFonts w:cstheme="minorHAnsi"/>
          <w:color w:val="000000" w:themeColor="text1"/>
        </w:rPr>
        <w:t>was</w:t>
      </w:r>
      <w:r w:rsidR="00487B7A" w:rsidRPr="007925E2">
        <w:rPr>
          <w:rFonts w:cstheme="minorHAnsi"/>
          <w:color w:val="000000" w:themeColor="text1"/>
        </w:rPr>
        <w:t xml:space="preserve"> </w:t>
      </w:r>
      <w:r w:rsidR="00583145" w:rsidRPr="007925E2">
        <w:rPr>
          <w:rFonts w:cstheme="minorHAnsi"/>
          <w:color w:val="000000" w:themeColor="text1"/>
        </w:rPr>
        <w:t xml:space="preserve">implemented </w:t>
      </w:r>
      <w:r w:rsidR="00AE12A5" w:rsidRPr="007925E2">
        <w:rPr>
          <w:rFonts w:cstheme="minorHAnsi"/>
          <w:color w:val="000000" w:themeColor="text1"/>
        </w:rPr>
        <w:t xml:space="preserve">independently </w:t>
      </w:r>
      <w:r w:rsidR="00583145" w:rsidRPr="007925E2">
        <w:rPr>
          <w:rFonts w:cstheme="minorHAnsi"/>
          <w:color w:val="000000" w:themeColor="text1"/>
        </w:rPr>
        <w:t>with the same method.</w:t>
      </w:r>
      <w:r w:rsidRPr="007925E2">
        <w:rPr>
          <w:rFonts w:cstheme="minorHAnsi"/>
          <w:color w:val="000000" w:themeColor="text1"/>
        </w:rPr>
        <w:t xml:space="preserve"> </w:t>
      </w:r>
    </w:p>
    <w:p w:rsidR="0099692A" w:rsidRPr="00E0441A" w:rsidRDefault="0099692A" w:rsidP="0099692A">
      <w:pPr>
        <w:jc w:val="both"/>
        <w:rPr>
          <w:rFonts w:cstheme="minorHAnsi"/>
          <w:b/>
        </w:rPr>
      </w:pPr>
      <w:r w:rsidRPr="00E0441A">
        <w:rPr>
          <w:rFonts w:cstheme="minorHAnsi"/>
        </w:rPr>
        <w:t>We performed the analyses in t</w:t>
      </w:r>
      <w:r w:rsidR="00234760">
        <w:rPr>
          <w:rFonts w:cstheme="minorHAnsi"/>
        </w:rPr>
        <w:t>he secured d</w:t>
      </w:r>
      <w:r w:rsidRPr="00E0441A">
        <w:rPr>
          <w:rFonts w:cstheme="minorHAnsi"/>
        </w:rPr>
        <w:t>ata safe haven environment, meeting the data safety and information government requirements by the UCL, NHS Digital and ONS. The statistical software used for data curation are Python, MySQL and R. Analyses were performed in SAS (version 9.4), R (version 3.6.1).</w:t>
      </w:r>
    </w:p>
    <w:p w:rsidR="003F607E" w:rsidRDefault="005854D2">
      <w:pPr>
        <w:rPr>
          <w:b/>
        </w:rPr>
      </w:pPr>
      <w:r>
        <w:rPr>
          <w:b/>
        </w:rPr>
        <w:t xml:space="preserve">Reference </w:t>
      </w:r>
    </w:p>
    <w:p w:rsidR="00F970DC" w:rsidRDefault="00F970DC" w:rsidP="00F970DC">
      <w:pPr>
        <w:pStyle w:val="ListParagraph"/>
        <w:numPr>
          <w:ilvl w:val="0"/>
          <w:numId w:val="1"/>
        </w:numPr>
      </w:pPr>
      <w:r w:rsidRPr="00F970DC">
        <w:t>Denaxas SC, George J, Herrett E, Shah AD, Kalra D, Hingorani AD, et al. Data resource profile: cardiovascular disease research using linked bespoke studies and electronic health records (CALIBER). Int J Epidemiol. 2012;41(6):1625-38.</w:t>
      </w:r>
    </w:p>
    <w:p w:rsidR="00F970DC" w:rsidRDefault="00F970DC" w:rsidP="00F970DC">
      <w:pPr>
        <w:pStyle w:val="EndNoteBibliography"/>
        <w:numPr>
          <w:ilvl w:val="0"/>
          <w:numId w:val="1"/>
        </w:numPr>
        <w:spacing w:after="0"/>
      </w:pPr>
      <w:r w:rsidRPr="00D45260">
        <w:t>Denaxas S, Gonzalez-Izquierdo A, Direk K, et al. UK phenomics platform for developing and validating electronic health record phenotypes: CALIBER. J Am Med Inform Assoc 2019;26:1545-59.</w:t>
      </w:r>
    </w:p>
    <w:p w:rsidR="00D270B8" w:rsidRPr="00EE5AB7" w:rsidRDefault="005854D2" w:rsidP="00B655CF">
      <w:pPr>
        <w:pStyle w:val="ListParagraph"/>
        <w:numPr>
          <w:ilvl w:val="0"/>
          <w:numId w:val="1"/>
        </w:numPr>
        <w:rPr>
          <w:b/>
        </w:rPr>
      </w:pPr>
      <w:r>
        <w:rPr>
          <w:rFonts w:cstheme="minorHAnsi"/>
        </w:rPr>
        <w:t>CALIBER variable:</w:t>
      </w:r>
      <w:r w:rsidRPr="005854D2">
        <w:rPr>
          <w:rFonts w:cstheme="minorHAnsi"/>
        </w:rPr>
        <w:t xml:space="preserve"> </w:t>
      </w:r>
      <w:hyperlink r:id="rId8" w:history="1">
        <w:r>
          <w:rPr>
            <w:rStyle w:val="Hyperlink"/>
          </w:rPr>
          <w:t>caliberresearch.org/portal/show/hypertension_and_heart_failure_gprdprod</w:t>
        </w:r>
      </w:hyperlink>
      <w:r>
        <w:t>,</w:t>
      </w:r>
      <w:r w:rsidRPr="005854D2">
        <w:rPr>
          <w:rFonts w:cstheme="minorHAnsi"/>
        </w:rPr>
        <w:t xml:space="preserve"> </w:t>
      </w:r>
      <w:r>
        <w:rPr>
          <w:rFonts w:cstheme="minorHAnsi"/>
        </w:rPr>
        <w:t>category (3),</w:t>
      </w:r>
      <w:r>
        <w:t xml:space="preserve"> accessed at 15, March, 2020.</w:t>
      </w:r>
    </w:p>
    <w:p w:rsidR="00B655CF" w:rsidRDefault="00EE5AB7" w:rsidP="00583145">
      <w:pPr>
        <w:pStyle w:val="ListParagraph"/>
        <w:numPr>
          <w:ilvl w:val="0"/>
          <w:numId w:val="1"/>
        </w:numPr>
      </w:pPr>
      <w:r>
        <w:t>VanderWeele TJ, Ding P</w:t>
      </w:r>
      <w:r w:rsidRPr="00EE5AB7">
        <w:t>.Sensitivity Analysis in Observational Research: Introduc</w:t>
      </w:r>
      <w:r>
        <w:t xml:space="preserve">ing the E-Value. </w:t>
      </w:r>
      <w:r w:rsidRPr="00EE5AB7">
        <w:t>Ann Intern Med. 2017 Aug 15;167(4):268-274.</w:t>
      </w:r>
    </w:p>
    <w:p w:rsidR="00583145" w:rsidRDefault="00583145" w:rsidP="00583145"/>
    <w:p w:rsidR="00583145" w:rsidRDefault="00583145" w:rsidP="00583145"/>
    <w:p w:rsidR="001C077D" w:rsidRPr="00D856DF" w:rsidRDefault="001C077D" w:rsidP="001C077D">
      <w:pPr>
        <w:rPr>
          <w:rFonts w:ascii="Arial" w:hAnsi="Arial" w:cs="Arial"/>
        </w:rPr>
      </w:pPr>
      <w:r>
        <w:rPr>
          <w:rFonts w:ascii="Arial" w:hAnsi="Arial" w:cs="Arial"/>
        </w:rPr>
        <w:t>T</w:t>
      </w:r>
      <w:r w:rsidRPr="00D856DF">
        <w:rPr>
          <w:rFonts w:ascii="Arial" w:hAnsi="Arial" w:cs="Arial"/>
        </w:rPr>
        <w:t>able 1: definition of influenza</w:t>
      </w:r>
    </w:p>
    <w:p w:rsidR="001C077D" w:rsidRPr="00D856DF" w:rsidRDefault="001C077D" w:rsidP="001C077D">
      <w:pPr>
        <w:rPr>
          <w:rFonts w:ascii="Arial" w:hAnsi="Arial" w:cs="Arial"/>
        </w:rPr>
      </w:pPr>
      <w:r w:rsidRPr="00D856DF">
        <w:rPr>
          <w:rFonts w:ascii="Arial" w:hAnsi="Arial" w:cs="Arial"/>
          <w:noProof/>
          <w:lang w:eastAsia="en-GB"/>
        </w:rPr>
        <w:drawing>
          <wp:inline distT="0" distB="0" distL="0" distR="0" wp14:anchorId="221F4625" wp14:editId="24D2B3BD">
            <wp:extent cx="4278153" cy="44100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luenza defini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8153" cy="4410075"/>
                    </a:xfrm>
                    <a:prstGeom prst="rect">
                      <a:avLst/>
                    </a:prstGeom>
                  </pic:spPr>
                </pic:pic>
              </a:graphicData>
            </a:graphic>
          </wp:inline>
        </w:drawing>
      </w:r>
    </w:p>
    <w:p w:rsidR="009502E0" w:rsidRDefault="009502E0" w:rsidP="00B655CF">
      <w:pPr>
        <w:sectPr w:rsidR="009502E0">
          <w:pgSz w:w="11906" w:h="16838"/>
          <w:pgMar w:top="1440" w:right="1440" w:bottom="1440" w:left="1440" w:header="708" w:footer="708" w:gutter="0"/>
          <w:cols w:space="708"/>
          <w:docGrid w:linePitch="360"/>
        </w:sectPr>
      </w:pPr>
    </w:p>
    <w:p w:rsidR="00977E67" w:rsidRDefault="00921E6E" w:rsidP="00B655CF">
      <w:r>
        <w:rPr>
          <w:noProof/>
          <w:lang w:eastAsia="en-GB"/>
        </w:rPr>
        <w:drawing>
          <wp:inline distT="0" distB="0" distL="0" distR="0" wp14:anchorId="42461946" wp14:editId="16447470">
            <wp:extent cx="7181850" cy="501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al Diagram_ACEI_refined.jpg"/>
                    <pic:cNvPicPr/>
                  </pic:nvPicPr>
                  <pic:blipFill>
                    <a:blip r:embed="rId10">
                      <a:extLst>
                        <a:ext uri="{28A0092B-C50C-407E-A947-70E740481C1C}">
                          <a14:useLocalDpi xmlns:a14="http://schemas.microsoft.com/office/drawing/2010/main" val="0"/>
                        </a:ext>
                      </a:extLst>
                    </a:blip>
                    <a:stretch>
                      <a:fillRect/>
                    </a:stretch>
                  </pic:blipFill>
                  <pic:spPr>
                    <a:xfrm>
                      <a:off x="0" y="0"/>
                      <a:ext cx="7181850" cy="5010150"/>
                    </a:xfrm>
                    <a:prstGeom prst="rect">
                      <a:avLst/>
                    </a:prstGeom>
                  </pic:spPr>
                </pic:pic>
              </a:graphicData>
            </a:graphic>
          </wp:inline>
        </w:drawing>
      </w:r>
    </w:p>
    <w:p w:rsidR="009502E0" w:rsidRDefault="009502E0" w:rsidP="00B655CF">
      <w:pPr>
        <w:rPr>
          <w:noProof/>
          <w:lang w:eastAsia="en-GB"/>
        </w:rPr>
      </w:pPr>
      <w:r>
        <w:t xml:space="preserve">Figure: </w:t>
      </w:r>
      <w:r w:rsidRPr="00FF6C02">
        <w:rPr>
          <w:noProof/>
          <w:lang w:eastAsia="en-GB"/>
        </w:rPr>
        <w:t>Entity Relational Diagram</w:t>
      </w:r>
      <w:r>
        <w:rPr>
          <w:noProof/>
          <w:lang w:eastAsia="en-GB"/>
        </w:rPr>
        <w:t xml:space="preserve"> of the study population (ACEI analyses as an example).</w:t>
      </w:r>
      <w:r w:rsidR="00C875E8">
        <w:rPr>
          <w:noProof/>
          <w:lang w:eastAsia="en-GB"/>
        </w:rPr>
        <w:t xml:space="preserve"> </w:t>
      </w:r>
    </w:p>
    <w:p w:rsidR="001C077D" w:rsidRDefault="00C875E8">
      <w:pPr>
        <w:rPr>
          <w:noProof/>
          <w:sz w:val="16"/>
          <w:szCs w:val="16"/>
          <w:lang w:eastAsia="en-GB"/>
        </w:rPr>
      </w:pPr>
      <w:r>
        <w:rPr>
          <w:noProof/>
          <w:lang w:eastAsia="en-GB"/>
        </w:rPr>
        <w:t>*</w:t>
      </w:r>
      <w:r w:rsidRPr="00C875E8">
        <w:rPr>
          <w:noProof/>
          <w:sz w:val="16"/>
          <w:szCs w:val="16"/>
          <w:lang w:eastAsia="en-GB"/>
        </w:rPr>
        <w:t>CPRD: Clinical Practice Research Datalink</w:t>
      </w:r>
      <w:r>
        <w:rPr>
          <w:noProof/>
          <w:sz w:val="16"/>
          <w:szCs w:val="16"/>
          <w:lang w:eastAsia="en-GB"/>
        </w:rPr>
        <w:t xml:space="preserve">; ACEI: </w:t>
      </w:r>
      <w:r w:rsidRPr="00C875E8">
        <w:rPr>
          <w:noProof/>
          <w:sz w:val="16"/>
          <w:szCs w:val="16"/>
          <w:lang w:eastAsia="en-GB"/>
        </w:rPr>
        <w:t>Angiotensin converting enzyme inhibitors</w:t>
      </w:r>
      <w:r>
        <w:rPr>
          <w:noProof/>
          <w:sz w:val="16"/>
          <w:szCs w:val="16"/>
          <w:lang w:eastAsia="en-GB"/>
        </w:rPr>
        <w:t xml:space="preserve">; ARB: </w:t>
      </w:r>
      <w:r w:rsidRPr="00C875E8">
        <w:rPr>
          <w:noProof/>
          <w:sz w:val="16"/>
          <w:szCs w:val="16"/>
          <w:lang w:eastAsia="en-GB"/>
        </w:rPr>
        <w:t>Angiotensin II Receptor Blockers</w:t>
      </w:r>
      <w:r w:rsidR="001C077D">
        <w:rPr>
          <w:noProof/>
          <w:sz w:val="16"/>
          <w:szCs w:val="16"/>
          <w:lang w:eastAsia="en-GB"/>
        </w:rPr>
        <w:t>; GP: general practise.</w:t>
      </w:r>
    </w:p>
    <w:p w:rsidR="001C077D" w:rsidRPr="00D856DF" w:rsidRDefault="001C077D" w:rsidP="001C077D">
      <w:pPr>
        <w:rPr>
          <w:rFonts w:ascii="Arial" w:hAnsi="Arial" w:cs="Arial"/>
        </w:rPr>
      </w:pPr>
      <w:r>
        <w:rPr>
          <w:rFonts w:ascii="Arial" w:hAnsi="Arial" w:cs="Arial"/>
        </w:rPr>
        <w:t>T</w:t>
      </w:r>
      <w:r w:rsidRPr="00D856DF">
        <w:rPr>
          <w:rFonts w:ascii="Arial" w:hAnsi="Arial" w:cs="Arial"/>
        </w:rPr>
        <w:t>able 2: definition of covariates</w:t>
      </w:r>
    </w:p>
    <w:tbl>
      <w:tblPr>
        <w:tblW w:w="14742" w:type="dxa"/>
        <w:tblLayout w:type="fixed"/>
        <w:tblLook w:val="04A0" w:firstRow="1" w:lastRow="0" w:firstColumn="1" w:lastColumn="0" w:noHBand="0" w:noVBand="1"/>
      </w:tblPr>
      <w:tblGrid>
        <w:gridCol w:w="2552"/>
        <w:gridCol w:w="8647"/>
        <w:gridCol w:w="3543"/>
      </w:tblGrid>
      <w:tr w:rsidR="001C077D" w:rsidRPr="00D856DF" w:rsidTr="001C2CC2">
        <w:trPr>
          <w:trHeight w:val="20"/>
        </w:trPr>
        <w:tc>
          <w:tcPr>
            <w:tcW w:w="2552" w:type="dxa"/>
            <w:tcBorders>
              <w:top w:val="single" w:sz="4" w:space="0" w:color="auto"/>
              <w:bottom w:val="single" w:sz="4" w:space="0" w:color="auto"/>
            </w:tcBorders>
            <w:vAlign w:val="center"/>
            <w:hideMark/>
          </w:tcPr>
          <w:p w:rsidR="001C077D" w:rsidRPr="00DD76FF" w:rsidRDefault="003D3066" w:rsidP="001C2CC2">
            <w:pPr>
              <w:spacing w:after="0" w:line="240" w:lineRule="auto"/>
              <w:contextualSpacing/>
              <w:rPr>
                <w:rFonts w:eastAsia="Times New Roman" w:cs="Times New Roman"/>
                <w:b/>
              </w:rPr>
            </w:pPr>
            <w:r w:rsidRPr="00DD76FF">
              <w:rPr>
                <w:rFonts w:eastAsia="Times New Roman" w:cs="Times New Roman"/>
                <w:b/>
              </w:rPr>
              <w:t>Exposure and covariates</w:t>
            </w:r>
          </w:p>
        </w:tc>
        <w:tc>
          <w:tcPr>
            <w:tcW w:w="8647" w:type="dxa"/>
            <w:tcBorders>
              <w:top w:val="single" w:sz="4" w:space="0" w:color="auto"/>
              <w:bottom w:val="single" w:sz="4" w:space="0" w:color="auto"/>
            </w:tcBorders>
            <w:noWrap/>
            <w:vAlign w:val="center"/>
            <w:hideMark/>
          </w:tcPr>
          <w:p w:rsidR="001C077D" w:rsidRPr="00DD76FF" w:rsidRDefault="001C077D" w:rsidP="001C2CC2">
            <w:pPr>
              <w:spacing w:after="0" w:line="240" w:lineRule="auto"/>
              <w:contextualSpacing/>
              <w:rPr>
                <w:rFonts w:eastAsia="Times New Roman" w:cs="Times New Roman"/>
                <w:b/>
              </w:rPr>
            </w:pPr>
            <w:r w:rsidRPr="00DD76FF">
              <w:rPr>
                <w:rFonts w:eastAsia="Times New Roman" w:cs="Times New Roman"/>
                <w:b/>
              </w:rPr>
              <w:t>Definitions</w:t>
            </w:r>
          </w:p>
        </w:tc>
        <w:tc>
          <w:tcPr>
            <w:tcW w:w="3543" w:type="dxa"/>
            <w:tcBorders>
              <w:top w:val="single" w:sz="4" w:space="0" w:color="auto"/>
              <w:bottom w:val="single" w:sz="4" w:space="0" w:color="auto"/>
            </w:tcBorders>
            <w:vAlign w:val="center"/>
            <w:hideMark/>
          </w:tcPr>
          <w:p w:rsidR="001C077D" w:rsidRPr="00D856DF" w:rsidRDefault="001C077D" w:rsidP="001C2CC2">
            <w:pPr>
              <w:spacing w:after="0" w:line="240" w:lineRule="auto"/>
              <w:contextualSpacing/>
              <w:rPr>
                <w:rFonts w:eastAsia="Times New Roman" w:cs="Times New Roman"/>
                <w:b/>
              </w:rPr>
            </w:pPr>
            <w:r w:rsidRPr="00D856DF">
              <w:rPr>
                <w:rFonts w:eastAsia="Times New Roman" w:cs="Times New Roman"/>
                <w:b/>
              </w:rPr>
              <w:t>Timing of measure</w:t>
            </w:r>
          </w:p>
        </w:tc>
      </w:tr>
      <w:tr w:rsidR="001C077D" w:rsidRPr="00D856DF" w:rsidTr="00921E6E">
        <w:trPr>
          <w:trHeight w:val="20"/>
        </w:trPr>
        <w:tc>
          <w:tcPr>
            <w:tcW w:w="2552" w:type="dxa"/>
            <w:tcBorders>
              <w:top w:val="single" w:sz="4" w:space="0" w:color="auto"/>
              <w:bottom w:val="single" w:sz="4" w:space="0" w:color="E7E6E6" w:themeColor="background2"/>
            </w:tcBorders>
            <w:vAlign w:val="center"/>
            <w:hideMark/>
          </w:tcPr>
          <w:p w:rsidR="001C077D" w:rsidRPr="00DD76FF" w:rsidRDefault="003D3066" w:rsidP="001C2CC2">
            <w:pPr>
              <w:spacing w:after="0" w:line="240" w:lineRule="auto"/>
              <w:contextualSpacing/>
              <w:rPr>
                <w:rFonts w:eastAsia="Times New Roman" w:cs="Times New Roman"/>
              </w:rPr>
            </w:pPr>
            <w:r w:rsidRPr="00DD76FF">
              <w:rPr>
                <w:rFonts w:eastAsia="Times New Roman" w:cs="Times New Roman"/>
              </w:rPr>
              <w:t>Angiotensin-converting enzyme inhibitors</w:t>
            </w:r>
          </w:p>
        </w:tc>
        <w:tc>
          <w:tcPr>
            <w:tcW w:w="8647" w:type="dxa"/>
            <w:tcBorders>
              <w:top w:val="single" w:sz="4" w:space="0" w:color="auto"/>
              <w:bottom w:val="single" w:sz="4" w:space="0" w:color="E7E6E6" w:themeColor="background2"/>
            </w:tcBorders>
            <w:noWrap/>
            <w:vAlign w:val="center"/>
          </w:tcPr>
          <w:p w:rsidR="003D3066" w:rsidRPr="00DD76FF" w:rsidRDefault="00A87652" w:rsidP="001C2CC2">
            <w:pPr>
              <w:spacing w:after="0" w:line="240" w:lineRule="auto"/>
              <w:contextualSpacing/>
            </w:pPr>
            <w:hyperlink r:id="rId11" w:history="1">
              <w:r w:rsidR="003D3066" w:rsidRPr="00DD76FF">
                <w:rPr>
                  <w:rStyle w:val="Hyperlink"/>
                  <w:color w:val="auto"/>
                </w:rPr>
                <w:t>https://caliberresearch.org/portal/show/hypertension_and_heart_failure_gprdprod</w:t>
              </w:r>
            </w:hyperlink>
            <w:r w:rsidR="003D3066" w:rsidRPr="00DD76FF">
              <w:t xml:space="preserve"> </w:t>
            </w:r>
          </w:p>
          <w:p w:rsidR="001C077D" w:rsidRPr="00DD76FF" w:rsidRDefault="003D3066" w:rsidP="001C2CC2">
            <w:pPr>
              <w:spacing w:after="0" w:line="240" w:lineRule="auto"/>
              <w:contextualSpacing/>
              <w:rPr>
                <w:rFonts w:eastAsia="Times New Roman" w:cs="Times New Roman"/>
              </w:rPr>
            </w:pPr>
            <w:r w:rsidRPr="00DD76FF">
              <w:t>(category 3)</w:t>
            </w:r>
          </w:p>
        </w:tc>
        <w:tc>
          <w:tcPr>
            <w:tcW w:w="3543" w:type="dxa"/>
            <w:tcBorders>
              <w:top w:val="single" w:sz="4" w:space="0" w:color="auto"/>
              <w:bottom w:val="single" w:sz="4" w:space="0" w:color="E7E6E6" w:themeColor="background2"/>
            </w:tcBorders>
            <w:vAlign w:val="center"/>
            <w:hideMark/>
          </w:tcPr>
          <w:p w:rsidR="001C077D" w:rsidRPr="00D856DF" w:rsidRDefault="003D3066" w:rsidP="001C2CC2">
            <w:pPr>
              <w:spacing w:after="0" w:line="240" w:lineRule="auto"/>
              <w:contextualSpacing/>
              <w:rPr>
                <w:rFonts w:eastAsia="Times New Roman" w:cs="Times New Roman"/>
              </w:rPr>
            </w:pPr>
            <w:r>
              <w:rPr>
                <w:rFonts w:eastAsia="Times New Roman" w:cs="Times New Roman"/>
              </w:rPr>
              <w:t>Use before study exit</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D76FF" w:rsidRDefault="003D3066" w:rsidP="001C2CC2">
            <w:pPr>
              <w:spacing w:after="0" w:line="240" w:lineRule="auto"/>
              <w:contextualSpacing/>
              <w:rPr>
                <w:rFonts w:eastAsia="Times New Roman" w:cs="Times New Roman"/>
              </w:rPr>
            </w:pPr>
            <w:r w:rsidRPr="00DD76FF">
              <w:rPr>
                <w:rFonts w:eastAsia="Times New Roman" w:cs="Times New Roman"/>
              </w:rPr>
              <w:t>Angiotensin-II receptor antagonists</w:t>
            </w:r>
          </w:p>
        </w:tc>
        <w:tc>
          <w:tcPr>
            <w:tcW w:w="8647" w:type="dxa"/>
            <w:tcBorders>
              <w:top w:val="single" w:sz="4" w:space="0" w:color="E7E6E6" w:themeColor="background2"/>
              <w:bottom w:val="single" w:sz="4" w:space="0" w:color="E7E6E6" w:themeColor="background2"/>
            </w:tcBorders>
            <w:noWrap/>
            <w:vAlign w:val="center"/>
          </w:tcPr>
          <w:p w:rsidR="003D3066" w:rsidRPr="00DD76FF" w:rsidRDefault="00A87652" w:rsidP="001C2CC2">
            <w:pPr>
              <w:spacing w:after="0" w:line="240" w:lineRule="auto"/>
              <w:contextualSpacing/>
            </w:pPr>
            <w:hyperlink r:id="rId12" w:history="1">
              <w:r w:rsidR="003D3066" w:rsidRPr="00DD76FF">
                <w:rPr>
                  <w:rStyle w:val="Hyperlink"/>
                  <w:color w:val="auto"/>
                </w:rPr>
                <w:t>https://caliberresearch.org/portal/show/hypertension_and_heart_failure_gprdprod</w:t>
              </w:r>
            </w:hyperlink>
            <w:r w:rsidR="003D3066" w:rsidRPr="00DD76FF">
              <w:t xml:space="preserve"> </w:t>
            </w:r>
          </w:p>
          <w:p w:rsidR="00921E6E" w:rsidRPr="00DD76FF" w:rsidRDefault="003D3066" w:rsidP="001C2CC2">
            <w:pPr>
              <w:spacing w:after="0" w:line="240" w:lineRule="auto"/>
              <w:contextualSpacing/>
              <w:rPr>
                <w:rFonts w:eastAsia="Times New Roman" w:cs="Times New Roman"/>
              </w:rPr>
            </w:pPr>
            <w:r w:rsidRPr="00DD76FF">
              <w:t>(category 4)</w:t>
            </w:r>
          </w:p>
        </w:tc>
        <w:tc>
          <w:tcPr>
            <w:tcW w:w="3543" w:type="dxa"/>
            <w:tcBorders>
              <w:top w:val="single" w:sz="4" w:space="0" w:color="E7E6E6" w:themeColor="background2"/>
              <w:bottom w:val="single" w:sz="4" w:space="0" w:color="E7E6E6" w:themeColor="background2"/>
            </w:tcBorders>
            <w:vAlign w:val="center"/>
          </w:tcPr>
          <w:p w:rsidR="00921E6E" w:rsidRPr="00D856DF" w:rsidRDefault="003D3066" w:rsidP="001C2CC2">
            <w:pPr>
              <w:spacing w:after="0" w:line="240" w:lineRule="auto"/>
              <w:contextualSpacing/>
              <w:rPr>
                <w:rFonts w:eastAsia="Times New Roman" w:cs="Times New Roman"/>
              </w:rPr>
            </w:pPr>
            <w:r>
              <w:rPr>
                <w:rFonts w:eastAsia="Times New Roman" w:cs="Times New Roman"/>
              </w:rPr>
              <w:t>Use before study exit</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Age (years)</w:t>
            </w:r>
          </w:p>
        </w:tc>
        <w:tc>
          <w:tcPr>
            <w:tcW w:w="8647" w:type="dxa"/>
            <w:tcBorders>
              <w:top w:val="single" w:sz="4" w:space="0" w:color="E7E6E6" w:themeColor="background2"/>
              <w:bottom w:val="single" w:sz="4" w:space="0" w:color="E7E6E6" w:themeColor="background2"/>
            </w:tcBorders>
            <w:noWrap/>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 Age at study entry</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cohort entry</w:t>
            </w:r>
          </w:p>
        </w:tc>
      </w:tr>
      <w:tr w:rsidR="00921E6E" w:rsidRPr="00D856DF" w:rsidTr="00CC7CEA">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Sex</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 Male :1; Female:2</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Smoking status</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A87652" w:rsidP="00921E6E">
            <w:pPr>
              <w:spacing w:after="0" w:line="240" w:lineRule="auto"/>
              <w:contextualSpacing/>
              <w:rPr>
                <w:rStyle w:val="Hyperlink"/>
                <w:color w:val="auto"/>
                <w:u w:val="none"/>
              </w:rPr>
            </w:pPr>
            <w:hyperlink r:id="rId13" w:history="1">
              <w:r w:rsidR="00921E6E" w:rsidRPr="00D856DF">
                <w:rPr>
                  <w:rStyle w:val="Hyperlink"/>
                  <w:color w:val="auto"/>
                </w:rPr>
                <w:t>https://caliberresearch.org/portal/show/smoking_status_gprd</w:t>
              </w:r>
            </w:hyperlink>
            <w:r w:rsidR="00921E6E" w:rsidRPr="00D856DF">
              <w:t xml:space="preserve"> </w:t>
            </w:r>
            <w:r w:rsidR="00921E6E" w:rsidRPr="00D856DF">
              <w:rPr>
                <w:rStyle w:val="Hyperlink"/>
                <w:color w:val="auto"/>
                <w:u w:val="none"/>
              </w:rPr>
              <w:t>(categories 2,3,4)</w:t>
            </w:r>
          </w:p>
          <w:p w:rsidR="00921E6E" w:rsidRPr="00D856DF" w:rsidRDefault="00921E6E" w:rsidP="00921E6E">
            <w:pPr>
              <w:spacing w:after="0" w:line="240" w:lineRule="auto"/>
              <w:contextualSpacing/>
              <w:rPr>
                <w:rFonts w:eastAsia="Times New Roman" w:cs="Times New Roman"/>
                <w:u w:val="single"/>
              </w:rPr>
            </w:pPr>
            <w:r w:rsidRPr="00D856DF">
              <w:t>ICD10: F17</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Diabetes</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A87652" w:rsidP="00921E6E">
            <w:pPr>
              <w:spacing w:after="0" w:line="240" w:lineRule="auto"/>
              <w:contextualSpacing/>
            </w:pPr>
            <w:hyperlink r:id="rId14" w:history="1">
              <w:r w:rsidR="00921E6E" w:rsidRPr="00D856DF">
                <w:rPr>
                  <w:rStyle w:val="Hyperlink"/>
                  <w:color w:val="auto"/>
                </w:rPr>
                <w:t>https://www.caliberresearch.org/portal/show/dm_gprd</w:t>
              </w:r>
            </w:hyperlink>
            <w:r w:rsidR="00921E6E" w:rsidRPr="00D856DF">
              <w:rPr>
                <w:rStyle w:val="Hyperlink"/>
                <w:color w:val="auto"/>
                <w:u w:val="none"/>
              </w:rPr>
              <w:t xml:space="preserve">  (categories 3,4,6)</w:t>
            </w:r>
          </w:p>
          <w:p w:rsidR="00921E6E" w:rsidRPr="00D856DF" w:rsidRDefault="00A87652" w:rsidP="00921E6E">
            <w:pPr>
              <w:spacing w:after="0" w:line="240" w:lineRule="auto"/>
              <w:contextualSpacing/>
              <w:rPr>
                <w:rFonts w:eastAsia="Times New Roman" w:cs="Times New Roman"/>
                <w:u w:val="single"/>
              </w:rPr>
            </w:pPr>
            <w:hyperlink r:id="rId15" w:history="1">
              <w:r w:rsidR="00921E6E" w:rsidRPr="00D856DF">
                <w:rPr>
                  <w:rStyle w:val="Hyperlink"/>
                  <w:color w:val="auto"/>
                </w:rPr>
                <w:t>https://www.caliberresearch.org/portal/show/dm_hes</w:t>
              </w:r>
            </w:hyperlink>
            <w:r w:rsidR="00921E6E" w:rsidRPr="00D856DF">
              <w:rPr>
                <w:rStyle w:val="Hyperlink"/>
                <w:color w:val="auto"/>
                <w:u w:val="none"/>
              </w:rPr>
              <w:t xml:space="preserve">  (categories 3,4,6)</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Hypertension</w:t>
            </w:r>
          </w:p>
        </w:tc>
        <w:tc>
          <w:tcPr>
            <w:tcW w:w="8647" w:type="dxa"/>
            <w:tcBorders>
              <w:top w:val="single" w:sz="4" w:space="0" w:color="E7E6E6" w:themeColor="background2"/>
              <w:bottom w:val="single" w:sz="4" w:space="0" w:color="E7E6E6" w:themeColor="background2"/>
            </w:tcBorders>
            <w:noWrap/>
            <w:vAlign w:val="center"/>
          </w:tcPr>
          <w:p w:rsidR="00921E6E" w:rsidRPr="00D856DF" w:rsidRDefault="00A87652" w:rsidP="00921E6E">
            <w:pPr>
              <w:spacing w:after="0" w:line="240" w:lineRule="auto"/>
              <w:contextualSpacing/>
              <w:rPr>
                <w:rStyle w:val="Hyperlink"/>
                <w:color w:val="auto"/>
                <w:u w:val="none"/>
              </w:rPr>
            </w:pPr>
            <w:hyperlink r:id="rId16" w:history="1">
              <w:r w:rsidR="00921E6E" w:rsidRPr="00D856DF">
                <w:rPr>
                  <w:rStyle w:val="Hyperlink"/>
                  <w:color w:val="auto"/>
                </w:rPr>
                <w:t>https://www.caliberresearch.org/portal/show/ht_gprd</w:t>
              </w:r>
            </w:hyperlink>
            <w:r w:rsidR="00921E6E" w:rsidRPr="00D856DF">
              <w:rPr>
                <w:rStyle w:val="Hyperlink"/>
                <w:color w:val="auto"/>
                <w:u w:val="none"/>
              </w:rPr>
              <w:t xml:space="preserve"> (categories 3,4)</w:t>
            </w:r>
          </w:p>
          <w:p w:rsidR="00921E6E" w:rsidRPr="00D856DF" w:rsidRDefault="00A87652" w:rsidP="00921E6E">
            <w:pPr>
              <w:spacing w:after="0" w:line="240" w:lineRule="auto"/>
              <w:contextualSpacing/>
            </w:pPr>
            <w:hyperlink r:id="rId17" w:history="1">
              <w:r w:rsidR="00921E6E" w:rsidRPr="00D856DF">
                <w:rPr>
                  <w:rStyle w:val="Hyperlink"/>
                  <w:color w:val="auto"/>
                </w:rPr>
                <w:t>https://www.caliberresearch.org/portal/show/ht_hes</w:t>
              </w:r>
            </w:hyperlink>
            <w:r w:rsidR="00921E6E" w:rsidRPr="00D856DF">
              <w:t xml:space="preserve"> </w:t>
            </w:r>
            <w:r w:rsidR="00921E6E" w:rsidRPr="00D856DF">
              <w:rPr>
                <w:rStyle w:val="Hyperlink"/>
                <w:color w:val="auto"/>
                <w:u w:val="none"/>
              </w:rPr>
              <w:t>(categories 3,4)</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Stable angina</w:t>
            </w:r>
          </w:p>
        </w:tc>
        <w:tc>
          <w:tcPr>
            <w:tcW w:w="8647" w:type="dxa"/>
            <w:tcBorders>
              <w:top w:val="single" w:sz="4" w:space="0" w:color="E7E6E6" w:themeColor="background2"/>
              <w:bottom w:val="single" w:sz="4" w:space="0" w:color="E7E6E6" w:themeColor="background2"/>
            </w:tcBorders>
            <w:noWrap/>
            <w:vAlign w:val="center"/>
          </w:tcPr>
          <w:p w:rsidR="00921E6E" w:rsidRPr="00D856DF" w:rsidRDefault="00A87652" w:rsidP="00921E6E">
            <w:pPr>
              <w:spacing w:after="0" w:line="240" w:lineRule="auto"/>
              <w:contextualSpacing/>
            </w:pPr>
            <w:hyperlink r:id="rId18" w:history="1">
              <w:r w:rsidR="00921E6E" w:rsidRPr="00D856DF">
                <w:rPr>
                  <w:rStyle w:val="Hyperlink"/>
                  <w:color w:val="auto"/>
                </w:rPr>
                <w:t>https://www.caliberresearch.org/portal/show/sa_diagnosis_gprd</w:t>
              </w:r>
            </w:hyperlink>
            <w:r w:rsidR="00921E6E" w:rsidRPr="00D856DF">
              <w:t xml:space="preserve"> </w:t>
            </w:r>
            <w:r w:rsidR="00921E6E" w:rsidRPr="00D856DF">
              <w:rPr>
                <w:rStyle w:val="Hyperlink"/>
                <w:color w:val="auto"/>
                <w:u w:val="none"/>
              </w:rPr>
              <w:t>(category 4)</w:t>
            </w:r>
          </w:p>
          <w:p w:rsidR="00921E6E" w:rsidRPr="00D856DF" w:rsidRDefault="00A87652" w:rsidP="00921E6E">
            <w:pPr>
              <w:spacing w:after="0" w:line="240" w:lineRule="auto"/>
              <w:contextualSpacing/>
            </w:pPr>
            <w:hyperlink r:id="rId19" w:history="1">
              <w:r w:rsidR="00921E6E" w:rsidRPr="00D856DF">
                <w:rPr>
                  <w:rStyle w:val="Hyperlink"/>
                  <w:color w:val="auto"/>
                </w:rPr>
                <w:t>https://www.caliberresearch.org/portal/show/angina_hes</w:t>
              </w:r>
            </w:hyperlink>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Unstable angina</w:t>
            </w:r>
          </w:p>
        </w:tc>
        <w:tc>
          <w:tcPr>
            <w:tcW w:w="8647" w:type="dxa"/>
            <w:tcBorders>
              <w:top w:val="single" w:sz="4" w:space="0" w:color="E7E6E6" w:themeColor="background2"/>
              <w:bottom w:val="single" w:sz="4" w:space="0" w:color="E7E6E6" w:themeColor="background2"/>
            </w:tcBorders>
            <w:noWrap/>
            <w:vAlign w:val="center"/>
          </w:tcPr>
          <w:p w:rsidR="00921E6E" w:rsidRPr="00D856DF" w:rsidRDefault="00A87652" w:rsidP="00921E6E">
            <w:pPr>
              <w:spacing w:after="0" w:line="240" w:lineRule="auto"/>
              <w:contextualSpacing/>
              <w:rPr>
                <w:rStyle w:val="Hyperlink"/>
                <w:color w:val="auto"/>
                <w:u w:val="none"/>
              </w:rPr>
            </w:pPr>
            <w:hyperlink r:id="rId20" w:history="1">
              <w:r w:rsidR="00921E6E" w:rsidRPr="00D856DF">
                <w:rPr>
                  <w:rStyle w:val="Hyperlink"/>
                  <w:color w:val="auto"/>
                </w:rPr>
                <w:t>https://www.caliberresearch.org/portal/show/unangina_gprd</w:t>
              </w:r>
            </w:hyperlink>
            <w:r w:rsidR="00921E6E" w:rsidRPr="00D856DF">
              <w:t xml:space="preserve"> </w:t>
            </w:r>
            <w:r w:rsidR="00921E6E" w:rsidRPr="00D856DF">
              <w:rPr>
                <w:rStyle w:val="Hyperlink"/>
                <w:color w:val="auto"/>
                <w:u w:val="none"/>
              </w:rPr>
              <w:t>(category 3)</w:t>
            </w:r>
          </w:p>
          <w:p w:rsidR="00921E6E" w:rsidRPr="00D856DF" w:rsidRDefault="00921E6E" w:rsidP="00921E6E">
            <w:pPr>
              <w:spacing w:after="0" w:line="240" w:lineRule="auto"/>
              <w:contextualSpacing/>
            </w:pPr>
            <w:r w:rsidRPr="00D856DF">
              <w:t>ICD10: I20.0, I24.0, I24.8, I24.9</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Myocardial infarction</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A87652" w:rsidP="00921E6E">
            <w:pPr>
              <w:spacing w:after="0" w:line="240" w:lineRule="auto"/>
              <w:contextualSpacing/>
            </w:pPr>
            <w:hyperlink r:id="rId21" w:history="1">
              <w:r w:rsidR="00921E6E" w:rsidRPr="00D856DF">
                <w:rPr>
                  <w:rStyle w:val="Hyperlink"/>
                  <w:color w:val="auto"/>
                </w:rPr>
                <w:t>https://www.caliberresearch.org/portal/show/myo_infarct_gprd</w:t>
              </w:r>
            </w:hyperlink>
            <w:r w:rsidR="00921E6E" w:rsidRPr="00D856DF">
              <w:rPr>
                <w:rStyle w:val="Hyperlink"/>
                <w:color w:val="auto"/>
              </w:rPr>
              <w:t xml:space="preserve"> </w:t>
            </w:r>
            <w:r w:rsidR="00921E6E" w:rsidRPr="00D856DF">
              <w:rPr>
                <w:rStyle w:val="Hyperlink"/>
                <w:color w:val="auto"/>
                <w:u w:val="none"/>
              </w:rPr>
              <w:t>(categories 3,4,5)</w:t>
            </w:r>
          </w:p>
          <w:p w:rsidR="00921E6E" w:rsidRPr="00D856DF" w:rsidRDefault="00921E6E" w:rsidP="00921E6E">
            <w:pPr>
              <w:spacing w:after="0" w:line="240" w:lineRule="auto"/>
              <w:contextualSpacing/>
              <w:rPr>
                <w:rFonts w:eastAsia="Times New Roman" w:cs="Times New Roman"/>
                <w:u w:val="single"/>
              </w:rPr>
            </w:pPr>
            <w:r w:rsidRPr="00D856DF">
              <w:t>ICD10: I21</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stroke</w:t>
            </w:r>
          </w:p>
        </w:tc>
        <w:tc>
          <w:tcPr>
            <w:tcW w:w="8647" w:type="dxa"/>
            <w:tcBorders>
              <w:top w:val="single" w:sz="4" w:space="0" w:color="E7E6E6" w:themeColor="background2"/>
              <w:bottom w:val="single" w:sz="4" w:space="0" w:color="E7E6E6" w:themeColor="background2"/>
            </w:tcBorders>
            <w:vAlign w:val="center"/>
          </w:tcPr>
          <w:p w:rsidR="00921E6E" w:rsidRPr="00D856DF" w:rsidRDefault="00A87652" w:rsidP="00921E6E">
            <w:pPr>
              <w:spacing w:after="0" w:line="240" w:lineRule="auto"/>
              <w:contextualSpacing/>
            </w:pPr>
            <w:hyperlink r:id="rId22" w:history="1">
              <w:r w:rsidR="00921E6E" w:rsidRPr="00D856DF">
                <w:rPr>
                  <w:rStyle w:val="Hyperlink"/>
                  <w:rFonts w:eastAsia="Times New Roman" w:cs="Times New Roman"/>
                  <w:color w:val="auto"/>
                </w:rPr>
                <w:t>https://www.caliberresearch.org/portal/show/ischaemic_stroke_gprd</w:t>
              </w:r>
            </w:hyperlink>
            <w:r w:rsidR="00921E6E" w:rsidRPr="00D856DF">
              <w:rPr>
                <w:rStyle w:val="Hyperlink"/>
                <w:color w:val="auto"/>
                <w:u w:val="none"/>
              </w:rPr>
              <w:t>(category 3)</w:t>
            </w:r>
          </w:p>
          <w:p w:rsidR="00921E6E" w:rsidRPr="00D856DF" w:rsidRDefault="00A87652" w:rsidP="00921E6E">
            <w:pPr>
              <w:spacing w:after="0" w:line="240" w:lineRule="auto"/>
              <w:contextualSpacing/>
              <w:rPr>
                <w:rStyle w:val="Hyperlink"/>
                <w:color w:val="auto"/>
                <w:u w:val="none"/>
              </w:rPr>
            </w:pPr>
            <w:hyperlink r:id="rId23" w:history="1">
              <w:r w:rsidR="00921E6E" w:rsidRPr="00D856DF">
                <w:rPr>
                  <w:rStyle w:val="Hyperlink"/>
                  <w:color w:val="auto"/>
                </w:rPr>
                <w:t>https://www.caliberresearch.org/portal/show/haem_stroke_gprd</w:t>
              </w:r>
            </w:hyperlink>
            <w:r w:rsidR="00921E6E" w:rsidRPr="00D856DF">
              <w:t xml:space="preserve"> </w:t>
            </w:r>
            <w:r w:rsidR="00921E6E" w:rsidRPr="00D856DF">
              <w:rPr>
                <w:rStyle w:val="Hyperlink"/>
                <w:color w:val="auto"/>
                <w:u w:val="none"/>
              </w:rPr>
              <w:t>(categories 3-8)</w:t>
            </w:r>
          </w:p>
          <w:p w:rsidR="00921E6E" w:rsidRPr="00D856DF" w:rsidRDefault="00A87652" w:rsidP="00921E6E">
            <w:pPr>
              <w:spacing w:after="0" w:line="240" w:lineRule="auto"/>
              <w:contextualSpacing/>
            </w:pPr>
            <w:hyperlink r:id="rId24" w:history="1">
              <w:r w:rsidR="00921E6E" w:rsidRPr="00D856DF">
                <w:rPr>
                  <w:rStyle w:val="Hyperlink"/>
                  <w:color w:val="auto"/>
                </w:rPr>
                <w:t>https://www.caliberresearch.org/portal/show/stroke_nos_gprd</w:t>
              </w:r>
            </w:hyperlink>
            <w:r w:rsidR="00921E6E" w:rsidRPr="00D856DF">
              <w:t xml:space="preserve"> </w:t>
            </w:r>
            <w:r w:rsidR="00921E6E" w:rsidRPr="00D856DF">
              <w:rPr>
                <w:rStyle w:val="Hyperlink"/>
                <w:color w:val="auto"/>
                <w:u w:val="none"/>
              </w:rPr>
              <w:t>(category 3)</w:t>
            </w:r>
          </w:p>
          <w:p w:rsidR="00921E6E" w:rsidRPr="00D856DF" w:rsidRDefault="00921E6E" w:rsidP="00921E6E">
            <w:pPr>
              <w:spacing w:after="0" w:line="240" w:lineRule="auto"/>
              <w:contextualSpacing/>
            </w:pPr>
            <w:r w:rsidRPr="00D856DF">
              <w:t>ICD10: I60, I61, I63, I64, I62.0, I62.1, I62.9, G46.3, G46.4, G46.5, G46.6, G46.7,</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atrial fibrillation</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A87652" w:rsidP="00921E6E">
            <w:pPr>
              <w:spacing w:after="0" w:line="240" w:lineRule="auto"/>
              <w:contextualSpacing/>
            </w:pPr>
            <w:hyperlink r:id="rId25" w:history="1">
              <w:r w:rsidR="00921E6E" w:rsidRPr="00D856DF">
                <w:rPr>
                  <w:rStyle w:val="Hyperlink"/>
                  <w:color w:val="auto"/>
                </w:rPr>
                <w:t>https://www.caliberresearch.org/portal/show/af_gprd</w:t>
              </w:r>
            </w:hyperlink>
            <w:r w:rsidR="00921E6E" w:rsidRPr="00D856DF">
              <w:rPr>
                <w:rStyle w:val="Hyperlink"/>
                <w:color w:val="auto"/>
              </w:rPr>
              <w:t xml:space="preserve"> </w:t>
            </w:r>
            <w:r w:rsidR="00921E6E" w:rsidRPr="00D856DF">
              <w:rPr>
                <w:rStyle w:val="Hyperlink"/>
                <w:rFonts w:eastAsia="Times New Roman" w:cs="Times New Roman"/>
                <w:color w:val="auto"/>
                <w:u w:val="none"/>
              </w:rPr>
              <w:t>(categories 3-6)</w:t>
            </w:r>
          </w:p>
          <w:p w:rsidR="00921E6E" w:rsidRPr="00D856DF" w:rsidRDefault="00921E6E" w:rsidP="00921E6E">
            <w:pPr>
              <w:spacing w:after="0" w:line="240" w:lineRule="auto"/>
              <w:contextualSpacing/>
              <w:rPr>
                <w:rFonts w:eastAsia="Times New Roman" w:cs="Times New Roman"/>
                <w:u w:val="single"/>
              </w:rPr>
            </w:pPr>
            <w:r w:rsidRPr="00D856DF">
              <w:t>ICD10: I48</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heart failure</w:t>
            </w:r>
          </w:p>
        </w:tc>
        <w:tc>
          <w:tcPr>
            <w:tcW w:w="8647" w:type="dxa"/>
            <w:tcBorders>
              <w:top w:val="single" w:sz="4" w:space="0" w:color="E7E6E6" w:themeColor="background2"/>
              <w:bottom w:val="single" w:sz="4" w:space="0" w:color="E7E6E6" w:themeColor="background2"/>
            </w:tcBorders>
            <w:noWrap/>
            <w:vAlign w:val="center"/>
            <w:hideMark/>
          </w:tcPr>
          <w:p w:rsidR="00921E6E" w:rsidRPr="00D856DF" w:rsidRDefault="00A87652" w:rsidP="00921E6E">
            <w:pPr>
              <w:spacing w:after="0" w:line="240" w:lineRule="auto"/>
              <w:contextualSpacing/>
            </w:pPr>
            <w:hyperlink r:id="rId26" w:history="1">
              <w:r w:rsidR="00921E6E" w:rsidRPr="00D856DF">
                <w:rPr>
                  <w:rStyle w:val="Hyperlink"/>
                  <w:color w:val="auto"/>
                </w:rPr>
                <w:t>https://www.caliberresearch.org/portal/show/hf_gprd</w:t>
              </w:r>
            </w:hyperlink>
            <w:r w:rsidR="00921E6E" w:rsidRPr="00D856DF">
              <w:rPr>
                <w:rStyle w:val="Hyperlink"/>
                <w:color w:val="auto"/>
              </w:rPr>
              <w:t xml:space="preserve"> </w:t>
            </w:r>
            <w:r w:rsidR="00921E6E" w:rsidRPr="00D856DF">
              <w:rPr>
                <w:rStyle w:val="Hyperlink"/>
                <w:color w:val="auto"/>
                <w:u w:val="none"/>
              </w:rPr>
              <w:t xml:space="preserve"> (categories 3,4,5,6)</w:t>
            </w:r>
          </w:p>
          <w:p w:rsidR="00921E6E" w:rsidRPr="00D856DF" w:rsidRDefault="00921E6E" w:rsidP="00921E6E">
            <w:pPr>
              <w:spacing w:after="0" w:line="240" w:lineRule="auto"/>
              <w:contextualSpacing/>
              <w:rPr>
                <w:rFonts w:eastAsia="Times New Roman" w:cs="Times New Roman"/>
                <w:u w:val="single"/>
              </w:rPr>
            </w:pPr>
            <w:r w:rsidRPr="00D856DF">
              <w:t>https://www.caliberresearch.org/portal/show/hf_hes</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Chronic obstructive pulmonary disease</w:t>
            </w:r>
          </w:p>
        </w:tc>
        <w:tc>
          <w:tcPr>
            <w:tcW w:w="8647" w:type="dxa"/>
            <w:tcBorders>
              <w:top w:val="single" w:sz="4" w:space="0" w:color="E7E6E6" w:themeColor="background2"/>
              <w:bottom w:val="single" w:sz="4" w:space="0" w:color="E7E6E6" w:themeColor="background2"/>
            </w:tcBorders>
            <w:vAlign w:val="center"/>
            <w:hideMark/>
          </w:tcPr>
          <w:p w:rsidR="00921E6E" w:rsidRPr="00D856DF" w:rsidRDefault="00A87652" w:rsidP="00921E6E">
            <w:pPr>
              <w:spacing w:after="0" w:line="240" w:lineRule="auto"/>
              <w:contextualSpacing/>
              <w:rPr>
                <w:rFonts w:eastAsia="Times New Roman" w:cs="Times New Roman"/>
              </w:rPr>
            </w:pPr>
            <w:hyperlink r:id="rId27" w:history="1">
              <w:r w:rsidR="00921E6E" w:rsidRPr="00D856DF">
                <w:rPr>
                  <w:rStyle w:val="Hyperlink"/>
                  <w:rFonts w:eastAsia="Times New Roman" w:cs="Times New Roman"/>
                  <w:color w:val="auto"/>
                </w:rPr>
                <w:t>https://www.caliberresearch.org/portal/show/copd_gprd</w:t>
              </w:r>
            </w:hyperlink>
            <w:r w:rsidR="00921E6E" w:rsidRPr="00D856DF">
              <w:rPr>
                <w:rFonts w:eastAsia="Times New Roman" w:cs="Times New Roman"/>
              </w:rPr>
              <w:t xml:space="preserve"> (categories 3,5)</w:t>
            </w:r>
            <w:r w:rsidR="00921E6E" w:rsidRPr="00D856DF">
              <w:rPr>
                <w:rFonts w:eastAsia="Times New Roman" w:cs="Times New Roman"/>
              </w:rPr>
              <w:br/>
            </w:r>
            <w:hyperlink r:id="rId28" w:history="1">
              <w:r w:rsidR="00921E6E" w:rsidRPr="00D856DF">
                <w:rPr>
                  <w:rStyle w:val="Hyperlink"/>
                  <w:rFonts w:eastAsia="Times New Roman" w:cs="Times New Roman"/>
                  <w:color w:val="auto"/>
                </w:rPr>
                <w:t>https://www.caliberresearch.org/portal/show/copd_hes</w:t>
              </w:r>
            </w:hyperlink>
            <w:r w:rsidR="00921E6E" w:rsidRPr="00D856DF">
              <w:rPr>
                <w:rFonts w:eastAsia="Times New Roman" w:cs="Times New Roman"/>
              </w:rPr>
              <w:t xml:space="preserve"> (categories 3,5)</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 xml:space="preserve">chronic kidney disease </w:t>
            </w:r>
          </w:p>
        </w:tc>
        <w:tc>
          <w:tcPr>
            <w:tcW w:w="8647" w:type="dxa"/>
            <w:tcBorders>
              <w:top w:val="single" w:sz="4" w:space="0" w:color="E7E6E6" w:themeColor="background2"/>
              <w:bottom w:val="single" w:sz="4" w:space="0" w:color="E7E6E6" w:themeColor="background2"/>
            </w:tcBorders>
            <w:vAlign w:val="center"/>
            <w:hideMark/>
          </w:tcPr>
          <w:p w:rsidR="00921E6E" w:rsidRPr="00D856DF" w:rsidRDefault="00A87652" w:rsidP="00921E6E">
            <w:pPr>
              <w:spacing w:after="0" w:line="240" w:lineRule="auto"/>
              <w:contextualSpacing/>
              <w:rPr>
                <w:rFonts w:eastAsia="Times New Roman" w:cs="Times New Roman"/>
                <w:u w:val="single"/>
              </w:rPr>
            </w:pPr>
            <w:hyperlink r:id="rId29" w:history="1">
              <w:r w:rsidR="00921E6E" w:rsidRPr="00D856DF">
                <w:rPr>
                  <w:rStyle w:val="Hyperlink"/>
                  <w:rFonts w:eastAsia="Times New Roman" w:cs="Times New Roman"/>
                  <w:color w:val="auto"/>
                </w:rPr>
                <w:t xml:space="preserve">https://www.caliberresearch.org/portal/show/renal_gprd </w:t>
              </w:r>
              <w:r w:rsidR="00921E6E" w:rsidRPr="00D856DF">
                <w:rPr>
                  <w:rStyle w:val="Hyperlink"/>
                  <w:rFonts w:eastAsia="Times New Roman" w:cs="Times New Roman"/>
                  <w:color w:val="auto"/>
                  <w:u w:val="none"/>
                </w:rPr>
                <w:t xml:space="preserve"> (categories 3-7)</w:t>
              </w:r>
              <w:r w:rsidR="00921E6E" w:rsidRPr="00D856DF">
                <w:rPr>
                  <w:rFonts w:eastAsia="Times New Roman" w:cs="Times New Roman"/>
                  <w:u w:val="single"/>
                </w:rPr>
                <w:br/>
              </w:r>
              <w:r w:rsidR="00921E6E" w:rsidRPr="00D856DF">
                <w:rPr>
                  <w:rStyle w:val="Hyperlink"/>
                  <w:rFonts w:eastAsia="Times New Roman" w:cs="Times New Roman"/>
                  <w:color w:val="auto"/>
                </w:rPr>
                <w:t>https://www.caliberresearch.org/portal/show/renal_hes</w:t>
              </w:r>
            </w:hyperlink>
            <w:r w:rsidR="00921E6E" w:rsidRPr="00D856DF">
              <w:rPr>
                <w:rStyle w:val="Hyperlink"/>
                <w:rFonts w:eastAsia="Times New Roman" w:cs="Times New Roman"/>
                <w:color w:val="auto"/>
              </w:rPr>
              <w:t xml:space="preserve"> </w:t>
            </w:r>
            <w:r w:rsidR="00921E6E" w:rsidRPr="00D856DF">
              <w:rPr>
                <w:rStyle w:val="Hyperlink"/>
                <w:rFonts w:eastAsia="Times New Roman" w:cs="Times New Roman"/>
                <w:color w:val="auto"/>
                <w:u w:val="none"/>
              </w:rPr>
              <w:t xml:space="preserve"> (categories 3-7)</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Pr>
                <w:rFonts w:eastAsia="Times New Roman" w:cs="Times New Roman"/>
              </w:rPr>
              <w:t>cancer</w:t>
            </w:r>
          </w:p>
        </w:tc>
        <w:tc>
          <w:tcPr>
            <w:tcW w:w="8647" w:type="dxa"/>
            <w:tcBorders>
              <w:top w:val="single" w:sz="4" w:space="0" w:color="E7E6E6" w:themeColor="background2"/>
              <w:bottom w:val="single" w:sz="4" w:space="0" w:color="E7E6E6" w:themeColor="background2"/>
            </w:tcBorders>
            <w:vAlign w:val="center"/>
          </w:tcPr>
          <w:p w:rsidR="00921E6E" w:rsidRPr="003B6FDE" w:rsidRDefault="00921E6E" w:rsidP="00921E6E">
            <w:pPr>
              <w:spacing w:after="0" w:line="240" w:lineRule="auto"/>
              <w:contextualSpacing/>
              <w:rPr>
                <w:rFonts w:eastAsia="Times New Roman" w:cs="Times New Roman"/>
                <w:u w:val="single"/>
              </w:rPr>
            </w:pPr>
            <w:r w:rsidRPr="003B6FDE">
              <w:rPr>
                <w:rFonts w:eastAsia="Times New Roman" w:cs="Times New Roman"/>
                <w:u w:val="single"/>
              </w:rPr>
              <w:t>https://www.caliberresearch.org/portal/show/cancer_gprd</w:t>
            </w:r>
          </w:p>
          <w:p w:rsidR="00921E6E" w:rsidRPr="003B6FDE" w:rsidRDefault="00921E6E" w:rsidP="00921E6E">
            <w:pPr>
              <w:spacing w:after="0" w:line="240" w:lineRule="auto"/>
              <w:contextualSpacing/>
              <w:rPr>
                <w:rFonts w:eastAsia="Times New Roman" w:cs="Times New Roman"/>
                <w:u w:val="single"/>
              </w:rPr>
            </w:pPr>
            <w:r w:rsidRPr="003B6FDE">
              <w:rPr>
                <w:rFonts w:eastAsia="Times New Roman" w:cs="Times New Roman"/>
                <w:u w:val="single"/>
              </w:rPr>
              <w:t>https://www.caliberresearch.org/portal/show/cancer_hes</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dementia</w:t>
            </w:r>
          </w:p>
        </w:tc>
        <w:tc>
          <w:tcPr>
            <w:tcW w:w="8647" w:type="dxa"/>
            <w:tcBorders>
              <w:top w:val="single" w:sz="4" w:space="0" w:color="E7E6E6" w:themeColor="background2"/>
              <w:bottom w:val="single" w:sz="4" w:space="0" w:color="E7E6E6" w:themeColor="background2"/>
            </w:tcBorders>
            <w:vAlign w:val="center"/>
            <w:hideMark/>
          </w:tcPr>
          <w:p w:rsidR="00921E6E" w:rsidRPr="003B6FDE" w:rsidRDefault="00A87652" w:rsidP="00921E6E">
            <w:pPr>
              <w:spacing w:after="0" w:line="240" w:lineRule="auto"/>
              <w:contextualSpacing/>
              <w:rPr>
                <w:rFonts w:eastAsia="Times New Roman" w:cs="Times New Roman"/>
              </w:rPr>
            </w:pPr>
            <w:hyperlink r:id="rId30" w:history="1">
              <w:r w:rsidR="00921E6E" w:rsidRPr="003B6FDE">
                <w:rPr>
                  <w:rStyle w:val="Hyperlink"/>
                  <w:rFonts w:eastAsia="Times New Roman" w:cs="Times New Roman"/>
                  <w:color w:val="auto"/>
                </w:rPr>
                <w:t>https://www.caliberresearch.org/portal/show/dementia_gprd</w:t>
              </w:r>
            </w:hyperlink>
            <w:r w:rsidR="00921E6E" w:rsidRPr="003B6FDE">
              <w:rPr>
                <w:rFonts w:eastAsia="Times New Roman" w:cs="Times New Roman"/>
              </w:rPr>
              <w:t xml:space="preserve">  (categories 2-5)</w:t>
            </w:r>
            <w:r w:rsidR="00921E6E" w:rsidRPr="003B6FDE">
              <w:rPr>
                <w:rFonts w:eastAsia="Times New Roman" w:cs="Times New Roman"/>
              </w:rPr>
              <w:br/>
            </w:r>
            <w:r w:rsidR="00921E6E" w:rsidRPr="003B6FDE">
              <w:t>ICD10: F00, F01, F02, F03, F05.1, G30</w:t>
            </w:r>
          </w:p>
        </w:tc>
        <w:tc>
          <w:tcPr>
            <w:tcW w:w="3543"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 xml:space="preserve">Asthma </w:t>
            </w:r>
          </w:p>
        </w:tc>
        <w:tc>
          <w:tcPr>
            <w:tcW w:w="8647"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pPr>
            <w:r w:rsidRPr="00D856DF">
              <w:t>ICD10 J45, J46 and corresponding Read code</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or 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Flu vaccination</w:t>
            </w:r>
          </w:p>
        </w:tc>
        <w:tc>
          <w:tcPr>
            <w:tcW w:w="8647"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pPr>
            <w:r w:rsidRPr="00D856DF">
              <w:t>As the following</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any time before exit or event</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Seasonality</w:t>
            </w:r>
          </w:p>
        </w:tc>
        <w:tc>
          <w:tcPr>
            <w:tcW w:w="8647"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pPr>
            <w:r w:rsidRPr="00D856DF">
              <w:t xml:space="preserve">Three dummy variables for cohort entry year of 1998-2000, 2009-2010, 2011-2012 </w:t>
            </w:r>
          </w:p>
        </w:tc>
        <w:tc>
          <w:tcPr>
            <w:tcW w:w="3543" w:type="dxa"/>
            <w:tcBorders>
              <w:top w:val="single" w:sz="4" w:space="0" w:color="E7E6E6" w:themeColor="background2"/>
              <w:bottom w:val="single" w:sz="4" w:space="0" w:color="E7E6E6" w:themeColor="background2"/>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At cohort entry</w:t>
            </w:r>
          </w:p>
        </w:tc>
      </w:tr>
      <w:tr w:rsidR="00921E6E" w:rsidRPr="00D856DF" w:rsidTr="001C2CC2">
        <w:trPr>
          <w:trHeight w:val="20"/>
        </w:trPr>
        <w:tc>
          <w:tcPr>
            <w:tcW w:w="2552" w:type="dxa"/>
            <w:tcBorders>
              <w:top w:val="single" w:sz="4" w:space="0" w:color="E7E6E6" w:themeColor="background2"/>
              <w:bottom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Body mass index</w:t>
            </w:r>
          </w:p>
        </w:tc>
        <w:tc>
          <w:tcPr>
            <w:tcW w:w="8647" w:type="dxa"/>
            <w:tcBorders>
              <w:top w:val="single" w:sz="4" w:space="0" w:color="E7E6E6" w:themeColor="background2"/>
              <w:bottom w:val="single" w:sz="4" w:space="0" w:color="E7E6E6" w:themeColor="background2"/>
            </w:tcBorders>
            <w:vAlign w:val="center"/>
            <w:hideMark/>
          </w:tcPr>
          <w:p w:rsidR="00921E6E" w:rsidRPr="00D856DF" w:rsidRDefault="00A87652" w:rsidP="00921E6E">
            <w:pPr>
              <w:spacing w:after="0" w:line="240" w:lineRule="auto"/>
              <w:contextualSpacing/>
              <w:rPr>
                <w:rFonts w:eastAsia="Times New Roman" w:cs="Times New Roman"/>
              </w:rPr>
            </w:pPr>
            <w:hyperlink r:id="rId31" w:history="1">
              <w:r w:rsidR="00921E6E" w:rsidRPr="00D856DF">
                <w:rPr>
                  <w:rStyle w:val="Hyperlink"/>
                  <w:rFonts w:eastAsia="Times New Roman" w:cs="Times New Roman"/>
                  <w:color w:val="auto"/>
                </w:rPr>
                <w:t>https://www.caliberresearch.org/portal/show/bmi</w:t>
              </w:r>
            </w:hyperlink>
            <w:r w:rsidR="00921E6E" w:rsidRPr="00D856DF">
              <w:rPr>
                <w:rFonts w:eastAsia="Times New Roman" w:cs="Times New Roman"/>
              </w:rPr>
              <w:t xml:space="preserve"> </w:t>
            </w:r>
          </w:p>
        </w:tc>
        <w:tc>
          <w:tcPr>
            <w:tcW w:w="3543" w:type="dxa"/>
            <w:vMerge w:val="restart"/>
            <w:tcBorders>
              <w:top w:val="single" w:sz="4" w:space="0" w:color="E7E6E6" w:themeColor="background2"/>
            </w:tcBorders>
            <w:vAlign w:val="center"/>
            <w:hideMark/>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 xml:space="preserve">Derived from the average height and averaged weight between one year before and after cohort entry </w:t>
            </w:r>
          </w:p>
        </w:tc>
      </w:tr>
      <w:tr w:rsidR="00921E6E" w:rsidRPr="00D856DF" w:rsidTr="001C2CC2">
        <w:trPr>
          <w:trHeight w:val="20"/>
        </w:trPr>
        <w:tc>
          <w:tcPr>
            <w:tcW w:w="2552" w:type="dxa"/>
            <w:tcBorders>
              <w:top w:val="single" w:sz="4" w:space="0" w:color="E7E6E6" w:themeColor="background2"/>
              <w:bottom w:val="single" w:sz="4" w:space="0" w:color="auto"/>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Obesity</w:t>
            </w:r>
          </w:p>
        </w:tc>
        <w:tc>
          <w:tcPr>
            <w:tcW w:w="8647" w:type="dxa"/>
            <w:tcBorders>
              <w:top w:val="single" w:sz="4" w:space="0" w:color="E7E6E6" w:themeColor="background2"/>
              <w:bottom w:val="single" w:sz="4" w:space="0" w:color="auto"/>
            </w:tcBorders>
            <w:vAlign w:val="center"/>
          </w:tcPr>
          <w:p w:rsidR="00921E6E" w:rsidRPr="00D856DF" w:rsidRDefault="00921E6E" w:rsidP="00921E6E">
            <w:pPr>
              <w:spacing w:after="0" w:line="240" w:lineRule="auto"/>
              <w:contextualSpacing/>
              <w:rPr>
                <w:rFonts w:eastAsia="Times New Roman" w:cs="Times New Roman"/>
              </w:rPr>
            </w:pPr>
            <w:r w:rsidRPr="00D856DF">
              <w:rPr>
                <w:rFonts w:eastAsia="Times New Roman" w:cs="Times New Roman"/>
              </w:rPr>
              <w:t>Derived from baseline BMI as the above and</w:t>
            </w:r>
          </w:p>
          <w:p w:rsidR="00921E6E" w:rsidRPr="00D856DF" w:rsidRDefault="00921E6E" w:rsidP="00921E6E">
            <w:pPr>
              <w:spacing w:after="0" w:line="240" w:lineRule="auto"/>
              <w:contextualSpacing/>
            </w:pPr>
            <w:r w:rsidRPr="00D856DF">
              <w:t xml:space="preserve">ICD10: E66.0, E66.1, E66.2, E66.8, E66.9 hospital primary diagnosis </w:t>
            </w:r>
            <w:r w:rsidRPr="00D856DF">
              <w:rPr>
                <w:rFonts w:eastAsia="Times New Roman" w:cs="Times New Roman"/>
              </w:rPr>
              <w:t xml:space="preserve"> before or at cohort entry</w:t>
            </w:r>
          </w:p>
        </w:tc>
        <w:tc>
          <w:tcPr>
            <w:tcW w:w="3543" w:type="dxa"/>
            <w:vMerge/>
            <w:tcBorders>
              <w:bottom w:val="single" w:sz="4" w:space="0" w:color="auto"/>
            </w:tcBorders>
            <w:vAlign w:val="center"/>
          </w:tcPr>
          <w:p w:rsidR="00921E6E" w:rsidRPr="00D856DF" w:rsidRDefault="00921E6E" w:rsidP="00921E6E">
            <w:pPr>
              <w:spacing w:after="0" w:line="240" w:lineRule="auto"/>
              <w:contextualSpacing/>
              <w:rPr>
                <w:rFonts w:eastAsia="Times New Roman" w:cs="Times New Roman"/>
              </w:rPr>
            </w:pPr>
          </w:p>
        </w:tc>
      </w:tr>
    </w:tbl>
    <w:p w:rsidR="00390FE8" w:rsidRDefault="00390FE8" w:rsidP="00B655CF">
      <w:pPr>
        <w:rPr>
          <w:noProof/>
          <w:sz w:val="16"/>
          <w:szCs w:val="16"/>
          <w:lang w:eastAsia="en-GB"/>
        </w:rPr>
      </w:pPr>
    </w:p>
    <w:p w:rsidR="001C077D" w:rsidRDefault="001C077D" w:rsidP="00B655CF">
      <w:pPr>
        <w:rPr>
          <w:noProof/>
          <w:sz w:val="16"/>
          <w:szCs w:val="16"/>
          <w:lang w:eastAsia="en-GB"/>
        </w:rPr>
        <w:sectPr w:rsidR="001C077D" w:rsidSect="009502E0">
          <w:pgSz w:w="16838" w:h="11906" w:orient="landscape"/>
          <w:pgMar w:top="1440" w:right="1440" w:bottom="1440" w:left="1440" w:header="708" w:footer="708" w:gutter="0"/>
          <w:cols w:space="708"/>
          <w:docGrid w:linePitch="360"/>
        </w:sectPr>
      </w:pPr>
    </w:p>
    <w:p w:rsidR="00516A55" w:rsidRPr="00B655CF" w:rsidRDefault="00516A55" w:rsidP="00516A55">
      <w:r>
        <w:t>Table 3: Read codes for influenza vaccination used in the analyses</w:t>
      </w:r>
    </w:p>
    <w:tbl>
      <w:tblPr>
        <w:tblW w:w="6700" w:type="dxa"/>
        <w:tblLook w:val="04A0" w:firstRow="1" w:lastRow="0" w:firstColumn="1" w:lastColumn="0" w:noHBand="0" w:noVBand="1"/>
      </w:tblPr>
      <w:tblGrid>
        <w:gridCol w:w="1032"/>
        <w:gridCol w:w="5740"/>
      </w:tblGrid>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B655CF">
              <w:rPr>
                <w:rFonts w:ascii="Calibri" w:eastAsia="Times New Roman" w:hAnsi="Calibri" w:cs="Calibri"/>
                <w:color w:val="000000"/>
                <w:lang w:eastAsia="en-GB"/>
              </w:rPr>
              <w:t>ode</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term</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65E0.00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First pandemic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65E1.00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Second pandemic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65E2.00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Influenza vaccination given by other healthcare provider</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9OX..11</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Flu vaccination administration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9OX1.00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Has 'flu vaccination at home</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9OX2.00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Has'flu vaccination at surgery</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9OX3.00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Has 'flu vaccination at hosp.</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9OX8.00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Has influenza vaccination at work</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F034G00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Post influenza vaccination encephalitis</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ZV04800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[V]Influenza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ZV04811</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[V]Flu -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65ED.00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Seasonal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65ED000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Seasonal influenza vaccination given by pharmacist</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65EE000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Administration of first intranasal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65EE100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Administration of second intranasal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65EE.00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Administration of intranasal influenza vaccination</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65ED200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Seasonal influenza vaccination given while hospital inpt</w:t>
            </w:r>
          </w:p>
        </w:tc>
      </w:tr>
      <w:tr w:rsidR="00516A55" w:rsidRPr="00B655CF" w:rsidTr="00293991">
        <w:trPr>
          <w:trHeight w:val="300"/>
        </w:trPr>
        <w:tc>
          <w:tcPr>
            <w:tcW w:w="96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9N4q100</w:t>
            </w:r>
          </w:p>
        </w:tc>
        <w:tc>
          <w:tcPr>
            <w:tcW w:w="5740" w:type="dxa"/>
            <w:tcBorders>
              <w:top w:val="nil"/>
              <w:left w:val="nil"/>
              <w:bottom w:val="nil"/>
              <w:right w:val="nil"/>
            </w:tcBorders>
            <w:shd w:val="clear" w:color="auto" w:fill="auto"/>
            <w:noWrap/>
            <w:vAlign w:val="bottom"/>
            <w:hideMark/>
          </w:tcPr>
          <w:p w:rsidR="00516A55" w:rsidRPr="00B655CF" w:rsidRDefault="00516A55" w:rsidP="00293991">
            <w:pPr>
              <w:spacing w:after="0" w:line="240" w:lineRule="auto"/>
              <w:rPr>
                <w:rFonts w:ascii="Calibri" w:eastAsia="Times New Roman" w:hAnsi="Calibri" w:cs="Calibri"/>
                <w:color w:val="000000"/>
                <w:lang w:eastAsia="en-GB"/>
              </w:rPr>
            </w:pPr>
            <w:r w:rsidRPr="00B655CF">
              <w:rPr>
                <w:rFonts w:ascii="Calibri" w:eastAsia="Times New Roman" w:hAnsi="Calibri" w:cs="Calibri"/>
                <w:color w:val="000000"/>
                <w:lang w:eastAsia="en-GB"/>
              </w:rPr>
              <w:t>DNA first intranasal seasonal influenza vaccination</w:t>
            </w:r>
          </w:p>
        </w:tc>
      </w:tr>
    </w:tbl>
    <w:p w:rsidR="00390FE8" w:rsidRPr="00977E67" w:rsidRDefault="00390FE8" w:rsidP="00516A55"/>
    <w:sectPr w:rsidR="00390FE8" w:rsidRPr="00977E67" w:rsidSect="00516A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D7C17"/>
    <w:multiLevelType w:val="hybridMultilevel"/>
    <w:tmpl w:val="621087DA"/>
    <w:lvl w:ilvl="0" w:tplc="277AE896">
      <w:start w:val="1"/>
      <w:numFmt w:val="decimal"/>
      <w:lvlText w:val="%1."/>
      <w:lvlJc w:val="left"/>
      <w:pPr>
        <w:ind w:left="360" w:hanging="360"/>
      </w:pPr>
      <w:rPr>
        <w:rFonts w:cstheme="minorHAns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2A"/>
    <w:rsid w:val="00073B43"/>
    <w:rsid w:val="000763FD"/>
    <w:rsid w:val="0014644E"/>
    <w:rsid w:val="00167F30"/>
    <w:rsid w:val="001C077D"/>
    <w:rsid w:val="001E69A5"/>
    <w:rsid w:val="00224A01"/>
    <w:rsid w:val="00234760"/>
    <w:rsid w:val="00263B85"/>
    <w:rsid w:val="002C009B"/>
    <w:rsid w:val="00367BF8"/>
    <w:rsid w:val="00390FE8"/>
    <w:rsid w:val="003D3066"/>
    <w:rsid w:val="003F607E"/>
    <w:rsid w:val="00487B7A"/>
    <w:rsid w:val="00516A55"/>
    <w:rsid w:val="00542FE3"/>
    <w:rsid w:val="00583145"/>
    <w:rsid w:val="005854D2"/>
    <w:rsid w:val="005B6905"/>
    <w:rsid w:val="005F4544"/>
    <w:rsid w:val="00640320"/>
    <w:rsid w:val="006673CC"/>
    <w:rsid w:val="006A5D55"/>
    <w:rsid w:val="006B5212"/>
    <w:rsid w:val="00743DE9"/>
    <w:rsid w:val="0075123D"/>
    <w:rsid w:val="007925E2"/>
    <w:rsid w:val="00795D59"/>
    <w:rsid w:val="007A41EB"/>
    <w:rsid w:val="008968CE"/>
    <w:rsid w:val="008B3459"/>
    <w:rsid w:val="008B45BD"/>
    <w:rsid w:val="008D0158"/>
    <w:rsid w:val="00921E6E"/>
    <w:rsid w:val="009502E0"/>
    <w:rsid w:val="00977E67"/>
    <w:rsid w:val="00985662"/>
    <w:rsid w:val="0099692A"/>
    <w:rsid w:val="009A7E4D"/>
    <w:rsid w:val="009D6B10"/>
    <w:rsid w:val="00A7672B"/>
    <w:rsid w:val="00A87652"/>
    <w:rsid w:val="00AE12A5"/>
    <w:rsid w:val="00B01217"/>
    <w:rsid w:val="00B655CF"/>
    <w:rsid w:val="00B65A28"/>
    <w:rsid w:val="00BC4B91"/>
    <w:rsid w:val="00C37214"/>
    <w:rsid w:val="00C727A6"/>
    <w:rsid w:val="00C875E8"/>
    <w:rsid w:val="00D0783B"/>
    <w:rsid w:val="00D270B8"/>
    <w:rsid w:val="00D54DBB"/>
    <w:rsid w:val="00DD76FF"/>
    <w:rsid w:val="00EA0C03"/>
    <w:rsid w:val="00ED1C50"/>
    <w:rsid w:val="00EE5AB7"/>
    <w:rsid w:val="00F01A4D"/>
    <w:rsid w:val="00F12A50"/>
    <w:rsid w:val="00F55281"/>
    <w:rsid w:val="00F970DC"/>
    <w:rsid w:val="00FC037F"/>
    <w:rsid w:val="00FC6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BC00"/>
  <w15:docId w15:val="{E2620EC8-A212-4D92-B943-3F29F511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92A"/>
    <w:rPr>
      <w:color w:val="0563C1" w:themeColor="hyperlink"/>
      <w:u w:val="single"/>
    </w:rPr>
  </w:style>
  <w:style w:type="character" w:styleId="CommentReference">
    <w:name w:val="annotation reference"/>
    <w:basedOn w:val="DefaultParagraphFont"/>
    <w:uiPriority w:val="99"/>
    <w:semiHidden/>
    <w:unhideWhenUsed/>
    <w:rsid w:val="0099692A"/>
    <w:rPr>
      <w:sz w:val="16"/>
      <w:szCs w:val="16"/>
    </w:rPr>
  </w:style>
  <w:style w:type="paragraph" w:styleId="CommentText">
    <w:name w:val="annotation text"/>
    <w:basedOn w:val="Normal"/>
    <w:link w:val="CommentTextChar"/>
    <w:uiPriority w:val="99"/>
    <w:semiHidden/>
    <w:unhideWhenUsed/>
    <w:rsid w:val="0099692A"/>
    <w:pPr>
      <w:spacing w:line="240" w:lineRule="auto"/>
    </w:pPr>
    <w:rPr>
      <w:sz w:val="20"/>
      <w:szCs w:val="20"/>
    </w:rPr>
  </w:style>
  <w:style w:type="character" w:customStyle="1" w:styleId="CommentTextChar">
    <w:name w:val="Comment Text Char"/>
    <w:basedOn w:val="DefaultParagraphFont"/>
    <w:link w:val="CommentText"/>
    <w:uiPriority w:val="99"/>
    <w:semiHidden/>
    <w:rsid w:val="0099692A"/>
    <w:rPr>
      <w:sz w:val="20"/>
      <w:szCs w:val="20"/>
    </w:rPr>
  </w:style>
  <w:style w:type="paragraph" w:styleId="BalloonText">
    <w:name w:val="Balloon Text"/>
    <w:basedOn w:val="Normal"/>
    <w:link w:val="BalloonTextChar"/>
    <w:uiPriority w:val="99"/>
    <w:semiHidden/>
    <w:unhideWhenUsed/>
    <w:rsid w:val="00996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92A"/>
    <w:rPr>
      <w:rFonts w:ascii="Segoe UI" w:hAnsi="Segoe UI" w:cs="Segoe UI"/>
      <w:sz w:val="18"/>
      <w:szCs w:val="18"/>
    </w:rPr>
  </w:style>
  <w:style w:type="paragraph" w:styleId="ListParagraph">
    <w:name w:val="List Paragraph"/>
    <w:basedOn w:val="Normal"/>
    <w:uiPriority w:val="34"/>
    <w:qFormat/>
    <w:rsid w:val="005854D2"/>
    <w:pPr>
      <w:ind w:left="720"/>
      <w:contextualSpacing/>
    </w:pPr>
  </w:style>
  <w:style w:type="paragraph" w:customStyle="1" w:styleId="EndNoteBibliography">
    <w:name w:val="EndNote Bibliography"/>
    <w:basedOn w:val="Normal"/>
    <w:link w:val="EndNoteBibliographyChar"/>
    <w:rsid w:val="00F970D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970DC"/>
    <w:rPr>
      <w:rFonts w:ascii="Calibri" w:hAnsi="Calibri" w:cs="Calibri"/>
      <w:noProof/>
      <w:lang w:val="en-US"/>
    </w:rPr>
  </w:style>
  <w:style w:type="paragraph" w:styleId="CommentSubject">
    <w:name w:val="annotation subject"/>
    <w:basedOn w:val="CommentText"/>
    <w:next w:val="CommentText"/>
    <w:link w:val="CommentSubjectChar"/>
    <w:uiPriority w:val="99"/>
    <w:semiHidden/>
    <w:unhideWhenUsed/>
    <w:rsid w:val="008D0158"/>
    <w:rPr>
      <w:b/>
      <w:bCs/>
    </w:rPr>
  </w:style>
  <w:style w:type="character" w:customStyle="1" w:styleId="CommentSubjectChar">
    <w:name w:val="Comment Subject Char"/>
    <w:basedOn w:val="CommentTextChar"/>
    <w:link w:val="CommentSubject"/>
    <w:uiPriority w:val="99"/>
    <w:semiHidden/>
    <w:rsid w:val="008D0158"/>
    <w:rPr>
      <w:b/>
      <w:bCs/>
      <w:sz w:val="20"/>
      <w:szCs w:val="20"/>
    </w:rPr>
  </w:style>
  <w:style w:type="paragraph" w:styleId="NormalWeb">
    <w:name w:val="Normal (Web)"/>
    <w:basedOn w:val="Normal"/>
    <w:uiPriority w:val="99"/>
    <w:semiHidden/>
    <w:unhideWhenUsed/>
    <w:rsid w:val="00073B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iberresearch.org/portal/show/smoking_status_gprd" TargetMode="External"/><Relationship Id="rId18" Type="http://schemas.openxmlformats.org/officeDocument/2006/relationships/hyperlink" Target="https://www.caliberresearch.org/portal/show/sa_diagnosis_gprd" TargetMode="External"/><Relationship Id="rId26" Type="http://schemas.openxmlformats.org/officeDocument/2006/relationships/hyperlink" Target="https://www.caliberresearch.org/portal/show/hf_gprd" TargetMode="External"/><Relationship Id="rId3" Type="http://schemas.openxmlformats.org/officeDocument/2006/relationships/styles" Target="styles.xml"/><Relationship Id="rId21" Type="http://schemas.openxmlformats.org/officeDocument/2006/relationships/hyperlink" Target="https://www.caliberresearch.org/portal/show/myo_infarct_gprd" TargetMode="External"/><Relationship Id="rId7" Type="http://schemas.openxmlformats.org/officeDocument/2006/relationships/hyperlink" Target="https://caliberresearch.org/portal" TargetMode="External"/><Relationship Id="rId12" Type="http://schemas.openxmlformats.org/officeDocument/2006/relationships/hyperlink" Target="https://caliberresearch.org/portal/show/hypertension_and_heart_failure_gprdprod" TargetMode="External"/><Relationship Id="rId17" Type="http://schemas.openxmlformats.org/officeDocument/2006/relationships/hyperlink" Target="https://www.caliberresearch.org/portal/show/ht_hes" TargetMode="External"/><Relationship Id="rId25" Type="http://schemas.openxmlformats.org/officeDocument/2006/relationships/hyperlink" Target="https://www.caliberresearch.org/portal/show/af_gp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liberresearch.org/portal/show/ht_gprd" TargetMode="External"/><Relationship Id="rId20" Type="http://schemas.openxmlformats.org/officeDocument/2006/relationships/hyperlink" Target="https://www.caliberresearch.org/portal/show/unangina_gprd" TargetMode="External"/><Relationship Id="rId29" Type="http://schemas.openxmlformats.org/officeDocument/2006/relationships/hyperlink" Target="https://www.caliberresearch.org/portal/show/renal_hes" TargetMode="External"/><Relationship Id="rId1" Type="http://schemas.openxmlformats.org/officeDocument/2006/relationships/customXml" Target="../customXml/item1.xml"/><Relationship Id="rId6" Type="http://schemas.openxmlformats.org/officeDocument/2006/relationships/hyperlink" Target="http://r-forge.r-project.org/R/?group_id=1598" TargetMode="External"/><Relationship Id="rId11" Type="http://schemas.openxmlformats.org/officeDocument/2006/relationships/hyperlink" Target="https://caliberresearch.org/portal/show/hypertension_and_heart_failure_gprdprod" TargetMode="External"/><Relationship Id="rId24" Type="http://schemas.openxmlformats.org/officeDocument/2006/relationships/hyperlink" Target="https://www.caliberresearch.org/portal/show/stroke_nos_gpr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liberresearch.org/portal/show/dm_hes" TargetMode="External"/><Relationship Id="rId23" Type="http://schemas.openxmlformats.org/officeDocument/2006/relationships/hyperlink" Target="https://www.caliberresearch.org/portal/show/haem_stroke_gprd" TargetMode="External"/><Relationship Id="rId28" Type="http://schemas.openxmlformats.org/officeDocument/2006/relationships/hyperlink" Target="https://www.caliberresearch.org/portal/show/copd_hes" TargetMode="External"/><Relationship Id="rId10" Type="http://schemas.openxmlformats.org/officeDocument/2006/relationships/image" Target="media/image2.jpg"/><Relationship Id="rId19" Type="http://schemas.openxmlformats.org/officeDocument/2006/relationships/hyperlink" Target="https://www.caliberresearch.org/portal/show/angina_hes" TargetMode="External"/><Relationship Id="rId31" Type="http://schemas.openxmlformats.org/officeDocument/2006/relationships/hyperlink" Target="https://www.caliberresearch.org/portal/show/bm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liberresearch.org/portal/show/dm_gprd" TargetMode="External"/><Relationship Id="rId22" Type="http://schemas.openxmlformats.org/officeDocument/2006/relationships/hyperlink" Target="https://www.caliberresearch.org/portal/show/ischaemic_stroke_gprd" TargetMode="External"/><Relationship Id="rId27" Type="http://schemas.openxmlformats.org/officeDocument/2006/relationships/hyperlink" Target="https://www.caliberresearch.org/portal/show/copd_gprd" TargetMode="External"/><Relationship Id="rId30" Type="http://schemas.openxmlformats.org/officeDocument/2006/relationships/hyperlink" Target="https://www.caliberresearch.org/portal/show/dementia_gprd" TargetMode="External"/><Relationship Id="rId8" Type="http://schemas.openxmlformats.org/officeDocument/2006/relationships/hyperlink" Target="https://caliberresearch.org/portal/show/hypertension_and_heart_failure_gprd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C540-3AC3-436C-AEE0-32AD730F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Sheng-Chia</dc:creator>
  <cp:keywords/>
  <dc:description/>
  <cp:lastModifiedBy>Chung, Sheng-Chia</cp:lastModifiedBy>
  <cp:revision>3</cp:revision>
  <dcterms:created xsi:type="dcterms:W3CDTF">2020-04-21T14:06:00Z</dcterms:created>
  <dcterms:modified xsi:type="dcterms:W3CDTF">2020-04-21T19:47:00Z</dcterms:modified>
</cp:coreProperties>
</file>