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Установка</w:t>
      </w:r>
      <w:r>
        <w:t xml:space="preserve"> </w:t>
      </w:r>
      <w:r>
        <w:t xml:space="preserve">ОС</w:t>
      </w:r>
    </w:p>
    <w:p>
      <w:pPr>
        <w:pStyle w:val="Author"/>
      </w:pPr>
      <w:r>
        <w:t xml:space="preserve">Давыдов</w:t>
      </w:r>
      <w:r>
        <w:t xml:space="preserve"> </w:t>
      </w:r>
      <w:r>
        <w:t xml:space="preserve">Сергей</w:t>
      </w:r>
      <w:r>
        <w:t xml:space="preserve"> </w:t>
      </w:r>
      <w:r>
        <w:t xml:space="preserve">Арсентьевич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2006150"/>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06150"/>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3062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3062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23330"/>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23330"/>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322014"/>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322014"/>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93863"/>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93863"/>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75560"/>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75560"/>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36574"/>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36574"/>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12999"/>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12999"/>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67012"/>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767012"/>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97522"/>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297522"/>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Давыдов Сергей Арсентьевич</dc:creator>
  <dc:language>ru-RU</dc:language>
  <cp:keywords/>
  <dcterms:created xsi:type="dcterms:W3CDTF">2024-06-21T12:39:47Z</dcterms:created>
  <dcterms:modified xsi:type="dcterms:W3CDTF">2024-06-21T12:39:47Z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Установка ОС</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