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rPr/>
      </w:pPr>
      <w:bookmarkStart w:id="0" w:name="_heading=h.xqjk56ohh6fj"/>
      <w:bookmarkEnd w:id="0"/>
      <w:r>
        <w:rPr/>
        <w:t>Vos conditions particulières</w:t>
      </w:r>
    </w:p>
    <w:p>
      <w:pPr>
        <w:pStyle w:val="Heading2"/>
        <w:ind w:start="-566" w:end="0" w:hanging="0"/>
        <w:rPr/>
      </w:pPr>
      <w:bookmarkStart w:id="1" w:name="_heading=h.mpj9lr19ptb0"/>
      <w:bookmarkEnd w:id="1"/>
      <w:r>
        <w:rPr/>
        <w:t>Souscription d’un contrat à adhésion facultative de surcomplémentaire myBooster</w:t>
      </w:r>
    </w:p>
    <w:p>
      <w:pPr>
        <w:pStyle w:val="Normal"/>
        <w:ind w:start="-566" w:end="0" w:hanging="0"/>
        <w:jc w:val="both"/>
        <w:rPr>
          <w:rFonts w:ascii="Work Sans" w:hAnsi="Work Sans" w:eastAsia="Work Sans" w:cs="Work Sans"/>
          <w:sz w:val="22"/>
          <w:szCs w:val="22"/>
        </w:rPr>
      </w:pPr>
      <w:r>
        <w:rPr>
          <w:rFonts w:eastAsia="Work Sans" w:cs="Work Sans"/>
          <w:sz w:val="22"/>
          <w:szCs w:val="22"/>
        </w:rPr>
      </w:r>
    </w:p>
    <w:p>
      <w:pPr>
        <w:pStyle w:val="Normal"/>
        <w:rPr/>
      </w:pPr>
      <w:r>
        <w:rPr/>
        <w:t>Vous souscrivez le produit d’assurance surcomplémentaire santé appelé myBooster régi par les conditions générales dont la référence du document est : myBooster CG 21-001.</w:t>
      </w:r>
    </w:p>
    <w:p>
      <w:pPr>
        <w:pStyle w:val="Normal"/>
        <w:rPr/>
      </w:pPr>
      <w:r>
        <w:rPr/>
      </w:r>
    </w:p>
    <w:p>
      <w:pPr>
        <w:pStyle w:val="Normal"/>
        <w:rPr/>
      </w:pPr>
      <w:r>
        <w:rPr/>
        <w:t>Vous êtes adhérent de l’Association « Les solutions mySofie » (ASmS) et bénéficiez à ce titre des garanties du contrat myBooster.</w:t>
      </w:r>
    </w:p>
    <w:p>
      <w:pPr>
        <w:pStyle w:val="Normal"/>
        <w:rPr/>
      </w:pPr>
      <w:r>
        <w:rPr/>
      </w:r>
    </w:p>
    <w:p>
      <w:pPr>
        <w:pStyle w:val="Normal"/>
        <w:rPr/>
      </w:pPr>
      <w:r>
        <w:rPr/>
      </w:r>
    </w:p>
    <w:p>
      <w:pPr>
        <w:pStyle w:val="Normal"/>
        <w:rPr/>
      </w:pPr>
      <w:r>
        <w:rPr/>
        <w:t>A la suite des informations fournies sur votre parcours utilisateur de l’application mySofie, nous avons édité les présentes conditions particulières, confirmant et/ou complétant les conditions générales d’assurance susmentionnées :</w:t>
      </w:r>
    </w:p>
    <w:p>
      <w:pPr>
        <w:pStyle w:val="Normal"/>
        <w:ind w:start="-566" w:end="0" w:hanging="0"/>
        <w:rPr>
          <w:rFonts w:ascii="Work Sans" w:hAnsi="Work Sans" w:eastAsia="Work Sans" w:cs="Work Sans"/>
        </w:rPr>
      </w:pPr>
      <w:r>
        <w:rPr>
          <w:rFonts w:eastAsia="Work Sans" w:cs="Work Sans"/>
        </w:rPr>
      </w:r>
    </w:p>
    <w:p>
      <w:pPr>
        <w:pStyle w:val="Heading2"/>
        <w:numPr>
          <w:ilvl w:val="0"/>
          <w:numId w:val="3"/>
        </w:numPr>
        <w:ind w:start="-566" w:end="0" w:hanging="0"/>
        <w:jc w:val="start"/>
        <w:rPr>
          <w:position w:val="0"/>
          <w:sz w:val="24"/>
          <w:sz w:val="24"/>
          <w:vertAlign w:val="baseline"/>
        </w:rPr>
      </w:pPr>
      <w:bookmarkStart w:id="2" w:name="_heading=h.fqw5xa2m9tcu"/>
      <w:bookmarkEnd w:id="2"/>
      <w:r>
        <w:rPr>
          <w:position w:val="0"/>
          <w:sz w:val="24"/>
          <w:sz w:val="24"/>
          <w:vertAlign w:val="baseline"/>
        </w:rPr>
        <w:t>Votre profil de souscription</w:t>
      </w:r>
    </w:p>
    <w:p>
      <w:pPr>
        <w:pStyle w:val="Normal"/>
        <w:ind w:start="-566" w:end="0" w:hanging="0"/>
        <w:rPr>
          <w:rFonts w:ascii="Work Sans" w:hAnsi="Work Sans" w:eastAsia="Work Sans" w:cs="Work Sans"/>
        </w:rPr>
      </w:pPr>
      <w:r>
        <w:rPr>
          <w:rFonts w:eastAsia="Work Sans" w:cs="Work Sans"/>
        </w:rPr>
      </w:r>
    </w:p>
    <w:p>
      <w:pPr>
        <w:pStyle w:val="Normal"/>
        <w:numPr>
          <w:ilvl w:val="0"/>
          <w:numId w:val="4"/>
        </w:numPr>
        <w:ind w:start="720" w:end="0" w:hanging="360"/>
        <w:rPr/>
      </w:pPr>
      <w:r>
        <w:rPr/>
        <w:t>Nom du souscripteur : {{lastName}} {{firstName}}</w:t>
      </w:r>
    </w:p>
    <w:p>
      <w:pPr>
        <w:pStyle w:val="Normal"/>
        <w:numPr>
          <w:ilvl w:val="0"/>
          <w:numId w:val="4"/>
        </w:numPr>
        <w:ind w:start="720" w:end="0" w:hanging="360"/>
        <w:rPr/>
      </w:pPr>
      <w:r>
        <w:rPr/>
        <w:t>Adresse : {{address}}</w:t>
      </w:r>
    </w:p>
    <w:p>
      <w:pPr>
        <w:pStyle w:val="Normal"/>
        <w:numPr>
          <w:ilvl w:val="0"/>
          <w:numId w:val="4"/>
        </w:numPr>
        <w:ind w:start="720" w:end="0" w:hanging="360"/>
        <w:rPr/>
      </w:pPr>
      <w:r>
        <w:rPr/>
        <w:t>Code postal : {{zipCode}}</w:t>
      </w:r>
    </w:p>
    <w:p>
      <w:pPr>
        <w:pStyle w:val="Normal"/>
        <w:numPr>
          <w:ilvl w:val="0"/>
          <w:numId w:val="4"/>
        </w:numPr>
        <w:ind w:start="720" w:end="0" w:hanging="360"/>
        <w:rPr/>
      </w:pPr>
      <w:r>
        <w:rPr/>
        <w:t>Ville : {{city}}</w:t>
      </w:r>
    </w:p>
    <w:p>
      <w:pPr>
        <w:pStyle w:val="Normal"/>
        <w:numPr>
          <w:ilvl w:val="0"/>
          <w:numId w:val="4"/>
        </w:numPr>
        <w:ind w:start="720" w:end="0" w:hanging="360"/>
        <w:rPr/>
      </w:pPr>
      <w:r>
        <w:rPr/>
        <w:t>Adresse Mail: {{email}}</w:t>
      </w:r>
    </w:p>
    <w:p>
      <w:pPr>
        <w:pStyle w:val="Normal"/>
        <w:numPr>
          <w:ilvl w:val="0"/>
          <w:numId w:val="4"/>
        </w:numPr>
        <w:ind w:start="720" w:end="0" w:hanging="360"/>
        <w:rPr/>
      </w:pPr>
      <w:r>
        <w:rPr/>
        <w:t>N° de téléphone: {{phone}}</w:t>
      </w:r>
    </w:p>
    <w:p>
      <w:pPr>
        <w:pStyle w:val="Normal"/>
        <w:numPr>
          <w:ilvl w:val="0"/>
          <w:numId w:val="4"/>
        </w:numPr>
        <w:ind w:start="720" w:end="0" w:hanging="360"/>
        <w:rPr/>
      </w:pPr>
      <w:r>
        <w:rPr/>
        <w:t>N° de Sécurité Sociale  : {{nic}}</w:t>
      </w:r>
    </w:p>
    <w:p>
      <w:pPr>
        <w:pStyle w:val="Normal"/>
        <w:keepNext w:val="false"/>
        <w:keepLines w:val="false"/>
        <w:pageBreakBefore w:val="false"/>
        <w:widowControl/>
        <w:spacing w:lineRule="auto" w:line="240" w:before="0" w:after="0"/>
        <w:ind w:start="720" w:end="0" w:hanging="0"/>
        <w:jc w:val="start"/>
        <w:rPr>
          <w:rFonts w:ascii="Work Sans" w:hAnsi="Work Sans" w:eastAsia="Work Sans" w:cs="Work Sans"/>
          <w:sz w:val="21"/>
          <w:szCs w:val="21"/>
        </w:rPr>
      </w:pPr>
      <w:r>
        <w:rPr>
          <w:rFonts w:eastAsia="Work Sans" w:cs="Work Sans"/>
          <w:sz w:val="21"/>
          <w:szCs w:val="21"/>
        </w:rPr>
      </w:r>
    </w:p>
    <w:p>
      <w:pPr>
        <w:pStyle w:val="Normal"/>
        <w:ind w:start="-566" w:end="0" w:hanging="0"/>
        <w:rPr>
          <w:rFonts w:ascii="Work Sans" w:hAnsi="Work Sans" w:eastAsia="Work Sans" w:cs="Work Sans"/>
          <w:sz w:val="21"/>
          <w:szCs w:val="21"/>
        </w:rPr>
      </w:pPr>
      <w:r>
        <w:rPr>
          <w:rFonts w:eastAsia="Work Sans" w:cs="Work Sans"/>
          <w:sz w:val="21"/>
          <w:szCs w:val="21"/>
        </w:rPr>
      </w:r>
    </w:p>
    <w:p>
      <w:pPr>
        <w:pStyle w:val="Heading3"/>
        <w:rPr/>
      </w:pPr>
      <w:bookmarkStart w:id="3" w:name="_heading=h.h0jg6adf0qt"/>
      <w:bookmarkEnd w:id="3"/>
      <w:r>
        <w:rPr/>
        <w:t>Ayant droit ou bénéficiaire 1 :</w:t>
      </w:r>
    </w:p>
    <w:p>
      <w:pPr>
        <w:pStyle w:val="Normal"/>
        <w:spacing w:lineRule="auto" w:line="276"/>
        <w:ind w:start="850" w:end="0" w:hanging="0"/>
        <w:jc w:val="start"/>
        <w:rPr>
          <w:rFonts w:ascii="Work Sans" w:hAnsi="Work Sans" w:eastAsia="Work Sans" w:cs="Work Sans"/>
          <w:color w:val="auto"/>
          <w:kern w:val="0"/>
          <w:sz w:val="24"/>
          <w:szCs w:val="24"/>
          <w:lang w:val="fr-FR" w:eastAsia="zh-CN" w:bidi="hi-IN"/>
        </w:rPr>
      </w:pPr>
      <w:r>
        <w:rPr>
          <w:rFonts w:eastAsia="Work Sans" w:cs="Work Sans"/>
          <w:color w:val="auto"/>
          <w:kern w:val="0"/>
          <w:sz w:val="24"/>
          <w:szCs w:val="24"/>
          <w:lang w:val="fr-FR" w:eastAsia="zh-CN" w:bidi="hi-IN"/>
        </w:rPr>
        <w:t>{{b0_lastName}} {{b0_firstName}} {{b0_birthDate}}</w:t>
      </w:r>
    </w:p>
    <w:p>
      <w:pPr>
        <w:pStyle w:val="Heading3"/>
        <w:rPr/>
      </w:pPr>
      <w:bookmarkStart w:id="4" w:name="_heading=h.cam3vmbxqkxk"/>
      <w:bookmarkEnd w:id="4"/>
      <w:r>
        <w:rPr/>
        <w:t>Ayant droit ou bénéficiaire 2 :</w:t>
      </w:r>
    </w:p>
    <w:p>
      <w:pPr>
        <w:pStyle w:val="Normal"/>
        <w:spacing w:lineRule="auto" w:line="276"/>
        <w:ind w:start="850" w:end="0" w:hanging="0"/>
        <w:jc w:val="start"/>
        <w:rPr>
          <w:rFonts w:ascii="Work Sans" w:hAnsi="Work Sans" w:eastAsia="Work Sans" w:cs="Work Sans"/>
          <w:color w:val="auto"/>
          <w:kern w:val="0"/>
          <w:sz w:val="24"/>
          <w:szCs w:val="24"/>
          <w:lang w:val="fr-FR" w:eastAsia="zh-CN" w:bidi="hi-IN"/>
        </w:rPr>
      </w:pPr>
      <w:r>
        <w:rPr>
          <w:rFonts w:eastAsia="Work Sans" w:cs="Work Sans"/>
          <w:color w:val="auto"/>
          <w:kern w:val="0"/>
          <w:sz w:val="24"/>
          <w:szCs w:val="24"/>
          <w:lang w:val="fr-FR" w:eastAsia="zh-CN" w:bidi="hi-IN"/>
        </w:rPr>
        <w:t>{{b1_lastName}} {{b1_firstName}} {{b1_birthDate}}</w:t>
      </w:r>
    </w:p>
    <w:p>
      <w:pPr>
        <w:pStyle w:val="Normal"/>
        <w:rPr/>
      </w:pPr>
      <w:r>
        <w:rPr/>
      </w:r>
    </w:p>
    <w:p>
      <w:pPr>
        <w:pStyle w:val="Heading3"/>
        <w:rPr/>
      </w:pPr>
      <w:bookmarkStart w:id="5" w:name="_heading=h.v8cwst5nfjrn"/>
      <w:bookmarkEnd w:id="5"/>
      <w:r>
        <w:rPr/>
        <w:t>Ayant droit ou bénéficiaire 3 :</w:t>
      </w:r>
    </w:p>
    <w:p>
      <w:pPr>
        <w:pStyle w:val="Normal"/>
        <w:spacing w:lineRule="auto" w:line="276"/>
        <w:ind w:start="850" w:end="0" w:hanging="0"/>
        <w:jc w:val="start"/>
        <w:rPr>
          <w:rFonts w:ascii="Work Sans" w:hAnsi="Work Sans" w:eastAsia="Work Sans" w:cs="Work Sans"/>
          <w:color w:val="auto"/>
          <w:kern w:val="0"/>
          <w:sz w:val="24"/>
          <w:szCs w:val="24"/>
          <w:lang w:val="fr-FR" w:eastAsia="zh-CN" w:bidi="hi-IN"/>
        </w:rPr>
      </w:pPr>
      <w:r>
        <w:rPr>
          <w:rFonts w:eastAsia="Work Sans" w:cs="Work Sans"/>
          <w:color w:val="auto"/>
          <w:kern w:val="0"/>
          <w:sz w:val="24"/>
          <w:szCs w:val="24"/>
          <w:lang w:val="fr-FR" w:eastAsia="zh-CN" w:bidi="hi-IN"/>
        </w:rPr>
        <w:t>{{b2_lastName}} {{b2_firstName}} {{b2_birthDate}}</w:t>
      </w:r>
    </w:p>
    <w:p>
      <w:pPr>
        <w:pStyle w:val="Normal"/>
        <w:tabs>
          <w:tab w:val="clear" w:pos="720"/>
          <w:tab w:val="left" w:pos="4060" w:leader="none"/>
        </w:tabs>
        <w:ind w:start="-566" w:end="0" w:hanging="0"/>
        <w:rPr>
          <w:rFonts w:ascii="Work Sans" w:hAnsi="Work Sans" w:eastAsia="Work Sans" w:cs="Work Sans"/>
        </w:rPr>
      </w:pPr>
      <w:r>
        <w:rPr>
          <w:rFonts w:eastAsia="Work Sans" w:cs="Work Sans"/>
        </w:rPr>
        <w:tab/>
      </w:r>
    </w:p>
    <w:p>
      <w:pPr>
        <w:pStyle w:val="Heading3"/>
        <w:rPr/>
      </w:pPr>
      <w:r>
        <w:rPr/>
        <w:t>Ayant droit ou bénéficiaire 4 :</w:t>
      </w:r>
    </w:p>
    <w:p>
      <w:pPr>
        <w:pStyle w:val="Normal"/>
        <w:tabs>
          <w:tab w:val="clear" w:pos="720"/>
          <w:tab w:val="left" w:pos="4060" w:leader="none"/>
        </w:tabs>
        <w:spacing w:lineRule="auto" w:line="276"/>
        <w:ind w:start="850" w:end="0" w:hanging="0"/>
        <w:jc w:val="start"/>
        <w:rPr>
          <w:rFonts w:ascii="Work Sans" w:hAnsi="Work Sans" w:eastAsia="Work Sans" w:cs="Work Sans"/>
        </w:rPr>
      </w:pPr>
      <w:r>
        <w:rPr>
          <w:rFonts w:eastAsia="Work Sans" w:cs="Work Sans"/>
          <w:color w:val="auto"/>
          <w:kern w:val="0"/>
          <w:sz w:val="24"/>
          <w:szCs w:val="24"/>
          <w:lang w:val="fr-FR" w:eastAsia="zh-CN" w:bidi="hi-IN"/>
        </w:rPr>
        <w:t>{{b3_lastName}} {{b3_firstName}} {{b3_birthDate}}</w:t>
      </w:r>
    </w:p>
    <w:p>
      <w:pPr>
        <w:pStyle w:val="Normal"/>
        <w:tabs>
          <w:tab w:val="clear" w:pos="720"/>
          <w:tab w:val="left" w:pos="4060" w:leader="none"/>
        </w:tabs>
        <w:spacing w:lineRule="auto" w:line="276"/>
        <w:ind w:start="850" w:end="0" w:hanging="0"/>
        <w:jc w:val="start"/>
        <w:rPr>
          <w:rFonts w:ascii="Work Sans" w:hAnsi="Work Sans" w:eastAsia="Work Sans" w:cs="Work Sans"/>
        </w:rPr>
      </w:pPr>
      <w:r>
        <w:rPr>
          <w:rFonts w:eastAsia="Work Sans" w:cs="Work Sans"/>
        </w:rPr>
      </w:r>
    </w:p>
    <w:p>
      <w:pPr>
        <w:pStyle w:val="Heading3"/>
        <w:rPr/>
      </w:pPr>
      <w:r>
        <w:rPr/>
        <w:t>Ayant droit ou bénéficiaire 5 :</w:t>
      </w:r>
    </w:p>
    <w:p>
      <w:pPr>
        <w:pStyle w:val="Normal"/>
        <w:tabs>
          <w:tab w:val="clear" w:pos="720"/>
          <w:tab w:val="left" w:pos="4060" w:leader="none"/>
        </w:tabs>
        <w:spacing w:lineRule="auto" w:line="276"/>
        <w:ind w:start="850" w:end="0" w:hanging="0"/>
        <w:jc w:val="start"/>
        <w:rPr>
          <w:rFonts w:ascii="Work Sans" w:hAnsi="Work Sans" w:eastAsia="Work Sans" w:cs="Work Sans"/>
        </w:rPr>
      </w:pPr>
      <w:r>
        <w:rPr>
          <w:rFonts w:eastAsia="Work Sans" w:cs="Work Sans"/>
          <w:color w:val="auto"/>
          <w:kern w:val="0"/>
          <w:sz w:val="24"/>
          <w:szCs w:val="24"/>
          <w:lang w:val="fr-FR" w:eastAsia="zh-CN" w:bidi="hi-IN"/>
        </w:rPr>
        <w:t>{{b4_lastName}} {{b4_firstName}} {{b4_birthDate}}</w:t>
      </w:r>
    </w:p>
    <w:p>
      <w:pPr>
        <w:pStyle w:val="Normal"/>
        <w:ind w:start="-566" w:end="0" w:hanging="0"/>
        <w:rPr>
          <w:rFonts w:ascii="Work Sans" w:hAnsi="Work Sans" w:eastAsia="Work Sans" w:cs="Work Sans"/>
        </w:rPr>
      </w:pPr>
      <w:r>
        <w:rPr>
          <w:rFonts w:eastAsia="Work Sans" w:cs="Work Sans"/>
        </w:rPr>
      </w:r>
    </w:p>
    <w:p>
      <w:pPr>
        <w:pStyle w:val="Heading2"/>
        <w:numPr>
          <w:ilvl w:val="0"/>
          <w:numId w:val="3"/>
        </w:numPr>
        <w:ind w:start="-566" w:end="0" w:hanging="0"/>
        <w:jc w:val="start"/>
        <w:rPr>
          <w:position w:val="0"/>
          <w:sz w:val="24"/>
          <w:sz w:val="24"/>
          <w:vertAlign w:val="baseline"/>
        </w:rPr>
      </w:pPr>
      <w:bookmarkStart w:id="6" w:name="_heading=h.dxhdjuivzri"/>
      <w:bookmarkEnd w:id="6"/>
      <w:r>
        <w:rPr>
          <w:position w:val="0"/>
          <w:sz w:val="24"/>
          <w:sz w:val="24"/>
          <w:vertAlign w:val="baseline"/>
        </w:rPr>
        <w:t>Vos couvertures</w:t>
      </w:r>
    </w:p>
    <w:p>
      <w:pPr>
        <w:pStyle w:val="Heading3"/>
        <w:numPr>
          <w:ilvl w:val="1"/>
          <w:numId w:val="3"/>
        </w:numPr>
        <w:ind w:start="720" w:end="0" w:hanging="360"/>
        <w:jc w:val="start"/>
        <w:rPr>
          <w:position w:val="0"/>
          <w:sz w:val="24"/>
          <w:sz w:val="24"/>
          <w:vertAlign w:val="baseline"/>
        </w:rPr>
      </w:pPr>
      <w:bookmarkStart w:id="7" w:name="_heading=h.ubiewekpcfzz"/>
      <w:bookmarkEnd w:id="7"/>
      <w:r>
        <w:rPr>
          <w:position w:val="0"/>
          <w:sz w:val="24"/>
          <w:sz w:val="24"/>
          <w:vertAlign w:val="baseline"/>
        </w:rPr>
        <w:t>Personnes couvertes</w:t>
      </w:r>
    </w:p>
    <w:p>
      <w:pPr>
        <w:pStyle w:val="Normal"/>
        <w:ind w:start="-566" w:end="0" w:hanging="0"/>
        <w:rPr>
          <w:rFonts w:ascii="Work Sans" w:hAnsi="Work Sans" w:eastAsia="Work Sans" w:cs="Work Sans"/>
        </w:rPr>
      </w:pPr>
      <w:r>
        <w:rPr>
          <w:rFonts w:eastAsia="Work Sans" w:cs="Work Sans"/>
        </w:rPr>
      </w:r>
    </w:p>
    <w:p>
      <w:pPr>
        <w:pStyle w:val="Normal"/>
        <w:ind w:start="-566" w:end="0" w:hanging="0"/>
        <w:jc w:val="both"/>
        <w:rPr>
          <w:rFonts w:ascii="Work Sans" w:hAnsi="Work Sans" w:eastAsia="Work Sans" w:cs="Work Sans"/>
        </w:rPr>
      </w:pPr>
      <w:r>
        <w:rPr>
          <w:rFonts w:eastAsia="Work Sans" w:cs="Work Sans"/>
        </w:rPr>
        <w:t>Les personnes bénéficiaires ou ayant droit déclarées bénéficient des garanties d’assurance surcomplémentaire d’assurance santé myBooster DocEnVille conformément aux conditions générales du contrat.</w:t>
      </w:r>
    </w:p>
    <w:p>
      <w:pPr>
        <w:pStyle w:val="Normal"/>
        <w:ind w:start="-566" w:end="0" w:hanging="0"/>
        <w:rPr>
          <w:rFonts w:ascii="Work Sans" w:hAnsi="Work Sans" w:eastAsia="Work Sans" w:cs="Work Sans"/>
        </w:rPr>
      </w:pPr>
      <w:r>
        <w:rPr>
          <w:rFonts w:eastAsia="Work Sans" w:cs="Work Sans"/>
        </w:rPr>
      </w:r>
    </w:p>
    <w:p>
      <w:pPr>
        <w:pStyle w:val="Heading3"/>
        <w:numPr>
          <w:ilvl w:val="1"/>
          <w:numId w:val="3"/>
        </w:numPr>
        <w:ind w:start="720" w:end="0" w:hanging="360"/>
        <w:jc w:val="start"/>
        <w:rPr>
          <w:position w:val="0"/>
          <w:sz w:val="24"/>
          <w:sz w:val="24"/>
          <w:vertAlign w:val="baseline"/>
        </w:rPr>
      </w:pPr>
      <w:bookmarkStart w:id="8" w:name="_heading=h.o3o8332whd6z"/>
      <w:bookmarkEnd w:id="8"/>
      <w:r>
        <w:rPr>
          <w:position w:val="0"/>
          <w:sz w:val="24"/>
          <w:sz w:val="24"/>
          <w:vertAlign w:val="baseline"/>
        </w:rPr>
        <w:t>Garanties offertes</w:t>
      </w:r>
    </w:p>
    <w:p>
      <w:pPr>
        <w:pStyle w:val="Normal"/>
        <w:ind w:start="-566" w:end="0" w:hanging="0"/>
        <w:rPr>
          <w:rFonts w:ascii="Work Sans" w:hAnsi="Work Sans" w:eastAsia="Work Sans" w:cs="Work Sans"/>
        </w:rPr>
      </w:pPr>
      <w:r>
        <w:rPr>
          <w:rFonts w:eastAsia="Work Sans" w:cs="Work Sans"/>
        </w:rPr>
      </w:r>
    </w:p>
    <w:p>
      <w:pPr>
        <w:pStyle w:val="Normal"/>
        <w:ind w:start="-566" w:end="0" w:hanging="0"/>
        <w:jc w:val="both"/>
        <w:rPr>
          <w:rFonts w:ascii="Work Sans" w:hAnsi="Work Sans" w:eastAsia="Work Sans" w:cs="Work Sans"/>
        </w:rPr>
      </w:pPr>
      <w:r>
        <w:rPr>
          <w:rFonts w:eastAsia="Work Sans" w:cs="Work Sans"/>
        </w:rPr>
        <w:t>Conformément aux conditions générales, vous souscrivez le contrat surcomplémentaire d’assurance santé « myBooster DocEnVille », et bénéficiez à la date de signature des présentes, vous et les bénéficiaires déclarés, d’un contrat d’assurance santé surcomplémentaire et êtes affiliés au régime obligatoire de la sécurité sociale en matière de santé.</w:t>
      </w:r>
    </w:p>
    <w:p>
      <w:pPr>
        <w:pStyle w:val="Normal"/>
        <w:ind w:start="-566" w:end="0" w:hanging="0"/>
        <w:jc w:val="both"/>
        <w:rPr>
          <w:rFonts w:ascii="Work Sans" w:hAnsi="Work Sans" w:eastAsia="Work Sans" w:cs="Work Sans"/>
        </w:rPr>
      </w:pPr>
      <w:r>
        <w:rPr>
          <w:rFonts w:eastAsia="Work Sans" w:cs="Work Sans"/>
        </w:rPr>
      </w:r>
    </w:p>
    <w:p>
      <w:pPr>
        <w:pStyle w:val="Normal"/>
        <w:ind w:start="-566" w:end="0" w:hanging="0"/>
        <w:jc w:val="both"/>
        <w:rPr/>
      </w:pPr>
      <w:r>
        <w:rPr>
          <w:rFonts w:eastAsia="Work Sans" w:cs="Work Sans"/>
        </w:rPr>
        <w:t xml:space="preserve">Ce contrat permet le remboursement </w:t>
      </w:r>
      <w:r>
        <w:rPr/>
        <w:t>d’une</w:t>
      </w:r>
      <w:r>
        <w:rPr>
          <w:rFonts w:eastAsia="Work Sans" w:cs="Work Sans"/>
        </w:rPr>
        <w:t xml:space="preserve"> partie du reste à charge de vos dépenses de santé en matière de médecine de ville et de médecine douce, telles que définies dans les conditions générales, sous la condition de prise en charge préalable par votre contrat d’assurance santé complémentaire.</w:t>
      </w:r>
    </w:p>
    <w:p>
      <w:pPr>
        <w:pStyle w:val="Normal"/>
        <w:ind w:start="-566" w:end="0" w:hanging="0"/>
        <w:rPr/>
      </w:pPr>
      <w:r>
        <w:rPr/>
      </w:r>
    </w:p>
    <w:p>
      <w:pPr>
        <w:pStyle w:val="Normal"/>
        <w:ind w:start="-566" w:end="0" w:hanging="0"/>
        <w:rPr/>
      </w:pPr>
      <w:r>
        <w:rPr/>
        <w:t>Le présent contrat ne correspond pas à un contrat d’assurance dit « responsable » car il remplit partiellement les conditions des articles L 871-1 et R871-1 du Code de la Sécurité Sociale.</w:t>
      </w:r>
      <w:bookmarkStart w:id="9" w:name="_heading=h.31qm73sq52vi"/>
      <w:bookmarkEnd w:id="9"/>
      <w:r>
        <w:br w:type="page"/>
      </w:r>
    </w:p>
    <w:p>
      <w:pPr>
        <w:pStyle w:val="Heading3"/>
        <w:numPr>
          <w:ilvl w:val="1"/>
          <w:numId w:val="3"/>
        </w:numPr>
        <w:ind w:start="720" w:end="0" w:hanging="360"/>
        <w:jc w:val="start"/>
        <w:rPr>
          <w:position w:val="0"/>
          <w:sz w:val="24"/>
          <w:sz w:val="24"/>
          <w:vertAlign w:val="baseline"/>
        </w:rPr>
      </w:pPr>
      <w:bookmarkStart w:id="10" w:name="_heading=h.eodm5nn21931"/>
      <w:bookmarkEnd w:id="10"/>
      <w:r>
        <w:rPr>
          <w:position w:val="0"/>
          <w:sz w:val="24"/>
          <w:sz w:val="24"/>
          <w:vertAlign w:val="baseline"/>
        </w:rPr>
        <w:t>Plafonds de garanties</w:t>
      </w:r>
    </w:p>
    <w:p>
      <w:pPr>
        <w:pStyle w:val="Normal"/>
        <w:keepNext w:val="false"/>
        <w:keepLines w:val="false"/>
        <w:pageBreakBefore w:val="false"/>
        <w:widowControl/>
        <w:spacing w:lineRule="auto" w:line="240" w:before="0" w:after="0"/>
        <w:ind w:start="-566" w:end="0" w:hanging="0"/>
        <w:jc w:val="start"/>
        <w:rPr>
          <w:rFonts w:ascii="Work Sans" w:hAnsi="Work Sans" w:eastAsia="Work Sans" w:cs="Work Sans"/>
          <w:i w:val="false"/>
          <w:i w:val="false"/>
          <w:caps w:val="false"/>
          <w:smallCaps w:val="false"/>
          <w:strike w:val="false"/>
          <w:dstrike w:val="false"/>
          <w:color w:val="000000"/>
          <w:position w:val="0"/>
          <w:sz w:val="24"/>
          <w:sz w:val="24"/>
          <w:szCs w:val="24"/>
          <w:u w:val="none"/>
          <w:vertAlign w:val="baseline"/>
        </w:rPr>
      </w:pPr>
      <w:r>
        <w:rPr>
          <w:rFonts w:eastAsia="Work Sans" w:cs="Work Sans"/>
          <w:i w:val="false"/>
          <w:caps w:val="false"/>
          <w:smallCaps w:val="false"/>
          <w:strike w:val="false"/>
          <w:dstrike w:val="false"/>
          <w:color w:val="000000"/>
          <w:position w:val="0"/>
          <w:sz w:val="24"/>
          <w:sz w:val="24"/>
          <w:szCs w:val="24"/>
          <w:u w:val="none"/>
          <w:vertAlign w:val="baseline"/>
        </w:rPr>
      </w:r>
    </w:p>
    <w:p>
      <w:pPr>
        <w:pStyle w:val="Normal"/>
        <w:ind w:start="-566" w:end="0" w:hanging="0"/>
        <w:jc w:val="both"/>
        <w:rPr>
          <w:rFonts w:ascii="Work Sans" w:hAnsi="Work Sans" w:eastAsia="Work Sans" w:cs="Work Sans"/>
        </w:rPr>
      </w:pPr>
      <w:r>
        <w:rPr>
          <w:rFonts w:eastAsia="Work Sans" w:cs="Work Sans"/>
        </w:rPr>
        <w:t>Le contrat myBooster couvre une quote-part du Reste A Charge (RAC) des soins de Médecine de ville et de médecine douce non pris en charge dans leur intégralité après intervention de la Sécurité Sociale et du contrat complémentaire santé “socle”, dans la limite des frais réellement engagés.</w:t>
      </w:r>
    </w:p>
    <w:p>
      <w:pPr>
        <w:pStyle w:val="Normal"/>
        <w:ind w:start="-566" w:end="0" w:hanging="0"/>
        <w:jc w:val="both"/>
        <w:rPr>
          <w:rFonts w:ascii="Work Sans" w:hAnsi="Work Sans" w:eastAsia="Work Sans" w:cs="Work Sans"/>
        </w:rPr>
      </w:pPr>
      <w:r>
        <w:rPr>
          <w:rFonts w:eastAsia="Work Sans" w:cs="Work Sans"/>
        </w:rPr>
      </w:r>
    </w:p>
    <w:p>
      <w:pPr>
        <w:pStyle w:val="Normal"/>
        <w:ind w:start="-566" w:end="0" w:hanging="0"/>
        <w:jc w:val="both"/>
        <w:rPr>
          <w:b/>
          <w:b/>
        </w:rPr>
      </w:pPr>
      <w:r>
        <w:rPr>
          <w:b/>
        </w:rPr>
        <w:t>3 niveaux de couverture sont proposés :</w:t>
      </w:r>
    </w:p>
    <w:p>
      <w:pPr>
        <w:pStyle w:val="Normal"/>
        <w:ind w:start="-566" w:end="0" w:hanging="0"/>
        <w:jc w:val="both"/>
        <w:rPr>
          <w:b/>
          <w:b/>
        </w:rPr>
      </w:pPr>
      <w:r>
        <w:rPr>
          <w:b/>
        </w:rPr>
      </w:r>
    </w:p>
    <w:p>
      <w:pPr>
        <w:pStyle w:val="Normal"/>
        <w:ind w:start="-566" w:end="0" w:hanging="0"/>
        <w:jc w:val="both"/>
        <w:rPr>
          <w:b/>
          <w:b/>
        </w:rPr>
      </w:pPr>
      <w:r>
        <w:rPr>
          <w:b/>
        </w:rPr>
      </w:r>
    </w:p>
    <w:tbl>
      <w:tblPr>
        <w:tblW w:w="10335" w:type="dxa"/>
        <w:jc w:val="start"/>
        <w:tblInd w:w="-477" w:type="dxa"/>
        <w:tblLayout w:type="fixed"/>
        <w:tblCellMar>
          <w:top w:w="100" w:type="dxa"/>
          <w:start w:w="100" w:type="dxa"/>
          <w:bottom w:w="100" w:type="dxa"/>
          <w:end w:w="100" w:type="dxa"/>
        </w:tblCellMar>
      </w:tblPr>
      <w:tblGrid>
        <w:gridCol w:w="1395"/>
        <w:gridCol w:w="1347"/>
        <w:gridCol w:w="1396"/>
        <w:gridCol w:w="3194"/>
        <w:gridCol w:w="3003"/>
      </w:tblGrid>
      <w:tr>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b/>
                <w:b/>
                <w:sz w:val="20"/>
                <w:szCs w:val="20"/>
              </w:rPr>
            </w:pPr>
            <w:r>
              <w:rPr>
                <w:b/>
                <w:sz w:val="20"/>
                <w:szCs w:val="20"/>
              </w:rPr>
              <w:t>Gamme</w:t>
            </w:r>
          </w:p>
        </w:tc>
        <w:tc>
          <w:tcPr>
            <w:tcW w:w="1347"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b/>
                <w:b/>
              </w:rPr>
            </w:pPr>
            <w:r>
              <w:rPr>
                <w:b/>
              </w:rPr>
              <w:t>Produit</w:t>
            </w:r>
          </w:p>
        </w:tc>
        <w:tc>
          <w:tcPr>
            <w:tcW w:w="1396"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b/>
                <w:b/>
              </w:rPr>
            </w:pPr>
            <w:r>
              <w:rPr>
                <w:b/>
              </w:rPr>
              <w:t>Formule</w:t>
            </w:r>
          </w:p>
        </w:tc>
        <w:tc>
          <w:tcPr>
            <w:tcW w:w="3194"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b/>
                <w:b/>
              </w:rPr>
            </w:pPr>
            <w:r>
              <w:rPr>
                <w:b/>
              </w:rPr>
              <w:t>Application</w:t>
            </w:r>
          </w:p>
        </w:tc>
        <w:tc>
          <w:tcPr>
            <w:tcW w:w="3003"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b/>
                <w:b/>
              </w:rPr>
            </w:pPr>
            <w:r>
              <w:rPr>
                <w:b/>
              </w:rPr>
              <w:t>Principe</w:t>
            </w:r>
          </w:p>
        </w:tc>
      </w:tr>
      <w:tr>
        <w:trPr>
          <w:trHeight w:val="440"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tc>
        <w:tc>
          <w:tcPr>
            <w:tcW w:w="1396"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25</w:t>
            </w:r>
          </w:p>
        </w:tc>
        <w:tc>
          <w:tcPr>
            <w:tcW w:w="3194"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25% du Reste A Charge dans la limite de 25€ par acte</w:t>
            </w:r>
          </w:p>
        </w:tc>
        <w:tc>
          <w:tcPr>
            <w:tcW w:w="3003" w:type="dxa"/>
            <w:vMerge w:val="restart"/>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Remboursement sur des soins de médecine de ville et médecine douce listés dans les conditions générales après intervention du contrat socle et avec un reste à charge pour l'assuré couvert par le contrat.</w:t>
            </w:r>
          </w:p>
        </w:tc>
      </w:tr>
      <w:tr>
        <w:trPr>
          <w:trHeight w:val="440"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tc>
        <w:tc>
          <w:tcPr>
            <w:tcW w:w="1396"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50</w:t>
            </w:r>
          </w:p>
        </w:tc>
        <w:tc>
          <w:tcPr>
            <w:tcW w:w="3194"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50% du Reste A Charge dans la limite de 50€ par acte</w:t>
            </w:r>
          </w:p>
        </w:tc>
        <w:tc>
          <w:tcPr>
            <w:tcW w:w="3003" w:type="dxa"/>
            <w:vMerge w:val="continue"/>
            <w:tcBorders>
              <w:top w:val="single" w:sz="8" w:space="0" w:color="000000"/>
              <w:start w:val="single" w:sz="8" w:space="0" w:color="000000"/>
              <w:bottom w:val="single" w:sz="8" w:space="0" w:color="000000"/>
              <w:end w:val="single" w:sz="8" w:space="0" w:color="000000"/>
            </w:tcBorders>
          </w:tcPr>
          <w:p>
            <w:pPr>
              <w:pStyle w:val="Normal"/>
              <w:widowControl w:val="false"/>
              <w:rPr/>
            </w:pPr>
            <w:r>
              <w:rPr/>
            </w:r>
          </w:p>
        </w:tc>
      </w:tr>
      <w:tr>
        <w:trPr>
          <w:trHeight w:val="440"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tc>
        <w:tc>
          <w:tcPr>
            <w:tcW w:w="1396"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75</w:t>
            </w:r>
          </w:p>
        </w:tc>
        <w:tc>
          <w:tcPr>
            <w:tcW w:w="3194"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spacing w:lineRule="auto" w:line="240" w:before="0" w:after="0"/>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75% du Reste A Charge dans la limite de 75€ par acte</w:t>
            </w:r>
          </w:p>
        </w:tc>
        <w:tc>
          <w:tcPr>
            <w:tcW w:w="3003" w:type="dxa"/>
            <w:vMerge w:val="continue"/>
            <w:tcBorders>
              <w:top w:val="single" w:sz="8" w:space="0" w:color="000000"/>
              <w:start w:val="single" w:sz="8" w:space="0" w:color="000000"/>
              <w:bottom w:val="single" w:sz="8" w:space="0" w:color="000000"/>
              <w:end w:val="single" w:sz="8" w:space="0" w:color="000000"/>
            </w:tcBorders>
          </w:tcPr>
          <w:p>
            <w:pPr>
              <w:pStyle w:val="Normal"/>
              <w:widowControl w:val="false"/>
              <w:rPr/>
            </w:pPr>
            <w:r>
              <w:rPr/>
            </w:r>
          </w:p>
        </w:tc>
      </w:tr>
    </w:tbl>
    <w:p>
      <w:pPr>
        <w:pStyle w:val="Normal"/>
        <w:ind w:start="-566" w:end="0" w:hanging="0"/>
        <w:jc w:val="both"/>
        <w:rPr>
          <w:b/>
          <w:b/>
        </w:rPr>
      </w:pPr>
      <w:r>
        <w:rPr>
          <w:b/>
        </w:rPr>
      </w:r>
    </w:p>
    <w:p>
      <w:pPr>
        <w:pStyle w:val="Normal"/>
        <w:jc w:val="both"/>
        <w:rPr>
          <w:rFonts w:ascii="Work Sans" w:hAnsi="Work Sans" w:eastAsia="Work Sans" w:cs="Work Sans"/>
          <w:sz w:val="22"/>
          <w:szCs w:val="22"/>
        </w:rPr>
      </w:pPr>
      <w:r>
        <w:rPr>
          <w:rFonts w:eastAsia="Work Sans" w:cs="Work Sans"/>
          <w:sz w:val="22"/>
          <w:szCs w:val="22"/>
        </w:rPr>
      </w:r>
    </w:p>
    <w:p>
      <w:pPr>
        <w:pStyle w:val="Normal"/>
        <w:rPr/>
      </w:pPr>
      <w:r>
        <w:rPr/>
        <w:t>L’annexe illustre la prise en charge des dépenses de santé par le contrat myBooster.</w:t>
      </w:r>
    </w:p>
    <w:p>
      <w:pPr>
        <w:pStyle w:val="Normal"/>
        <w:rPr/>
      </w:pPr>
      <w:r>
        <w:rPr/>
      </w:r>
    </w:p>
    <w:p>
      <w:pPr>
        <w:pStyle w:val="Normal"/>
        <w:rPr/>
      </w:pPr>
      <w:r>
        <w:rPr/>
        <w:t>La participation au remboursement du soin par le contrat myBooster correspond au pourcentage du Reste à Charge selon le niveau de couverture souscrit: 25%, 50% ou 75%.</w:t>
      </w:r>
    </w:p>
    <w:p>
      <w:pPr>
        <w:pStyle w:val="Normal"/>
        <w:jc w:val="both"/>
        <w:rPr>
          <w:rFonts w:ascii="Work Sans" w:hAnsi="Work Sans" w:eastAsia="Work Sans" w:cs="Work Sans"/>
          <w:sz w:val="22"/>
          <w:szCs w:val="22"/>
        </w:rPr>
      </w:pPr>
      <w:r>
        <w:rPr>
          <w:rFonts w:eastAsia="Work Sans" w:cs="Work Sans"/>
          <w:sz w:val="22"/>
          <w:szCs w:val="22"/>
        </w:rPr>
      </w:r>
    </w:p>
    <w:p>
      <w:pPr>
        <w:pStyle w:val="Normal"/>
        <w:rPr>
          <w:b/>
          <w:b/>
        </w:rPr>
      </w:pPr>
      <w:r>
        <w:rPr>
          <w:b/>
        </w:rPr>
        <w:t>Pour chaque acte, la prise en charge est calculée sur la base d’un Reste A Charge maximum par acte de 100€.</w:t>
      </w:r>
    </w:p>
    <w:p>
      <w:pPr>
        <w:pStyle w:val="Normal"/>
        <w:rPr/>
      </w:pPr>
      <w:r>
        <w:rPr/>
      </w:r>
    </w:p>
    <w:p>
      <w:pPr>
        <w:pStyle w:val="Heading3"/>
        <w:numPr>
          <w:ilvl w:val="1"/>
          <w:numId w:val="3"/>
        </w:numPr>
        <w:ind w:start="720" w:end="0" w:hanging="360"/>
        <w:jc w:val="start"/>
        <w:rPr/>
      </w:pPr>
      <w:bookmarkStart w:id="11" w:name="_heading=h.wwrbsmld8m5y"/>
      <w:bookmarkEnd w:id="11"/>
      <w:r>
        <w:rPr/>
        <w:t>Organisation de votre contrat</w:t>
      </w:r>
    </w:p>
    <w:p>
      <w:pPr>
        <w:pStyle w:val="Normal"/>
        <w:rPr/>
      </w:pPr>
      <w:r>
        <w:rPr/>
      </w:r>
    </w:p>
    <w:p>
      <w:pPr>
        <w:pStyle w:val="Normal"/>
        <w:rPr/>
      </w:pPr>
      <w:r>
        <w:rPr/>
        <w:t>Vous souscrivez un contrat :</w:t>
      </w:r>
    </w:p>
    <w:p>
      <w:pPr>
        <w:pStyle w:val="Normal"/>
        <w:rPr/>
      </w:pPr>
      <w:r>
        <w:rPr/>
      </w:r>
    </w:p>
    <w:p>
      <w:pPr>
        <w:pStyle w:val="Normal"/>
        <w:rPr>
          <w:b/>
          <w:b/>
        </w:rPr>
      </w:pPr>
      <w:r>
        <w:rPr>
          <w:b/>
        </w:rPr>
        <w:t>Distribué et partiellement géré par :</w:t>
      </w:r>
    </w:p>
    <w:p>
      <w:pPr>
        <w:pStyle w:val="Normal"/>
        <w:rPr/>
      </w:pPr>
      <w:r>
        <w:rPr/>
        <w:t>Everest HC 33 bis Ave du 12 Avril 1915- 13012 Marseille - inscrit auprès de l’ORIAS sous le N° 21 00 4610</w:t>
      </w:r>
    </w:p>
    <w:p>
      <w:pPr>
        <w:pStyle w:val="Normal"/>
        <w:rPr/>
      </w:pPr>
      <w:r>
        <w:rPr/>
      </w:r>
    </w:p>
    <w:p>
      <w:pPr>
        <w:pStyle w:val="Normal"/>
        <w:rPr>
          <w:b/>
          <w:b/>
        </w:rPr>
      </w:pPr>
      <w:r>
        <w:rPr>
          <w:b/>
        </w:rPr>
        <w:t xml:space="preserve">Assuré par : </w:t>
      </w:r>
    </w:p>
    <w:p>
      <w:pPr>
        <w:pStyle w:val="Normal"/>
        <w:rPr/>
      </w:pPr>
      <w:r>
        <w:rPr/>
        <w:t>MGD Mutuelle régie par le livre II du Code de la Mutualité inscrite au répertoire SIRENE sous le n°429 211 469 Siège: 5 Rue Geoffroy Marie 75009 Paris</w:t>
      </w:r>
    </w:p>
    <w:p>
      <w:pPr>
        <w:pStyle w:val="Normal"/>
        <w:rPr/>
      </w:pPr>
      <w:r>
        <w:rPr/>
      </w:r>
    </w:p>
    <w:p>
      <w:pPr>
        <w:pStyle w:val="Normal"/>
        <w:rPr>
          <w:b/>
          <w:b/>
        </w:rPr>
      </w:pPr>
      <w:r>
        <w:rPr>
          <w:b/>
        </w:rPr>
        <w:t xml:space="preserve">Géré en partie par : </w:t>
      </w:r>
    </w:p>
    <w:p>
      <w:pPr>
        <w:pStyle w:val="Normal"/>
        <w:rPr/>
      </w:pPr>
      <w:r>
        <w:rPr/>
        <w:t>CPMS - Société de Gestion et de Courtage d'assurance - Siège Social - 5, Rue Geoffroy Marie 75009 PARIS - Inscrit auprès de l'ORIAS sous le N° 07 001 007</w:t>
      </w:r>
    </w:p>
    <w:p>
      <w:pPr>
        <w:pStyle w:val="Normal"/>
        <w:rPr/>
      </w:pPr>
      <w:r>
        <w:rPr/>
      </w:r>
    </w:p>
    <w:p>
      <w:pPr>
        <w:pStyle w:val="Normal"/>
        <w:rPr/>
      </w:pPr>
      <w:r>
        <w:rPr/>
      </w:r>
    </w:p>
    <w:p>
      <w:pPr>
        <w:pStyle w:val="Normal"/>
        <w:rPr>
          <w:rFonts w:ascii="Work Sans" w:hAnsi="Work Sans" w:eastAsia="Work Sans" w:cs="Work Sans"/>
        </w:rPr>
      </w:pPr>
      <w:r>
        <w:rPr>
          <w:rFonts w:eastAsia="Work Sans" w:cs="Work Sans"/>
        </w:rPr>
      </w:r>
    </w:p>
    <w:p>
      <w:pPr>
        <w:pStyle w:val="Heading3"/>
        <w:keepNext w:val="true"/>
        <w:keepLines/>
        <w:pageBreakBefore w:val="false"/>
        <w:widowControl/>
        <w:numPr>
          <w:ilvl w:val="1"/>
          <w:numId w:val="3"/>
        </w:numPr>
        <w:spacing w:lineRule="auto" w:line="240" w:before="280" w:after="80"/>
        <w:ind w:start="720" w:end="0" w:hanging="360"/>
        <w:jc w:val="start"/>
        <w:rPr/>
      </w:pPr>
      <w:bookmarkStart w:id="12" w:name="_heading=h.qggi61483glx"/>
      <w:bookmarkEnd w:id="12"/>
      <w:r>
        <w:rPr/>
        <w:t>Contrat et primes</w:t>
      </w:r>
    </w:p>
    <w:p>
      <w:pPr>
        <w:pStyle w:val="Heading4"/>
        <w:ind w:start="0" w:end="0" w:hanging="0"/>
        <w:rPr>
          <w:position w:val="0"/>
          <w:sz w:val="24"/>
          <w:sz w:val="24"/>
          <w:vertAlign w:val="baseline"/>
        </w:rPr>
      </w:pPr>
      <w:bookmarkStart w:id="13" w:name="_heading=h.b1m9up5q0pic"/>
      <w:bookmarkEnd w:id="13"/>
      <w:r>
        <w:rPr>
          <w:position w:val="0"/>
          <w:sz w:val="24"/>
          <w:sz w:val="24"/>
          <w:vertAlign w:val="baseline"/>
        </w:rPr>
        <w:t>Offres à votre disposition</w:t>
      </w:r>
    </w:p>
    <w:p>
      <w:pPr>
        <w:pStyle w:val="Normal"/>
        <w:rPr/>
      </w:pPr>
      <w:r>
        <w:rPr/>
      </w:r>
    </w:p>
    <w:p>
      <w:pPr>
        <w:pStyle w:val="Normal"/>
        <w:rPr/>
      </w:pPr>
      <w:r>
        <w:rPr/>
        <w:t>3 niveaux de couverture sont proposés comme indiqué ci-dessus. :</w:t>
      </w:r>
    </w:p>
    <w:p>
      <w:pPr>
        <w:pStyle w:val="Normal"/>
        <w:rPr/>
      </w:pPr>
      <w:r>
        <w:rPr/>
      </w:r>
    </w:p>
    <w:p>
      <w:pPr>
        <w:pStyle w:val="Normal"/>
        <w:rPr>
          <w:b/>
          <w:b/>
        </w:rPr>
      </w:pPr>
      <w:r>
        <w:rPr>
          <w:b/>
        </w:rPr>
      </w:r>
    </w:p>
    <w:tbl>
      <w:tblPr>
        <w:tblW w:w="10335" w:type="dxa"/>
        <w:jc w:val="start"/>
        <w:tblInd w:w="-477" w:type="dxa"/>
        <w:tblLayout w:type="fixed"/>
        <w:tblCellMar>
          <w:top w:w="100" w:type="dxa"/>
          <w:start w:w="100" w:type="dxa"/>
          <w:bottom w:w="100" w:type="dxa"/>
          <w:end w:w="100" w:type="dxa"/>
        </w:tblCellMar>
      </w:tblPr>
      <w:tblGrid>
        <w:gridCol w:w="1395"/>
        <w:gridCol w:w="1347"/>
        <w:gridCol w:w="1230"/>
        <w:gridCol w:w="3360"/>
        <w:gridCol w:w="3003"/>
      </w:tblGrid>
      <w:tr>
        <w:trPr>
          <w:trHeight w:val="819"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b/>
                <w:b/>
                <w:sz w:val="20"/>
                <w:szCs w:val="20"/>
              </w:rPr>
            </w:pPr>
            <w:r>
              <w:rPr>
                <w:b/>
                <w:sz w:val="20"/>
                <w:szCs w:val="20"/>
              </w:rPr>
              <w:t>Gamme</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b/>
                <w:b/>
              </w:rPr>
            </w:pPr>
            <w:r>
              <w:rPr>
                <w:b/>
              </w:rPr>
              <w:t>Produit</w:t>
            </w:r>
          </w:p>
        </w:tc>
        <w:tc>
          <w:tcPr>
            <w:tcW w:w="123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b/>
                <w:b/>
              </w:rPr>
            </w:pPr>
            <w:r>
              <w:rPr>
                <w:b/>
              </w:rPr>
              <w:t>Formule</w:t>
            </w:r>
          </w:p>
        </w:tc>
        <w:tc>
          <w:tcPr>
            <w:tcW w:w="336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b/>
                <w:b/>
              </w:rPr>
            </w:pPr>
            <w:r>
              <w:rPr>
                <w:b/>
              </w:rPr>
              <w:t>Application</w:t>
            </w:r>
          </w:p>
        </w:tc>
        <w:tc>
          <w:tcPr>
            <w:tcW w:w="3003"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b/>
                <w:b/>
              </w:rPr>
            </w:pPr>
            <w:r>
              <w:rPr>
                <w:b/>
              </w:rPr>
              <w:t>Principe</w:t>
            </w:r>
          </w:p>
        </w:tc>
      </w:tr>
      <w:tr>
        <w:trPr>
          <w:trHeight w:val="819"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p>
            <w:pPr>
              <w:pStyle w:val="Normal"/>
              <w:widowControl w:val="false"/>
              <w:ind w:start="0" w:end="0" w:hanging="0"/>
              <w:jc w:val="start"/>
              <w:rPr>
                <w:sz w:val="14"/>
                <w:szCs w:val="14"/>
              </w:rPr>
            </w:pPr>
            <w:r>
              <w:rPr>
                <w:sz w:val="14"/>
                <w:szCs w:val="14"/>
              </w:rPr>
            </w:r>
          </w:p>
        </w:tc>
        <w:tc>
          <w:tcPr>
            <w:tcW w:w="123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25</w:t>
            </w:r>
          </w:p>
          <w:p>
            <w:pPr>
              <w:pStyle w:val="Normal"/>
              <w:widowControl w:val="false"/>
              <w:ind w:start="0" w:end="0" w:hanging="0"/>
              <w:jc w:val="start"/>
              <w:rPr>
                <w:sz w:val="16"/>
                <w:szCs w:val="16"/>
              </w:rPr>
            </w:pPr>
            <w:r>
              <w:rPr>
                <w:sz w:val="16"/>
                <w:szCs w:val="16"/>
              </w:rPr>
              <w:t>Ref. Contrat 9118 S-25</w:t>
            </w:r>
          </w:p>
        </w:tc>
        <w:tc>
          <w:tcPr>
            <w:tcW w:w="336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25% du Reste A Charge dans la limite de 25€ par acte</w:t>
            </w:r>
          </w:p>
        </w:tc>
        <w:tc>
          <w:tcPr>
            <w:tcW w:w="3003" w:type="dxa"/>
            <w:vMerge w:val="restart"/>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Remboursement sur des soins de médecine de ville et médecine douce listés dans les conditions générales après intervention du contrat socle et avec un reste à charge pour l'assuré couvert par le contrat.</w:t>
            </w:r>
          </w:p>
        </w:tc>
      </w:tr>
      <w:tr>
        <w:trPr>
          <w:trHeight w:val="819"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tc>
        <w:tc>
          <w:tcPr>
            <w:tcW w:w="123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50</w:t>
            </w:r>
          </w:p>
          <w:p>
            <w:pPr>
              <w:pStyle w:val="Normal"/>
              <w:widowControl w:val="false"/>
              <w:ind w:start="0" w:end="0" w:hanging="0"/>
              <w:jc w:val="start"/>
              <w:rPr>
                <w:sz w:val="16"/>
                <w:szCs w:val="16"/>
              </w:rPr>
            </w:pPr>
            <w:r>
              <w:rPr>
                <w:sz w:val="16"/>
                <w:szCs w:val="16"/>
              </w:rPr>
              <w:t>Ref. Contrat 9118 S-50</w:t>
            </w:r>
          </w:p>
        </w:tc>
        <w:tc>
          <w:tcPr>
            <w:tcW w:w="336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50% du Reste A Charge dans la limite de 50€ par acte</w:t>
            </w:r>
          </w:p>
        </w:tc>
        <w:tc>
          <w:tcPr>
            <w:tcW w:w="3003" w:type="dxa"/>
            <w:vMerge w:val="continue"/>
            <w:tcBorders>
              <w:top w:val="single" w:sz="8" w:space="0" w:color="000000"/>
              <w:start w:val="single" w:sz="8" w:space="0" w:color="000000"/>
              <w:bottom w:val="single" w:sz="8" w:space="0" w:color="000000"/>
              <w:end w:val="single" w:sz="8" w:space="0" w:color="000000"/>
            </w:tcBorders>
          </w:tcPr>
          <w:p>
            <w:pPr>
              <w:pStyle w:val="Normal"/>
              <w:widowControl w:val="false"/>
              <w:rPr/>
            </w:pPr>
            <w:r>
              <w:rPr/>
            </w:r>
          </w:p>
        </w:tc>
      </w:tr>
      <w:tr>
        <w:trPr>
          <w:trHeight w:val="819" w:hRule="atLeast"/>
        </w:trPr>
        <w:tc>
          <w:tcPr>
            <w:tcW w:w="1395"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rPr>
                <w:sz w:val="20"/>
                <w:szCs w:val="20"/>
              </w:rPr>
            </w:pPr>
            <w:r>
              <w:rPr>
                <w:sz w:val="20"/>
                <w:szCs w:val="20"/>
              </w:rPr>
              <w:t>myBooster</w:t>
            </w:r>
          </w:p>
        </w:tc>
        <w:tc>
          <w:tcPr>
            <w:tcW w:w="1347"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DocEnVille</w:t>
            </w:r>
          </w:p>
        </w:tc>
        <w:tc>
          <w:tcPr>
            <w:tcW w:w="123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sz w:val="20"/>
                <w:szCs w:val="20"/>
              </w:rPr>
            </w:pPr>
            <w:r>
              <w:rPr>
                <w:sz w:val="20"/>
                <w:szCs w:val="20"/>
              </w:rPr>
              <w:t>75</w:t>
            </w:r>
          </w:p>
          <w:p>
            <w:pPr>
              <w:pStyle w:val="Normal"/>
              <w:widowControl w:val="false"/>
              <w:ind w:start="0" w:end="0" w:hanging="0"/>
              <w:jc w:val="start"/>
              <w:rPr>
                <w:sz w:val="16"/>
                <w:szCs w:val="16"/>
              </w:rPr>
            </w:pPr>
            <w:r>
              <w:rPr>
                <w:sz w:val="16"/>
                <w:szCs w:val="16"/>
              </w:rPr>
              <w:t>Ref. Contrat 9118 S-25</w:t>
            </w:r>
          </w:p>
        </w:tc>
        <w:tc>
          <w:tcPr>
            <w:tcW w:w="3360" w:type="dxa"/>
            <w:tcBorders>
              <w:top w:val="single" w:sz="8" w:space="0" w:color="000000"/>
              <w:start w:val="single" w:sz="8" w:space="0" w:color="000000"/>
              <w:bottom w:val="single" w:sz="8" w:space="0" w:color="000000"/>
              <w:end w:val="single" w:sz="8" w:space="0" w:color="000000"/>
            </w:tcBorders>
          </w:tcPr>
          <w:p>
            <w:pPr>
              <w:pStyle w:val="Normal"/>
              <w:widowControl w:val="false"/>
              <w:ind w:start="0" w:end="0" w:hanging="0"/>
              <w:jc w:val="start"/>
              <w:rPr>
                <w:rFonts w:ascii="Roboto" w:hAnsi="Roboto" w:eastAsia="Roboto" w:cs="Roboto"/>
                <w:sz w:val="20"/>
                <w:szCs w:val="20"/>
                <w:shd w:fill="FFFFFF" w:val="clear"/>
              </w:rPr>
            </w:pPr>
            <w:r>
              <w:rPr>
                <w:rFonts w:eastAsia="Roboto" w:cs="Roboto" w:ascii="Roboto" w:hAnsi="Roboto"/>
                <w:sz w:val="20"/>
                <w:szCs w:val="20"/>
                <w:shd w:fill="FFFFFF" w:val="clear"/>
              </w:rPr>
              <w:t>Couvre 75% du Reste A Charge dans la limite de 75€ par acte</w:t>
            </w:r>
          </w:p>
        </w:tc>
        <w:tc>
          <w:tcPr>
            <w:tcW w:w="3003" w:type="dxa"/>
            <w:vMerge w:val="continue"/>
            <w:tcBorders>
              <w:top w:val="single" w:sz="8" w:space="0" w:color="000000"/>
              <w:start w:val="single" w:sz="8" w:space="0" w:color="000000"/>
              <w:bottom w:val="single" w:sz="8" w:space="0" w:color="000000"/>
              <w:end w:val="single" w:sz="8" w:space="0" w:color="000000"/>
            </w:tcBorders>
          </w:tcPr>
          <w:p>
            <w:pPr>
              <w:pStyle w:val="Normal"/>
              <w:widowControl w:val="false"/>
              <w:rPr/>
            </w:pPr>
            <w:r>
              <w:rPr/>
            </w:r>
          </w:p>
        </w:tc>
      </w:tr>
    </w:tbl>
    <w:p>
      <w:pPr>
        <w:pStyle w:val="Normal"/>
        <w:rPr>
          <w:b/>
          <w:b/>
        </w:rPr>
      </w:pPr>
      <w:r>
        <w:rPr>
          <w:b/>
        </w:rPr>
      </w:r>
    </w:p>
    <w:p>
      <w:pPr>
        <w:pStyle w:val="Normal"/>
        <w:ind w:start="0" w:end="0" w:hanging="0"/>
        <w:rPr>
          <w:b/>
          <w:b/>
        </w:rPr>
      </w:pPr>
      <w:r>
        <w:rPr>
          <w:b/>
        </w:rPr>
      </w:r>
    </w:p>
    <w:p>
      <w:pPr>
        <w:pStyle w:val="Heading4"/>
        <w:ind w:start="0" w:end="0" w:hanging="0"/>
        <w:rPr>
          <w:position w:val="0"/>
          <w:sz w:val="24"/>
          <w:sz w:val="24"/>
          <w:vertAlign w:val="baseline"/>
        </w:rPr>
      </w:pPr>
      <w:bookmarkStart w:id="14" w:name="_heading=h.plj5428rkdyj"/>
      <w:bookmarkEnd w:id="14"/>
      <w:r>
        <w:rPr>
          <w:position w:val="0"/>
          <w:sz w:val="24"/>
          <w:sz w:val="24"/>
          <w:vertAlign w:val="baseline"/>
        </w:rPr>
        <w:t>Offre souscrite</w:t>
      </w:r>
    </w:p>
    <w:p>
      <w:pPr>
        <w:pStyle w:val="Normal"/>
        <w:ind w:start="0" w:end="0" w:hanging="0"/>
        <w:rPr>
          <w:b/>
          <w:b/>
        </w:rPr>
      </w:pPr>
      <w:r>
        <w:rPr>
          <w:b/>
        </w:rPr>
      </w:r>
    </w:p>
    <w:p>
      <w:pPr>
        <w:pStyle w:val="Normal"/>
        <w:rPr/>
      </w:pPr>
      <w:r>
        <w:rPr/>
        <w:t>A la suite de questions posées dans le cadre de votre parcours utilisateur sur l’application mySofie visant à confirmer l’adéquation de l’offre du contrat myBooster avec vos besoins réels, vous avez opté pour l’offre :</w:t>
      </w:r>
    </w:p>
    <w:p>
      <w:pPr>
        <w:pStyle w:val="Normal"/>
        <w:jc w:val="both"/>
        <w:rPr>
          <w:rFonts w:ascii="Work Sans" w:hAnsi="Work Sans" w:eastAsia="Work Sans" w:cs="Work Sans"/>
          <w:sz w:val="22"/>
          <w:szCs w:val="22"/>
        </w:rPr>
      </w:pPr>
      <w:r>
        <w:rPr>
          <w:rFonts w:eastAsia="Work Sans" w:cs="Work Sans"/>
          <w:sz w:val="22"/>
          <w:szCs w:val="22"/>
        </w:rPr>
      </w:r>
    </w:p>
    <w:p>
      <w:pPr>
        <w:pStyle w:val="Normal"/>
        <w:ind w:start="-566" w:end="0" w:firstLine="720"/>
        <w:jc w:val="both"/>
        <w:rPr/>
      </w:pPr>
      <w:r>
        <w:rPr>
          <w:rFonts w:eastAsia="Work Sans" w:cs="Work Sans"/>
          <w:b/>
          <w:sz w:val="22"/>
          <w:szCs w:val="22"/>
        </w:rPr>
        <w:t xml:space="preserve"> </w:t>
      </w:r>
      <w:r>
        <w:rPr>
          <w:rFonts w:eastAsia="Work Sans" w:cs="Work Sans"/>
          <w:b/>
          <w:color w:val="auto"/>
          <w:kern w:val="0"/>
          <w:sz w:val="22"/>
          <w:szCs w:val="22"/>
          <w:lang w:val="fr-FR" w:eastAsia="zh-CN" w:bidi="hi-IN"/>
        </w:rPr>
        <w:t>{{productNameWithContract}}</w:t>
      </w:r>
    </w:p>
    <w:p>
      <w:pPr>
        <w:pStyle w:val="Normal"/>
        <w:jc w:val="both"/>
        <w:rPr>
          <w:rFonts w:ascii="Work Sans" w:hAnsi="Work Sans" w:eastAsia="Work Sans" w:cs="Work Sans"/>
          <w:sz w:val="22"/>
          <w:szCs w:val="22"/>
        </w:rPr>
      </w:pPr>
      <w:r>
        <w:rPr>
          <w:rFonts w:eastAsia="Work Sans" w:cs="Work Sans"/>
          <w:sz w:val="22"/>
          <w:szCs w:val="22"/>
        </w:rPr>
      </w:r>
    </w:p>
    <w:p>
      <w:pPr>
        <w:pStyle w:val="Heading4"/>
        <w:ind w:start="0" w:end="0" w:hanging="0"/>
        <w:rPr>
          <w:position w:val="0"/>
          <w:sz w:val="24"/>
          <w:sz w:val="24"/>
          <w:vertAlign w:val="baseline"/>
        </w:rPr>
      </w:pPr>
      <w:bookmarkStart w:id="15" w:name="_heading=h.e2606u4r4ho8"/>
      <w:bookmarkEnd w:id="15"/>
      <w:r>
        <w:rPr>
          <w:position w:val="0"/>
          <w:sz w:val="24"/>
          <w:sz w:val="24"/>
          <w:vertAlign w:val="baseline"/>
        </w:rPr>
        <w:t>Montant de la prime</w:t>
      </w:r>
    </w:p>
    <w:p>
      <w:pPr>
        <w:pStyle w:val="Normal"/>
        <w:ind w:start="0" w:end="0" w:hanging="0"/>
        <w:rPr>
          <w:b/>
          <w:b/>
        </w:rPr>
      </w:pPr>
      <w:r>
        <w:rPr>
          <w:b/>
        </w:rPr>
      </w:r>
    </w:p>
    <w:p>
      <w:pPr>
        <w:pStyle w:val="Normal"/>
        <w:rPr/>
      </w:pPr>
      <w:r>
        <w:rPr/>
        <w:t xml:space="preserve">A ce titre, vous vous engagez à payer la somme de </w:t>
      </w:r>
      <w:r>
        <w:rPr>
          <w:rFonts w:eastAsia="Work Sans" w:cs="Work Sans"/>
          <w:color w:val="auto"/>
          <w:kern w:val="0"/>
          <w:sz w:val="24"/>
          <w:szCs w:val="24"/>
          <w:lang w:val="fr-FR" w:eastAsia="zh-CN" w:bidi="hi-IN"/>
        </w:rPr>
        <w:t xml:space="preserve">{{totalPrice}} </w:t>
      </w:r>
      <w:r>
        <w:rPr/>
        <w:t>euros, correspondant à la jouissance des garanties souscrites pour vous et vos bénéficiaires déclarés, par an.</w:t>
      </w:r>
    </w:p>
    <w:p>
      <w:pPr>
        <w:pStyle w:val="Normal"/>
        <w:rPr/>
      </w:pPr>
      <w:r>
        <w:rPr/>
      </w:r>
    </w:p>
    <w:p>
      <w:pPr>
        <w:pStyle w:val="Normal"/>
        <w:rPr/>
      </w:pPr>
      <w:r>
        <w:rPr/>
        <w:t>Ces sommes se composent comme suit :</w:t>
      </w:r>
    </w:p>
    <w:p>
      <w:pPr>
        <w:pStyle w:val="Normal"/>
        <w:rPr/>
      </w:pPr>
      <w:r>
        <w:rPr/>
      </w:r>
    </w:p>
    <w:p>
      <w:pPr>
        <w:pStyle w:val="Normal"/>
        <w:numPr>
          <w:ilvl w:val="0"/>
          <w:numId w:val="1"/>
        </w:numPr>
        <w:ind w:start="720" w:end="0" w:hanging="360"/>
        <w:rPr>
          <w:position w:val="0"/>
          <w:sz w:val="24"/>
          <w:sz w:val="24"/>
          <w:vertAlign w:val="baseline"/>
        </w:rPr>
      </w:pPr>
      <w:r>
        <w:rPr>
          <w:position w:val="0"/>
          <w:sz w:val="24"/>
          <w:sz w:val="24"/>
          <w:vertAlign w:val="baseline"/>
        </w:rPr>
        <w:t>Prime d’assurance annuelle :</w:t>
      </w:r>
    </w:p>
    <w:p>
      <w:pPr>
        <w:pStyle w:val="Normal"/>
        <w:numPr>
          <w:ilvl w:val="1"/>
          <w:numId w:val="2"/>
        </w:numPr>
        <w:ind w:start="1440" w:end="0" w:hanging="360"/>
        <w:rPr/>
      </w:pPr>
      <w:r>
        <w:rPr>
          <w:position w:val="0"/>
          <w:sz w:val="24"/>
          <w:sz w:val="24"/>
          <w:vertAlign w:val="baseline"/>
        </w:rPr>
        <w:t>Adhérent : {{</w:t>
      </w:r>
      <w:r>
        <w:rPr>
          <w:rFonts w:eastAsia="Work Sans" w:cs="Work Sans"/>
          <w:color w:val="auto"/>
          <w:kern w:val="0"/>
          <w:position w:val="0"/>
          <w:sz w:val="24"/>
          <w:sz w:val="24"/>
          <w:szCs w:val="24"/>
          <w:vertAlign w:val="baseline"/>
          <w:lang w:val="fr-FR" w:eastAsia="zh-CN" w:bidi="hi-IN"/>
        </w:rPr>
        <w:t>annualUnitPrice</w:t>
      </w:r>
      <w:r>
        <w:rPr>
          <w:position w:val="0"/>
          <w:sz w:val="24"/>
          <w:sz w:val="24"/>
          <w:vertAlign w:val="baseline"/>
        </w:rPr>
        <w:t>}} €</w:t>
      </w:r>
    </w:p>
    <w:p>
      <w:pPr>
        <w:pStyle w:val="Normal"/>
        <w:numPr>
          <w:ilvl w:val="1"/>
          <w:numId w:val="2"/>
        </w:numPr>
        <w:ind w:start="1440" w:end="0" w:hanging="360"/>
        <w:rPr/>
      </w:pPr>
      <w:r>
        <w:rPr>
          <w:position w:val="0"/>
          <w:sz w:val="24"/>
          <w:sz w:val="24"/>
          <w:vertAlign w:val="baseline"/>
        </w:rPr>
        <w:t>Bénéficiaire 1 : {</w:t>
      </w:r>
      <w:r>
        <w:rPr>
          <w:position w:val="0"/>
          <w:sz w:val="24"/>
          <w:sz w:val="24"/>
          <w:vertAlign w:val="baseline"/>
        </w:rPr>
        <w:t>{b0_annualUnitPrice}} €</w:t>
      </w:r>
    </w:p>
    <w:p>
      <w:pPr>
        <w:pStyle w:val="Normal"/>
        <w:numPr>
          <w:ilvl w:val="1"/>
          <w:numId w:val="2"/>
        </w:numPr>
        <w:ind w:start="1440" w:end="0" w:hanging="360"/>
        <w:rPr/>
      </w:pPr>
      <w:r>
        <w:rPr>
          <w:position w:val="0"/>
          <w:sz w:val="24"/>
          <w:sz w:val="24"/>
          <w:vertAlign w:val="baseline"/>
        </w:rPr>
        <w:t xml:space="preserve">Bénéficiaire 2 : </w:t>
      </w:r>
      <w:r>
        <w:rPr>
          <w:rFonts w:eastAsia="Work Sans" w:cs="Work Sans"/>
          <w:color w:val="auto"/>
          <w:kern w:val="0"/>
          <w:position w:val="0"/>
          <w:sz w:val="24"/>
          <w:sz w:val="24"/>
          <w:szCs w:val="24"/>
          <w:vertAlign w:val="baseline"/>
          <w:lang w:val="fr-FR" w:eastAsia="zh-CN" w:bidi="hi-IN"/>
        </w:rPr>
        <w:t>{{b1_annualUnitPrice}} €</w:t>
      </w:r>
    </w:p>
    <w:p>
      <w:pPr>
        <w:pStyle w:val="Normal"/>
        <w:numPr>
          <w:ilvl w:val="1"/>
          <w:numId w:val="2"/>
        </w:numPr>
        <w:ind w:start="1440" w:end="0" w:hanging="360"/>
        <w:rPr/>
      </w:pPr>
      <w:r>
        <w:rPr>
          <w:position w:val="0"/>
          <w:sz w:val="24"/>
          <w:sz w:val="24"/>
          <w:vertAlign w:val="baseline"/>
        </w:rPr>
        <w:t xml:space="preserve">Bénéficiaire </w:t>
      </w:r>
      <w:r>
        <w:rPr>
          <w:position w:val="0"/>
          <w:sz w:val="24"/>
          <w:sz w:val="24"/>
          <w:vertAlign w:val="baseline"/>
        </w:rPr>
        <w:t>3</w:t>
      </w:r>
      <w:r>
        <w:rPr>
          <w:position w:val="0"/>
          <w:sz w:val="24"/>
          <w:sz w:val="24"/>
          <w:vertAlign w:val="baseline"/>
        </w:rPr>
        <w:t xml:space="preserve"> : </w:t>
      </w:r>
      <w:r>
        <w:rPr>
          <w:rFonts w:eastAsia="Work Sans" w:cs="Work Sans"/>
          <w:color w:val="auto"/>
          <w:kern w:val="0"/>
          <w:position w:val="0"/>
          <w:sz w:val="24"/>
          <w:sz w:val="24"/>
          <w:szCs w:val="24"/>
          <w:vertAlign w:val="baseline"/>
          <w:lang w:val="fr-FR" w:eastAsia="zh-CN" w:bidi="hi-IN"/>
        </w:rPr>
        <w:t>{{b2_annualUnitPrice}} €</w:t>
      </w:r>
    </w:p>
    <w:p>
      <w:pPr>
        <w:pStyle w:val="Normal"/>
        <w:numPr>
          <w:ilvl w:val="1"/>
          <w:numId w:val="2"/>
        </w:numPr>
        <w:ind w:start="1440" w:end="0" w:hanging="360"/>
        <w:rPr/>
      </w:pPr>
      <w:r>
        <w:rPr>
          <w:position w:val="0"/>
          <w:sz w:val="24"/>
          <w:sz w:val="24"/>
          <w:vertAlign w:val="baseline"/>
        </w:rPr>
        <w:t xml:space="preserve">Bénéficiaire </w:t>
      </w:r>
      <w:r>
        <w:rPr>
          <w:position w:val="0"/>
          <w:sz w:val="24"/>
          <w:sz w:val="24"/>
          <w:vertAlign w:val="baseline"/>
        </w:rPr>
        <w:t>4</w:t>
      </w:r>
      <w:r>
        <w:rPr>
          <w:position w:val="0"/>
          <w:sz w:val="24"/>
          <w:sz w:val="24"/>
          <w:vertAlign w:val="baseline"/>
        </w:rPr>
        <w:t xml:space="preserve"> : </w:t>
      </w:r>
      <w:r>
        <w:rPr>
          <w:rFonts w:eastAsia="Work Sans" w:cs="Work Sans"/>
          <w:color w:val="auto"/>
          <w:kern w:val="0"/>
          <w:position w:val="0"/>
          <w:sz w:val="24"/>
          <w:sz w:val="24"/>
          <w:szCs w:val="24"/>
          <w:vertAlign w:val="baseline"/>
          <w:lang w:val="fr-FR" w:eastAsia="zh-CN" w:bidi="hi-IN"/>
        </w:rPr>
        <w:t>{{b3_annualUnitPrice}} €</w:t>
      </w:r>
    </w:p>
    <w:p>
      <w:pPr>
        <w:pStyle w:val="Normal"/>
        <w:numPr>
          <w:ilvl w:val="1"/>
          <w:numId w:val="2"/>
        </w:numPr>
        <w:ind w:start="1440" w:end="0" w:hanging="360"/>
        <w:rPr/>
      </w:pPr>
      <w:r>
        <w:rPr>
          <w:position w:val="0"/>
          <w:sz w:val="24"/>
          <w:sz w:val="24"/>
          <w:vertAlign w:val="baseline"/>
        </w:rPr>
        <w:t xml:space="preserve">Bénéficiaire </w:t>
      </w:r>
      <w:r>
        <w:rPr>
          <w:position w:val="0"/>
          <w:sz w:val="24"/>
          <w:sz w:val="24"/>
          <w:vertAlign w:val="baseline"/>
        </w:rPr>
        <w:t>5</w:t>
      </w:r>
      <w:r>
        <w:rPr>
          <w:position w:val="0"/>
          <w:sz w:val="24"/>
          <w:sz w:val="24"/>
          <w:vertAlign w:val="baseline"/>
        </w:rPr>
        <w:t xml:space="preserve"> : </w:t>
      </w:r>
      <w:r>
        <w:rPr>
          <w:rFonts w:eastAsia="Work Sans" w:cs="Work Sans"/>
          <w:color w:val="auto"/>
          <w:kern w:val="0"/>
          <w:position w:val="0"/>
          <w:sz w:val="24"/>
          <w:sz w:val="24"/>
          <w:szCs w:val="24"/>
          <w:vertAlign w:val="baseline"/>
          <w:lang w:val="fr-FR" w:eastAsia="zh-CN" w:bidi="hi-IN"/>
        </w:rPr>
        <w:t>{{b4_annualUnitPrice}} €</w:t>
      </w:r>
    </w:p>
    <w:p>
      <w:pPr>
        <w:pStyle w:val="Normal"/>
        <w:ind w:start="720" w:end="0" w:hanging="0"/>
        <w:rPr/>
      </w:pPr>
      <w:r>
        <w:rPr/>
      </w:r>
    </w:p>
    <w:p>
      <w:pPr>
        <w:pStyle w:val="Normal"/>
        <w:numPr>
          <w:ilvl w:val="0"/>
          <w:numId w:val="2"/>
        </w:numPr>
        <w:ind w:start="720" w:end="0" w:hanging="360"/>
        <w:rPr/>
      </w:pPr>
      <w:r>
        <w:rPr>
          <w:position w:val="0"/>
          <w:sz w:val="24"/>
          <w:sz w:val="24"/>
          <w:vertAlign w:val="baseline"/>
        </w:rPr>
        <w:t xml:space="preserve">Taxes : </w:t>
      </w:r>
      <w:r>
        <w:rPr>
          <w:position w:val="0"/>
          <w:sz w:val="24"/>
          <w:sz w:val="24"/>
          <w:vertAlign w:val="baseline"/>
        </w:rPr>
        <w:t xml:space="preserve">{{unitTax}} </w:t>
      </w:r>
      <w:r>
        <w:rPr/>
        <w:t>€/bénéficiaire</w:t>
      </w:r>
    </w:p>
    <w:p>
      <w:pPr>
        <w:pStyle w:val="Normal"/>
        <w:ind w:start="720" w:end="0" w:hanging="0"/>
        <w:rPr/>
      </w:pPr>
      <w:r>
        <w:rPr/>
      </w:r>
    </w:p>
    <w:p>
      <w:pPr>
        <w:pStyle w:val="Heading4"/>
        <w:ind w:start="0" w:end="0" w:hanging="0"/>
        <w:rPr>
          <w:position w:val="0"/>
          <w:sz w:val="24"/>
          <w:sz w:val="24"/>
          <w:vertAlign w:val="baseline"/>
        </w:rPr>
      </w:pPr>
      <w:bookmarkStart w:id="16" w:name="_heading=h.q0lm2utpe5v5"/>
      <w:bookmarkEnd w:id="16"/>
      <w:r>
        <w:rPr>
          <w:position w:val="0"/>
          <w:sz w:val="24"/>
          <w:sz w:val="24"/>
          <w:vertAlign w:val="baseline"/>
        </w:rPr>
        <w:t>Modalité de paiement de la prime</w:t>
      </w:r>
    </w:p>
    <w:p>
      <w:pPr>
        <w:pStyle w:val="Normal"/>
        <w:rPr/>
      </w:pPr>
      <w:r>
        <w:rPr/>
      </w:r>
    </w:p>
    <w:p>
      <w:pPr>
        <w:pStyle w:val="Normal"/>
        <w:rPr/>
      </w:pPr>
      <w:r>
        <w:rPr/>
        <w:t>Les sommes sont prélevées directement par prélèvement automatique mensuel sur le compte  {{iban}}</w:t>
      </w:r>
    </w:p>
    <w:p>
      <w:pPr>
        <w:pStyle w:val="Normal"/>
        <w:rPr/>
      </w:pPr>
      <w:r>
        <w:rPr/>
      </w:r>
    </w:p>
    <w:p>
      <w:pPr>
        <w:pStyle w:val="Heading3"/>
        <w:keepNext w:val="true"/>
        <w:keepLines/>
        <w:pageBreakBefore w:val="false"/>
        <w:widowControl/>
        <w:numPr>
          <w:ilvl w:val="1"/>
          <w:numId w:val="3"/>
        </w:numPr>
        <w:spacing w:lineRule="auto" w:line="240" w:before="280" w:after="80"/>
        <w:ind w:start="720" w:end="0" w:hanging="360"/>
        <w:jc w:val="start"/>
        <w:rPr/>
      </w:pPr>
      <w:bookmarkStart w:id="17" w:name="_heading=h.7j6lj8gli37a"/>
      <w:bookmarkEnd w:id="17"/>
      <w:r>
        <w:rPr/>
        <w:t>Date d’effet</w:t>
      </w:r>
    </w:p>
    <w:p>
      <w:pPr>
        <w:pStyle w:val="Normal"/>
        <w:rPr>
          <w:rFonts w:ascii="Work Sans" w:hAnsi="Work Sans" w:eastAsia="Work Sans" w:cs="Work Sans"/>
        </w:rPr>
      </w:pPr>
      <w:r>
        <w:rPr>
          <w:rFonts w:eastAsia="Work Sans" w:cs="Work Sans"/>
        </w:rPr>
      </w:r>
    </w:p>
    <w:p>
      <w:pPr>
        <w:pStyle w:val="Normal"/>
        <w:numPr>
          <w:ilvl w:val="0"/>
          <w:numId w:val="2"/>
        </w:numPr>
        <w:spacing w:lineRule="auto" w:line="240" w:before="240" w:after="240"/>
        <w:ind w:start="720" w:end="0" w:hanging="360"/>
        <w:rPr/>
      </w:pPr>
      <w:r>
        <w:rPr/>
        <w:t xml:space="preserve">Conformément à l’article 4 des conditions générales, votre contrat prend effet le </w:t>
      </w:r>
      <w:r>
        <w:rPr>
          <w:rFonts w:eastAsia="Work Sans" w:cs="Work Sans"/>
          <w:b/>
          <w:color w:val="auto"/>
          <w:kern w:val="0"/>
          <w:sz w:val="24"/>
          <w:szCs w:val="24"/>
          <w:lang w:val="fr-FR" w:eastAsia="zh-CN" w:bidi="hi-IN"/>
        </w:rPr>
        <w:t>{{effectDate}}</w:t>
      </w:r>
      <w:r>
        <w:rPr/>
        <w:t>, date indiquée lors de la signature électronique de votre contrat.</w:t>
      </w:r>
    </w:p>
    <w:p>
      <w:pPr>
        <w:pStyle w:val="Normal"/>
        <w:numPr>
          <w:ilvl w:val="0"/>
          <w:numId w:val="2"/>
        </w:numPr>
        <w:spacing w:lineRule="auto" w:line="240" w:before="240" w:after="240"/>
        <w:ind w:start="720" w:end="0" w:hanging="360"/>
        <w:rPr/>
      </w:pPr>
      <w:r>
        <w:rPr/>
        <w:t>Vous disposez d’un délai de 14 jours à compter de la signature électronique pour renoncer à vos garanties, sans autre motif.</w:t>
      </w:r>
    </w:p>
    <w:p>
      <w:pPr>
        <w:pStyle w:val="Normal"/>
        <w:numPr>
          <w:ilvl w:val="0"/>
          <w:numId w:val="2"/>
        </w:numPr>
        <w:spacing w:lineRule="auto" w:line="240" w:before="240" w:after="240"/>
        <w:ind w:start="720" w:end="0" w:hanging="360"/>
        <w:rPr/>
      </w:pPr>
      <w:r>
        <w:rPr/>
        <w:t xml:space="preserve">Cette faculté devient caduque en cas de bénéfice des garanties dans le délai des 14 jours suivant la signature électronique.  </w:t>
      </w:r>
    </w:p>
    <w:p>
      <w:pPr>
        <w:pStyle w:val="Normal"/>
        <w:rPr/>
      </w:pPr>
      <w:r>
        <w:rPr/>
      </w:r>
    </w:p>
    <w:p>
      <w:pPr>
        <w:pStyle w:val="Normal"/>
        <w:rPr/>
      </w:pPr>
      <w:r>
        <w:rPr/>
        <w:t>Le contrat prend effet pour tous les bénéficiaires en même temps.</w:t>
      </w:r>
      <w:bookmarkStart w:id="18" w:name="_heading=h.yniqtoheo8vj"/>
      <w:bookmarkEnd w:id="18"/>
      <w:r>
        <w:br w:type="page"/>
      </w:r>
    </w:p>
    <w:p>
      <w:pPr>
        <w:pStyle w:val="Heading2"/>
        <w:ind w:start="-566" w:end="0" w:hanging="0"/>
        <w:rPr/>
      </w:pPr>
      <w:bookmarkStart w:id="19" w:name="_heading=h.rjikz3c0bvw"/>
      <w:bookmarkEnd w:id="19"/>
      <w:r>
        <w:rPr/>
        <w:t>3. Annexe</w:t>
      </w:r>
    </w:p>
    <w:p>
      <w:pPr>
        <w:pStyle w:val="Heading3"/>
        <w:spacing w:lineRule="auto" w:line="276"/>
        <w:rPr/>
      </w:pPr>
      <w:bookmarkStart w:id="20" w:name="_heading=h.crjqxzsquhqy"/>
      <w:bookmarkEnd w:id="20"/>
      <w:r>
        <w:rPr/>
        <w:t xml:space="preserve">Exemples d’application des garanties </w:t>
      </w:r>
    </w:p>
    <w:p>
      <w:pPr>
        <w:pStyle w:val="Normal"/>
        <w:spacing w:lineRule="auto" w:line="276"/>
        <w:ind w:start="-708" w:end="142" w:hanging="0"/>
        <w:jc w:val="start"/>
        <w:rPr>
          <w:sz w:val="22"/>
          <w:szCs w:val="22"/>
        </w:rPr>
      </w:pPr>
      <w:r>
        <w:rPr>
          <w:sz w:val="22"/>
          <w:szCs w:val="22"/>
        </w:rPr>
      </w:r>
    </w:p>
    <w:tbl>
      <w:tblPr>
        <w:tblW w:w="11085" w:type="dxa"/>
        <w:jc w:val="start"/>
        <w:tblInd w:w="-855" w:type="dxa"/>
        <w:tblLayout w:type="fixed"/>
        <w:tblCellMar>
          <w:top w:w="40" w:type="dxa"/>
          <w:start w:w="40" w:type="dxa"/>
          <w:bottom w:w="40" w:type="dxa"/>
          <w:end w:w="40" w:type="dxa"/>
        </w:tblCellMar>
      </w:tblPr>
      <w:tblGrid>
        <w:gridCol w:w="1169"/>
        <w:gridCol w:w="1065"/>
        <w:gridCol w:w="1185"/>
        <w:gridCol w:w="1098"/>
        <w:gridCol w:w="1320"/>
        <w:gridCol w:w="1860"/>
        <w:gridCol w:w="1575"/>
        <w:gridCol w:w="1811"/>
      </w:tblGrid>
      <w:tr>
        <w:trPr>
          <w:trHeight w:val="1725" w:hRule="atLeast"/>
        </w:trPr>
        <w:tc>
          <w:tcPr>
            <w:tcW w:w="1169"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0" w:end="142" w:hanging="0"/>
              <w:jc w:val="start"/>
              <w:rPr>
                <w:b/>
                <w:b/>
                <w:sz w:val="14"/>
                <w:szCs w:val="14"/>
              </w:rPr>
            </w:pPr>
            <w:r>
              <w:rPr>
                <w:b/>
                <w:sz w:val="14"/>
                <w:szCs w:val="14"/>
              </w:rPr>
              <w:t>Type de soin</w:t>
            </w:r>
          </w:p>
        </w:tc>
        <w:tc>
          <w:tcPr>
            <w:tcW w:w="1065"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b/>
                <w:b/>
                <w:sz w:val="14"/>
                <w:szCs w:val="14"/>
              </w:rPr>
            </w:pPr>
            <w:r>
              <w:rPr>
                <w:b/>
                <w:sz w:val="14"/>
                <w:szCs w:val="14"/>
              </w:rPr>
              <w:t>Coût du soin</w:t>
            </w:r>
          </w:p>
        </w:tc>
        <w:tc>
          <w:tcPr>
            <w:tcW w:w="1185"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b/>
                <w:b/>
                <w:sz w:val="14"/>
                <w:szCs w:val="14"/>
              </w:rPr>
            </w:pPr>
            <w:r>
              <w:rPr>
                <w:b/>
                <w:sz w:val="14"/>
                <w:szCs w:val="14"/>
              </w:rPr>
              <w:t>Remboursement de la sécurité sociale</w:t>
            </w:r>
          </w:p>
        </w:tc>
        <w:tc>
          <w:tcPr>
            <w:tcW w:w="1098"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pPr>
            <w:r>
              <w:rPr>
                <w:b/>
                <w:sz w:val="14"/>
                <w:szCs w:val="14"/>
              </w:rPr>
              <w:t>Remboursement de votre “contrat socle”</w:t>
            </w:r>
          </w:p>
        </w:tc>
        <w:tc>
          <w:tcPr>
            <w:tcW w:w="1320"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60" w:end="142" w:hanging="0"/>
              <w:jc w:val="start"/>
              <w:rPr>
                <w:b/>
                <w:b/>
                <w:sz w:val="14"/>
                <w:szCs w:val="14"/>
              </w:rPr>
            </w:pPr>
            <w:r>
              <w:rPr>
                <w:b/>
                <w:sz w:val="14"/>
                <w:szCs w:val="14"/>
              </w:rPr>
              <w:t>Reste à votre charge sans surcomplémentaire</w:t>
            </w:r>
          </w:p>
        </w:tc>
        <w:tc>
          <w:tcPr>
            <w:tcW w:w="1860"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b/>
                <w:b/>
                <w:sz w:val="14"/>
                <w:szCs w:val="14"/>
              </w:rPr>
            </w:pPr>
            <w:r>
              <w:rPr>
                <w:b/>
                <w:sz w:val="14"/>
                <w:szCs w:val="14"/>
              </w:rPr>
              <w:t>Formule myBooster</w:t>
            </w:r>
          </w:p>
        </w:tc>
        <w:tc>
          <w:tcPr>
            <w:tcW w:w="1575"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b/>
                <w:b/>
                <w:sz w:val="14"/>
                <w:szCs w:val="14"/>
              </w:rPr>
            </w:pPr>
            <w:r>
              <w:rPr>
                <w:b/>
                <w:sz w:val="14"/>
                <w:szCs w:val="14"/>
              </w:rPr>
              <w:t>Remboursement</w:t>
            </w:r>
          </w:p>
          <w:p>
            <w:pPr>
              <w:pStyle w:val="Normal"/>
              <w:widowControl w:val="false"/>
              <w:spacing w:lineRule="auto" w:line="276"/>
              <w:ind w:start="141" w:end="142" w:hanging="0"/>
              <w:jc w:val="start"/>
              <w:rPr>
                <w:b/>
                <w:b/>
                <w:sz w:val="14"/>
                <w:szCs w:val="14"/>
              </w:rPr>
            </w:pPr>
            <w:r>
              <w:rPr>
                <w:b/>
                <w:sz w:val="14"/>
                <w:szCs w:val="14"/>
              </w:rPr>
              <w:t>de  myBooster</w:t>
            </w:r>
          </w:p>
        </w:tc>
        <w:tc>
          <w:tcPr>
            <w:tcW w:w="1811" w:type="dxa"/>
            <w:tcBorders>
              <w:top w:val="single" w:sz="8" w:space="0" w:color="000000"/>
              <w:start w:val="single" w:sz="8" w:space="0" w:color="000000"/>
              <w:bottom w:val="single" w:sz="8" w:space="0" w:color="000000"/>
              <w:end w:val="single" w:sz="8" w:space="0" w:color="000000"/>
            </w:tcBorders>
            <w:shd w:fill="D1D2D3" w:val="clear"/>
            <w:vAlign w:val="center"/>
          </w:tcPr>
          <w:p>
            <w:pPr>
              <w:pStyle w:val="Normal"/>
              <w:widowControl w:val="false"/>
              <w:spacing w:lineRule="auto" w:line="276"/>
              <w:ind w:start="141" w:end="142" w:hanging="0"/>
              <w:jc w:val="start"/>
              <w:rPr>
                <w:b/>
                <w:b/>
                <w:sz w:val="14"/>
                <w:szCs w:val="14"/>
              </w:rPr>
            </w:pPr>
            <w:r>
              <w:rPr>
                <w:b/>
                <w:sz w:val="14"/>
                <w:szCs w:val="14"/>
              </w:rPr>
              <w:t>Reste à votre charge après complément myBooster</w:t>
            </w:r>
          </w:p>
        </w:tc>
      </w:tr>
      <w:tr>
        <w:trPr>
          <w:trHeight w:val="315" w:hRule="atLeast"/>
        </w:trPr>
        <w:tc>
          <w:tcPr>
            <w:tcW w:w="1169"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0" w:end="142" w:hanging="0"/>
              <w:jc w:val="start"/>
              <w:rPr>
                <w:sz w:val="16"/>
                <w:szCs w:val="16"/>
              </w:rPr>
            </w:pPr>
            <w:r>
              <w:rPr>
                <w:sz w:val="16"/>
                <w:szCs w:val="16"/>
              </w:rPr>
              <w:t>Visite chez un Spécialiste</w:t>
            </w:r>
          </w:p>
        </w:tc>
        <w:tc>
          <w:tcPr>
            <w:tcW w:w="106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50,00 €</w:t>
            </w:r>
          </w:p>
        </w:tc>
        <w:tc>
          <w:tcPr>
            <w:tcW w:w="118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20,70 €</w:t>
            </w:r>
          </w:p>
        </w:tc>
        <w:tc>
          <w:tcPr>
            <w:tcW w:w="1098"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25,30 €</w:t>
            </w:r>
          </w:p>
        </w:tc>
        <w:tc>
          <w:tcPr>
            <w:tcW w:w="1320"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60" w:end="142" w:firstLine="81"/>
              <w:jc w:val="start"/>
              <w:rPr>
                <w:b/>
                <w:b/>
                <w:sz w:val="16"/>
                <w:szCs w:val="16"/>
              </w:rPr>
            </w:pPr>
            <w:r>
              <w:rPr>
                <w:b/>
                <w:sz w:val="16"/>
                <w:szCs w:val="16"/>
              </w:rPr>
              <w:t>4,00 €</w:t>
            </w:r>
          </w:p>
        </w:tc>
        <w:tc>
          <w:tcPr>
            <w:tcW w:w="1860"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DocEnVille 25</w:t>
            </w:r>
          </w:p>
        </w:tc>
        <w:tc>
          <w:tcPr>
            <w:tcW w:w="1575"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sz w:val="16"/>
                <w:szCs w:val="16"/>
              </w:rPr>
            </w:pPr>
            <w:r>
              <w:rPr>
                <w:sz w:val="16"/>
                <w:szCs w:val="16"/>
              </w:rPr>
              <w:t>1,00 €</w:t>
            </w:r>
          </w:p>
        </w:tc>
        <w:tc>
          <w:tcPr>
            <w:tcW w:w="1811"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3,00 €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DocEnVille 50</w:t>
            </w:r>
          </w:p>
        </w:tc>
        <w:tc>
          <w:tcPr>
            <w:tcW w:w="1575"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sz w:val="16"/>
                <w:szCs w:val="16"/>
              </w:rPr>
            </w:pPr>
            <w:r>
              <w:rPr>
                <w:sz w:val="16"/>
                <w:szCs w:val="16"/>
              </w:rPr>
              <w:t>2,00 €</w:t>
            </w:r>
          </w:p>
        </w:tc>
        <w:tc>
          <w:tcPr>
            <w:tcW w:w="1811"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2,00 €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DocEnVille 75</w:t>
            </w:r>
          </w:p>
        </w:tc>
        <w:tc>
          <w:tcPr>
            <w:tcW w:w="1575"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sz w:val="16"/>
                <w:szCs w:val="16"/>
              </w:rPr>
            </w:pPr>
            <w:r>
              <w:rPr>
                <w:sz w:val="16"/>
                <w:szCs w:val="16"/>
              </w:rPr>
              <w:t>3,00 €</w:t>
            </w:r>
          </w:p>
        </w:tc>
        <w:tc>
          <w:tcPr>
            <w:tcW w:w="1811"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1,00 €</w:t>
            </w:r>
          </w:p>
        </w:tc>
      </w:tr>
      <w:tr>
        <w:trPr>
          <w:trHeight w:val="240" w:hRule="atLeast"/>
        </w:trPr>
        <w:tc>
          <w:tcPr>
            <w:tcW w:w="11083" w:type="dxa"/>
            <w:gridSpan w:val="8"/>
            <w:tcBorders>
              <w:top w:val="single" w:sz="8" w:space="0" w:color="000000"/>
              <w:start w:val="single" w:sz="8" w:space="0" w:color="000000"/>
              <w:bottom w:val="single" w:sz="8" w:space="0" w:color="000000"/>
              <w:end w:val="single" w:sz="8" w:space="0" w:color="000000"/>
            </w:tcBorders>
            <w:shd w:fill="EFEFEF" w:val="clear"/>
            <w:vAlign w:val="center"/>
          </w:tcPr>
          <w:p>
            <w:pPr>
              <w:pStyle w:val="Normal"/>
              <w:widowControl w:val="false"/>
              <w:spacing w:lineRule="auto" w:line="276"/>
              <w:ind w:start="0" w:end="142" w:hanging="0"/>
              <w:jc w:val="start"/>
              <w:rPr>
                <w:sz w:val="16"/>
                <w:szCs w:val="16"/>
              </w:rPr>
            </w:pPr>
            <w:r>
              <w:rPr>
                <w:sz w:val="16"/>
                <w:szCs w:val="16"/>
              </w:rPr>
            </w:r>
          </w:p>
        </w:tc>
      </w:tr>
      <w:tr>
        <w:trPr>
          <w:trHeight w:val="315" w:hRule="atLeast"/>
        </w:trPr>
        <w:tc>
          <w:tcPr>
            <w:tcW w:w="1169"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0" w:end="142" w:hanging="0"/>
              <w:jc w:val="start"/>
              <w:rPr>
                <w:sz w:val="16"/>
                <w:szCs w:val="16"/>
              </w:rPr>
            </w:pPr>
            <w:r>
              <w:rPr>
                <w:sz w:val="16"/>
                <w:szCs w:val="16"/>
              </w:rPr>
              <w:t>Visite chez un Spécialiste</w:t>
            </w:r>
          </w:p>
        </w:tc>
        <w:tc>
          <w:tcPr>
            <w:tcW w:w="106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145,00 €</w:t>
            </w:r>
          </w:p>
        </w:tc>
        <w:tc>
          <w:tcPr>
            <w:tcW w:w="118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16,10 €</w:t>
            </w:r>
          </w:p>
        </w:tc>
        <w:tc>
          <w:tcPr>
            <w:tcW w:w="1098"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39,10 €</w:t>
            </w:r>
          </w:p>
        </w:tc>
        <w:tc>
          <w:tcPr>
            <w:tcW w:w="1320"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60" w:end="142" w:firstLine="81"/>
              <w:jc w:val="start"/>
              <w:rPr>
                <w:b/>
                <w:b/>
                <w:sz w:val="16"/>
                <w:szCs w:val="16"/>
              </w:rPr>
            </w:pPr>
            <w:r>
              <w:rPr>
                <w:b/>
                <w:sz w:val="16"/>
                <w:szCs w:val="16"/>
              </w:rPr>
              <w:t>89,80 €</w:t>
            </w:r>
          </w:p>
        </w:tc>
        <w:tc>
          <w:tcPr>
            <w:tcW w:w="1860"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DocEnVille 25</w:t>
            </w:r>
          </w:p>
        </w:tc>
        <w:tc>
          <w:tcPr>
            <w:tcW w:w="1575"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sz w:val="16"/>
                <w:szCs w:val="16"/>
              </w:rPr>
            </w:pPr>
            <w:r>
              <w:rPr>
                <w:sz w:val="16"/>
                <w:szCs w:val="16"/>
              </w:rPr>
              <w:t>22,45 €</w:t>
            </w:r>
          </w:p>
        </w:tc>
        <w:tc>
          <w:tcPr>
            <w:tcW w:w="1811"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67,35 €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DocEnVille 50</w:t>
            </w:r>
          </w:p>
        </w:tc>
        <w:tc>
          <w:tcPr>
            <w:tcW w:w="1575"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sz w:val="16"/>
                <w:szCs w:val="16"/>
              </w:rPr>
            </w:pPr>
            <w:r>
              <w:rPr>
                <w:sz w:val="16"/>
                <w:szCs w:val="16"/>
              </w:rPr>
              <w:t>44,90 €</w:t>
            </w:r>
          </w:p>
        </w:tc>
        <w:tc>
          <w:tcPr>
            <w:tcW w:w="1811"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44,90 €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DocEnVille 75</w:t>
            </w:r>
          </w:p>
        </w:tc>
        <w:tc>
          <w:tcPr>
            <w:tcW w:w="1575"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sz w:val="16"/>
                <w:szCs w:val="16"/>
              </w:rPr>
            </w:pPr>
            <w:r>
              <w:rPr>
                <w:sz w:val="16"/>
                <w:szCs w:val="16"/>
              </w:rPr>
              <w:t>67,35 €</w:t>
            </w:r>
          </w:p>
        </w:tc>
        <w:tc>
          <w:tcPr>
            <w:tcW w:w="1811"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22,45 €</w:t>
            </w:r>
          </w:p>
        </w:tc>
      </w:tr>
      <w:tr>
        <w:trPr>
          <w:trHeight w:val="285" w:hRule="atLeast"/>
        </w:trPr>
        <w:tc>
          <w:tcPr>
            <w:tcW w:w="11083" w:type="dxa"/>
            <w:gridSpan w:val="8"/>
            <w:tcBorders>
              <w:top w:val="single" w:sz="8" w:space="0" w:color="000000"/>
              <w:start w:val="single" w:sz="8" w:space="0" w:color="000000"/>
              <w:bottom w:val="single" w:sz="8" w:space="0" w:color="000000"/>
              <w:end w:val="single" w:sz="8" w:space="0" w:color="000000"/>
            </w:tcBorders>
            <w:shd w:fill="EFEFEF" w:val="clear"/>
            <w:vAlign w:val="center"/>
          </w:tcPr>
          <w:p>
            <w:pPr>
              <w:pStyle w:val="Normal"/>
              <w:widowControl w:val="false"/>
              <w:spacing w:lineRule="auto" w:line="276"/>
              <w:ind w:start="0" w:end="142" w:hanging="0"/>
              <w:jc w:val="start"/>
              <w:rPr>
                <w:sz w:val="16"/>
                <w:szCs w:val="16"/>
              </w:rPr>
            </w:pPr>
            <w:r>
              <w:rPr>
                <w:sz w:val="16"/>
                <w:szCs w:val="16"/>
              </w:rPr>
            </w:r>
          </w:p>
        </w:tc>
      </w:tr>
      <w:tr>
        <w:trPr>
          <w:trHeight w:val="315" w:hRule="atLeast"/>
        </w:trPr>
        <w:tc>
          <w:tcPr>
            <w:tcW w:w="1169"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0" w:end="142" w:hanging="0"/>
              <w:jc w:val="start"/>
              <w:rPr>
                <w:sz w:val="16"/>
                <w:szCs w:val="16"/>
              </w:rPr>
            </w:pPr>
            <w:r>
              <w:rPr>
                <w:sz w:val="16"/>
                <w:szCs w:val="16"/>
              </w:rPr>
              <w:t>Acte Technique Médical</w:t>
            </w:r>
          </w:p>
        </w:tc>
        <w:tc>
          <w:tcPr>
            <w:tcW w:w="106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37,00 €</w:t>
            </w:r>
          </w:p>
        </w:tc>
        <w:tc>
          <w:tcPr>
            <w:tcW w:w="118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12,00 €</w:t>
            </w:r>
          </w:p>
        </w:tc>
        <w:tc>
          <w:tcPr>
            <w:tcW w:w="1098"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8,00 €</w:t>
            </w:r>
          </w:p>
        </w:tc>
        <w:tc>
          <w:tcPr>
            <w:tcW w:w="1320"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60" w:end="142" w:firstLine="81"/>
              <w:jc w:val="start"/>
              <w:rPr>
                <w:b/>
                <w:b/>
                <w:sz w:val="16"/>
                <w:szCs w:val="16"/>
              </w:rPr>
            </w:pPr>
            <w:r>
              <w:rPr>
                <w:b/>
                <w:sz w:val="16"/>
                <w:szCs w:val="16"/>
              </w:rPr>
              <w:t>17,00 €</w:t>
            </w:r>
          </w:p>
        </w:tc>
        <w:tc>
          <w:tcPr>
            <w:tcW w:w="1860"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DocEnVille 25</w:t>
            </w:r>
          </w:p>
        </w:tc>
        <w:tc>
          <w:tcPr>
            <w:tcW w:w="1575"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sz w:val="16"/>
                <w:szCs w:val="16"/>
              </w:rPr>
            </w:pPr>
            <w:r>
              <w:rPr>
                <w:sz w:val="16"/>
                <w:szCs w:val="16"/>
              </w:rPr>
              <w:t>4,25 €</w:t>
            </w:r>
          </w:p>
        </w:tc>
        <w:tc>
          <w:tcPr>
            <w:tcW w:w="1811"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12,75 €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DocEnVille 50</w:t>
            </w:r>
          </w:p>
        </w:tc>
        <w:tc>
          <w:tcPr>
            <w:tcW w:w="1575"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sz w:val="16"/>
                <w:szCs w:val="16"/>
              </w:rPr>
            </w:pPr>
            <w:r>
              <w:rPr>
                <w:sz w:val="16"/>
                <w:szCs w:val="16"/>
              </w:rPr>
              <w:t>8,50 €</w:t>
            </w:r>
          </w:p>
        </w:tc>
        <w:tc>
          <w:tcPr>
            <w:tcW w:w="1811"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8,50 €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DocEnVille 75</w:t>
            </w:r>
          </w:p>
        </w:tc>
        <w:tc>
          <w:tcPr>
            <w:tcW w:w="1575"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sz w:val="16"/>
                <w:szCs w:val="16"/>
              </w:rPr>
            </w:pPr>
            <w:r>
              <w:rPr>
                <w:sz w:val="16"/>
                <w:szCs w:val="16"/>
              </w:rPr>
              <w:t>12,75 €</w:t>
            </w:r>
          </w:p>
        </w:tc>
        <w:tc>
          <w:tcPr>
            <w:tcW w:w="1811"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4,25 €</w:t>
            </w:r>
          </w:p>
        </w:tc>
      </w:tr>
      <w:tr>
        <w:trPr>
          <w:trHeight w:val="195" w:hRule="atLeast"/>
        </w:trPr>
        <w:tc>
          <w:tcPr>
            <w:tcW w:w="11083" w:type="dxa"/>
            <w:gridSpan w:val="8"/>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0" w:end="142" w:hanging="0"/>
              <w:jc w:val="start"/>
              <w:rPr>
                <w:sz w:val="16"/>
                <w:szCs w:val="16"/>
              </w:rPr>
            </w:pPr>
            <w:r>
              <w:rPr>
                <w:sz w:val="16"/>
                <w:szCs w:val="16"/>
              </w:rPr>
            </w:r>
          </w:p>
        </w:tc>
      </w:tr>
      <w:tr>
        <w:trPr>
          <w:trHeight w:val="315" w:hRule="atLeast"/>
        </w:trPr>
        <w:tc>
          <w:tcPr>
            <w:tcW w:w="1169"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0" w:end="142" w:hanging="0"/>
              <w:jc w:val="start"/>
              <w:rPr>
                <w:sz w:val="16"/>
                <w:szCs w:val="16"/>
              </w:rPr>
            </w:pPr>
            <w:r>
              <w:rPr>
                <w:sz w:val="16"/>
                <w:szCs w:val="16"/>
              </w:rPr>
              <w:t>Radio/ Echo</w:t>
            </w:r>
          </w:p>
        </w:tc>
        <w:tc>
          <w:tcPr>
            <w:tcW w:w="106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215,00 €</w:t>
            </w:r>
          </w:p>
        </w:tc>
        <w:tc>
          <w:tcPr>
            <w:tcW w:w="1185"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28,00 €</w:t>
            </w:r>
          </w:p>
        </w:tc>
        <w:tc>
          <w:tcPr>
            <w:tcW w:w="1098"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141" w:end="142" w:hanging="0"/>
              <w:jc w:val="start"/>
              <w:rPr>
                <w:sz w:val="16"/>
                <w:szCs w:val="16"/>
              </w:rPr>
            </w:pPr>
            <w:r>
              <w:rPr>
                <w:sz w:val="16"/>
                <w:szCs w:val="16"/>
              </w:rPr>
              <w:t>56,00 €</w:t>
            </w:r>
          </w:p>
        </w:tc>
        <w:tc>
          <w:tcPr>
            <w:tcW w:w="1320" w:type="dxa"/>
            <w:vMerge w:val="restart"/>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spacing w:lineRule="auto" w:line="276"/>
              <w:ind w:start="60" w:end="142" w:firstLine="81"/>
              <w:jc w:val="start"/>
              <w:rPr>
                <w:b/>
                <w:b/>
                <w:sz w:val="16"/>
                <w:szCs w:val="16"/>
              </w:rPr>
            </w:pPr>
            <w:r>
              <w:rPr>
                <w:b/>
                <w:sz w:val="16"/>
                <w:szCs w:val="16"/>
              </w:rPr>
              <w:t>131,00 €</w:t>
            </w:r>
          </w:p>
        </w:tc>
        <w:tc>
          <w:tcPr>
            <w:tcW w:w="1860"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DocEnVille 25</w:t>
            </w:r>
          </w:p>
        </w:tc>
        <w:tc>
          <w:tcPr>
            <w:tcW w:w="1575"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sz w:val="16"/>
                <w:szCs w:val="16"/>
              </w:rPr>
            </w:pPr>
            <w:r>
              <w:rPr>
                <w:sz w:val="16"/>
                <w:szCs w:val="16"/>
              </w:rPr>
              <w:t>25,00 €</w:t>
            </w:r>
          </w:p>
        </w:tc>
        <w:tc>
          <w:tcPr>
            <w:tcW w:w="1811" w:type="dxa"/>
            <w:tcBorders>
              <w:top w:val="single" w:sz="8" w:space="0" w:color="000000"/>
              <w:start w:val="single" w:sz="8" w:space="0" w:color="000000"/>
              <w:bottom w:val="single" w:sz="8" w:space="0" w:color="000000"/>
              <w:end w:val="single" w:sz="8" w:space="0" w:color="000000"/>
            </w:tcBorders>
            <w:shd w:fill="CBF3EA" w:val="clear"/>
            <w:vAlign w:val="bottom"/>
          </w:tcPr>
          <w:p>
            <w:pPr>
              <w:pStyle w:val="Normal"/>
              <w:widowControl w:val="false"/>
              <w:spacing w:lineRule="auto" w:line="276"/>
              <w:ind w:start="141" w:end="142" w:hanging="0"/>
              <w:jc w:val="center"/>
              <w:rPr>
                <w:b/>
                <w:b/>
                <w:sz w:val="16"/>
                <w:szCs w:val="16"/>
              </w:rPr>
            </w:pPr>
            <w:r>
              <w:rPr>
                <w:b/>
                <w:sz w:val="16"/>
                <w:szCs w:val="16"/>
              </w:rPr>
              <w:t>106,00 €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DocEnVille 50</w:t>
            </w:r>
          </w:p>
        </w:tc>
        <w:tc>
          <w:tcPr>
            <w:tcW w:w="1575"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sz w:val="16"/>
                <w:szCs w:val="16"/>
              </w:rPr>
            </w:pPr>
            <w:r>
              <w:rPr>
                <w:sz w:val="16"/>
                <w:szCs w:val="16"/>
              </w:rPr>
              <w:t>50,00 €</w:t>
            </w:r>
          </w:p>
        </w:tc>
        <w:tc>
          <w:tcPr>
            <w:tcW w:w="1811" w:type="dxa"/>
            <w:tcBorders>
              <w:top w:val="single" w:sz="8" w:space="0" w:color="000000"/>
              <w:start w:val="single" w:sz="8" w:space="0" w:color="000000"/>
              <w:bottom w:val="single" w:sz="8" w:space="0" w:color="000000"/>
              <w:end w:val="single" w:sz="8" w:space="0" w:color="000000"/>
            </w:tcBorders>
            <w:shd w:fill="BFE6F6" w:val="clear"/>
            <w:vAlign w:val="bottom"/>
          </w:tcPr>
          <w:p>
            <w:pPr>
              <w:pStyle w:val="Normal"/>
              <w:widowControl w:val="false"/>
              <w:spacing w:lineRule="auto" w:line="276"/>
              <w:ind w:start="141" w:end="142" w:hanging="0"/>
              <w:jc w:val="center"/>
              <w:rPr>
                <w:b/>
                <w:b/>
                <w:sz w:val="16"/>
                <w:szCs w:val="16"/>
              </w:rPr>
            </w:pPr>
            <w:r>
              <w:rPr>
                <w:b/>
                <w:sz w:val="16"/>
                <w:szCs w:val="16"/>
              </w:rPr>
              <w:t>81,00 €</w:t>
            </w:r>
          </w:p>
        </w:tc>
      </w:tr>
      <w:tr>
        <w:trPr>
          <w:trHeight w:val="315" w:hRule="atLeast"/>
        </w:trPr>
        <w:tc>
          <w:tcPr>
            <w:tcW w:w="1169"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6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185"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098"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320" w:type="dxa"/>
            <w:vMerge w:val="continue"/>
            <w:tcBorders>
              <w:top w:val="single" w:sz="8" w:space="0" w:color="000000"/>
              <w:start w:val="single" w:sz="8" w:space="0" w:color="000000"/>
              <w:bottom w:val="single" w:sz="8" w:space="0" w:color="000000"/>
              <w:end w:val="single" w:sz="8" w:space="0" w:color="000000"/>
            </w:tcBorders>
            <w:shd w:fill="F2F2F2" w:val="clear"/>
            <w:vAlign w:val="center"/>
          </w:tcPr>
          <w:p>
            <w:pPr>
              <w:pStyle w:val="Normal"/>
              <w:widowControl w:val="false"/>
              <w:rPr/>
            </w:pPr>
            <w:r>
              <w:rPr/>
            </w:r>
          </w:p>
        </w:tc>
        <w:tc>
          <w:tcPr>
            <w:tcW w:w="1860"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DocEnVille 75</w:t>
            </w:r>
          </w:p>
        </w:tc>
        <w:tc>
          <w:tcPr>
            <w:tcW w:w="1575"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sz w:val="16"/>
                <w:szCs w:val="16"/>
              </w:rPr>
            </w:pPr>
            <w:r>
              <w:rPr>
                <w:sz w:val="16"/>
                <w:szCs w:val="16"/>
              </w:rPr>
              <w:t>75,00 €</w:t>
            </w:r>
          </w:p>
        </w:tc>
        <w:tc>
          <w:tcPr>
            <w:tcW w:w="1811" w:type="dxa"/>
            <w:tcBorders>
              <w:top w:val="single" w:sz="8" w:space="0" w:color="000000"/>
              <w:start w:val="single" w:sz="8" w:space="0" w:color="000000"/>
              <w:bottom w:val="single" w:sz="8" w:space="0" w:color="000000"/>
              <w:end w:val="single" w:sz="8" w:space="0" w:color="000000"/>
            </w:tcBorders>
            <w:shd w:fill="BFD2ED" w:val="clear"/>
            <w:vAlign w:val="bottom"/>
          </w:tcPr>
          <w:p>
            <w:pPr>
              <w:pStyle w:val="Normal"/>
              <w:widowControl w:val="false"/>
              <w:spacing w:lineRule="auto" w:line="276"/>
              <w:ind w:start="141" w:end="142" w:hanging="0"/>
              <w:jc w:val="center"/>
              <w:rPr>
                <w:b/>
                <w:b/>
                <w:sz w:val="16"/>
                <w:szCs w:val="16"/>
              </w:rPr>
            </w:pPr>
            <w:r>
              <w:rPr>
                <w:b/>
                <w:sz w:val="16"/>
                <w:szCs w:val="16"/>
              </w:rPr>
              <w:t>56,00 €</w:t>
            </w:r>
          </w:p>
        </w:tc>
      </w:tr>
    </w:tbl>
    <w:p>
      <w:pPr>
        <w:pStyle w:val="Normal"/>
        <w:spacing w:lineRule="auto" w:line="276"/>
        <w:ind w:start="-708" w:end="142" w:hanging="0"/>
        <w:jc w:val="start"/>
        <w:rPr/>
      </w:pPr>
      <w:r>
        <w:rPr/>
      </w:r>
    </w:p>
    <w:p>
      <w:pPr>
        <w:pStyle w:val="Normal"/>
        <w:spacing w:lineRule="auto" w:line="276"/>
        <w:ind w:start="-708" w:end="142" w:hanging="0"/>
        <w:jc w:val="start"/>
        <w:rPr>
          <w:sz w:val="22"/>
          <w:szCs w:val="22"/>
        </w:rPr>
      </w:pPr>
      <w:r>
        <w:rPr>
          <w:sz w:val="22"/>
          <w:szCs w:val="22"/>
        </w:rPr>
      </w:r>
    </w:p>
    <w:p>
      <w:pPr>
        <w:pStyle w:val="Normal"/>
        <w:rPr>
          <w:sz w:val="20"/>
          <w:szCs w:val="20"/>
        </w:rPr>
      </w:pPr>
      <w:r>
        <w:rPr>
          <w:sz w:val="20"/>
          <w:szCs w:val="20"/>
        </w:rPr>
        <w:t>*La part remboursée par le contrat “socle” dépend du niveau de garanties souscrites dudit contrat</w:t>
      </w:r>
    </w:p>
    <w:sectPr>
      <w:footerReference w:type="default" r:id="rId2"/>
      <w:type w:val="nextPage"/>
      <w:pgSz w:w="11906" w:h="16838"/>
      <w:pgMar w:left="1417" w:right="720" w:gutter="0" w:header="0"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ork Sans">
    <w:charset w:val="01" w:characterSet="utf-8"/>
    <w:family w:val="roman"/>
    <w:pitch w:val="variable"/>
  </w:font>
  <w:font w:name="Arial">
    <w:charset w:val="01" w:characterSet="utf-8"/>
    <w:family w:val="swiss"/>
    <w:pitch w:val="variable"/>
  </w:font>
  <w:font w:name="Arial">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Roboto">
    <w:charset w:val="01" w:characterSet="utf-8"/>
    <w:family w:val="roman"/>
    <w:pitch w:val="variable"/>
  </w:font>
  <w:font w:name="Garamond">
    <w:charset w:val="01"/>
    <w:family w:val="auto"/>
    <w:pitch w:val="default"/>
  </w:font>
  <w:font w:name="Times New Roman">
    <w:charset w:val="01"/>
    <w:family w:val="auto"/>
    <w:pitch w:val="default"/>
  </w:font>
  <w:font w:name="Calibri">
    <w:charset w:val="01"/>
    <w:family w:val="auto"/>
    <w:pitch w:val="default"/>
  </w:font>
  <w:font w:name="Courier New">
    <w:charset w:val="01"/>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spacing w:lineRule="auto" w:line="240" w:before="0" w:after="0"/>
      <w:ind w:start="0" w:end="0" w:hanging="0"/>
      <w:jc w:val="start"/>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21" w:name="_heading=h.7uamqidfrtoy"/>
    <w:bookmarkStart w:id="22" w:name="_heading=h.7uamqidfrtoy"/>
    <w:bookmarkEnd w:id="22"/>
  </w:p>
  <w:p>
    <w:pPr>
      <w:pStyle w:val="Subtitle"/>
      <w:spacing w:lineRule="auto" w:line="240" w:before="0" w:after="0"/>
      <w:ind w:start="-708" w:end="-141" w:hanging="0"/>
      <w:jc w:val="start"/>
      <w:rPr/>
    </w:pPr>
    <w:bookmarkStart w:id="23" w:name="_heading=h.f4qyiiozlqiy"/>
    <w:bookmarkEnd w:id="23"/>
    <w:r>
      <w:rPr/>
      <mc:AlternateContent>
        <mc:Choice Requires="wps">
          <w:drawing>
            <wp:inline distT="0" distB="0" distL="0" distR="0">
              <wp:extent cx="6204585" cy="20955"/>
              <wp:effectExtent l="0" t="0" r="0" b="0"/>
              <wp:docPr id="1" name="Shape1"/>
              <a:graphic xmlns:a="http://schemas.openxmlformats.org/drawingml/2006/main">
                <a:graphicData uri="http://schemas.microsoft.com/office/word/2010/wordprocessingShape">
                  <wps:wsp>
                    <wps:cNvSpPr/>
                    <wps:spPr>
                      <a:xfrm>
                        <a:off x="0" y="0"/>
                        <a:ext cx="620388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65pt;width:488.45pt;height:1.55pt;mso-wrap-style:none;v-text-anchor:middle;mso-position-vertical:top">
              <v:fill o:detectmouseclick="t" type="solid" color2="#5f5f5f"/>
              <v:stroke color="#3465a4" joinstyle="round" endcap="flat"/>
              <w10:wrap type="square"/>
            </v:rect>
          </w:pict>
        </mc:Fallback>
      </mc:AlternateContent>
    </w:r>
  </w:p>
  <w:p>
    <w:pPr>
      <w:pStyle w:val="Subtitle"/>
      <w:spacing w:lineRule="auto" w:line="240" w:before="0" w:after="0"/>
      <w:ind w:start="0" w:end="0" w:hanging="0"/>
      <w:jc w:val="start"/>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24" w:name="_heading=h.j9we5x2auty3"/>
    <w:bookmarkStart w:id="25" w:name="_heading=h.j9we5x2auty3"/>
    <w:bookmarkEnd w:id="25"/>
  </w:p>
  <w:tbl>
    <w:tblPr>
      <w:tblW w:w="10830" w:type="dxa"/>
      <w:jc w:val="start"/>
      <w:tblInd w:w="-830" w:type="dxa"/>
      <w:tblLayout w:type="fixed"/>
      <w:tblCellMar>
        <w:top w:w="100" w:type="dxa"/>
        <w:start w:w="100" w:type="dxa"/>
        <w:bottom w:w="100" w:type="dxa"/>
        <w:end w:w="100" w:type="dxa"/>
      </w:tblCellMar>
    </w:tblPr>
    <w:tblGrid>
      <w:gridCol w:w="1620"/>
      <w:gridCol w:w="8010"/>
      <w:gridCol w:w="1200"/>
    </w:tblGrid>
    <w:tr>
      <w:trPr/>
      <w:tc>
        <w:tcPr>
          <w:tcW w:w="1620" w:type="dxa"/>
          <w:tcBorders>
            <w:bottom w:val="single" w:sz="8" w:space="0" w:color="FFFFFF"/>
          </w:tcBorders>
        </w:tcPr>
        <w:p>
          <w:pPr>
            <w:pStyle w:val="Normal"/>
            <w:widowControl w:val="false"/>
            <w:ind w:start="0" w:end="0" w:hanging="0"/>
            <w:jc w:val="start"/>
            <w:rPr>
              <w:color w:val="3F1774"/>
              <w:sz w:val="16"/>
              <w:szCs w:val="16"/>
            </w:rPr>
          </w:pPr>
          <w:r>
            <w:rPr>
              <w:color w:val="3F1774"/>
              <w:sz w:val="16"/>
              <w:szCs w:val="16"/>
            </w:rPr>
            <w:drawing>
              <wp:anchor behindDoc="1" distT="114300" distB="114300" distL="114300" distR="114300" simplePos="0" locked="0" layoutInCell="1" allowOverlap="1" relativeHeight="13">
                <wp:simplePos x="0" y="0"/>
                <wp:positionH relativeFrom="column">
                  <wp:posOffset>180975</wp:posOffset>
                </wp:positionH>
                <wp:positionV relativeFrom="paragraph">
                  <wp:posOffset>114300</wp:posOffset>
                </wp:positionV>
                <wp:extent cx="585470" cy="363220"/>
                <wp:effectExtent l="0" t="0" r="0" b="0"/>
                <wp:wrapSquare wrapText="bothSides"/>
                <wp:docPr id="2"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title=""/>
                        <pic:cNvPicPr>
                          <a:picLocks noChangeAspect="1" noChangeArrowheads="1"/>
                        </pic:cNvPicPr>
                      </pic:nvPicPr>
                      <pic:blipFill>
                        <a:blip r:embed="rId1"/>
                        <a:stretch>
                          <a:fillRect/>
                        </a:stretch>
                      </pic:blipFill>
                      <pic:spPr bwMode="auto">
                        <a:xfrm>
                          <a:off x="0" y="0"/>
                          <a:ext cx="585470" cy="363220"/>
                        </a:xfrm>
                        <a:prstGeom prst="rect">
                          <a:avLst/>
                        </a:prstGeom>
                      </pic:spPr>
                    </pic:pic>
                  </a:graphicData>
                </a:graphic>
              </wp:anchor>
            </w:drawing>
          </w:r>
        </w:p>
        <w:p>
          <w:pPr>
            <w:pStyle w:val="Normal"/>
            <w:widowControl w:val="false"/>
            <w:ind w:start="0" w:end="0" w:hanging="0"/>
            <w:jc w:val="start"/>
            <w:rPr>
              <w:color w:val="3F1774"/>
              <w:sz w:val="16"/>
              <w:szCs w:val="16"/>
            </w:rPr>
          </w:pPr>
          <w:r>
            <w:rPr>
              <w:color w:val="3F1774"/>
              <w:sz w:val="16"/>
              <w:szCs w:val="16"/>
            </w:rPr>
          </w:r>
        </w:p>
      </w:tc>
      <w:tc>
        <w:tcPr>
          <w:tcW w:w="8010" w:type="dxa"/>
          <w:tcBorders/>
        </w:tcPr>
        <w:p>
          <w:pPr>
            <w:pStyle w:val="Subtitle"/>
            <w:widowControl w:val="false"/>
            <w:spacing w:lineRule="auto" w:line="276" w:before="0" w:after="0"/>
            <w:ind w:start="0" w:end="0" w:hanging="0"/>
            <w:jc w:val="start"/>
            <w:rPr/>
          </w:pPr>
          <w:bookmarkStart w:id="26" w:name="_heading=h.tlhocfpv3z8k"/>
          <w:bookmarkEnd w:id="26"/>
          <w:r>
            <w:rPr>
              <w:rFonts w:eastAsia="Work Sans" w:cs="Work Sans" w:ascii="Work Sans" w:hAnsi="Work Sans"/>
              <w:b/>
              <w:i w:val="false"/>
              <w:color w:val="3F1774"/>
              <w:sz w:val="16"/>
              <w:szCs w:val="16"/>
            </w:rPr>
            <w:t>Everest HC</w:t>
          </w:r>
          <w:r>
            <w:rPr>
              <w:rFonts w:eastAsia="Work Sans" w:cs="Work Sans" w:ascii="Work Sans" w:hAnsi="Work Sans"/>
              <w:i w:val="false"/>
              <w:color w:val="3F1774"/>
              <w:sz w:val="16"/>
              <w:szCs w:val="16"/>
            </w:rPr>
            <w:t xml:space="preserve"> 33 bis Ave du 12 Avril 1915- 13012 Marseille Inscrit à l’ORIAS sous le N° 21 004 610</w:t>
          </w:r>
        </w:p>
        <w:p>
          <w:pPr>
            <w:pStyle w:val="Subtitle"/>
            <w:widowControl w:val="false"/>
            <w:spacing w:lineRule="auto" w:line="276" w:before="0" w:after="0"/>
            <w:ind w:start="0" w:end="0" w:hanging="0"/>
            <w:jc w:val="start"/>
            <w:rPr>
              <w:rFonts w:ascii="Work Sans" w:hAnsi="Work Sans" w:eastAsia="Work Sans" w:cs="Work Sans"/>
              <w:i w:val="false"/>
              <w:i w:val="false"/>
              <w:color w:val="3F1774"/>
              <w:sz w:val="16"/>
              <w:szCs w:val="16"/>
            </w:rPr>
          </w:pPr>
          <w:bookmarkStart w:id="27" w:name="_heading=h.oogivsaf3cwr"/>
          <w:bookmarkEnd w:id="27"/>
          <w:r>
            <w:rPr>
              <w:rFonts w:eastAsia="Work Sans" w:cs="Work Sans" w:ascii="Work Sans" w:hAnsi="Work Sans"/>
              <w:i w:val="false"/>
              <w:color w:val="3F1774"/>
              <w:sz w:val="16"/>
              <w:szCs w:val="16"/>
            </w:rPr>
            <w:t>Conditions Particulières (myBooster CP 21-001)</w:t>
          </w:r>
        </w:p>
        <w:p>
          <w:pPr>
            <w:pStyle w:val="Subtitle"/>
            <w:widowControl w:val="false"/>
            <w:spacing w:lineRule="auto" w:line="276" w:before="0" w:after="0"/>
            <w:ind w:start="0" w:end="0" w:hanging="0"/>
            <w:jc w:val="start"/>
            <w:rPr>
              <w:rFonts w:ascii="Work Sans" w:hAnsi="Work Sans" w:eastAsia="Work Sans" w:cs="Work Sans"/>
              <w:i w:val="false"/>
              <w:i w:val="false"/>
              <w:color w:val="3F1774"/>
              <w:sz w:val="16"/>
              <w:szCs w:val="16"/>
            </w:rPr>
          </w:pPr>
          <w:bookmarkStart w:id="28" w:name="_heading=h.oaqu7kkj1ki7"/>
          <w:bookmarkEnd w:id="28"/>
          <w:r>
            <w:rPr>
              <w:rFonts w:eastAsia="Work Sans" w:cs="Work Sans" w:ascii="Work Sans" w:hAnsi="Work Sans"/>
              <w:i w:val="false"/>
              <w:color w:val="3F1774"/>
              <w:sz w:val="16"/>
              <w:szCs w:val="16"/>
            </w:rPr>
            <w:t>Produit : myBooster (Ref. Contrat : 9118)</w:t>
          </w:r>
        </w:p>
      </w:tc>
      <w:tc>
        <w:tcPr>
          <w:tcW w:w="1200" w:type="dxa"/>
          <w:tcBorders/>
        </w:tcPr>
        <w:p>
          <w:pPr>
            <w:pStyle w:val="Normal"/>
            <w:widowControl w:val="false"/>
            <w:ind w:start="-141" w:end="0" w:hanging="0"/>
            <w:jc w:val="end"/>
            <w:rPr>
              <w:color w:val="3F1774"/>
              <w:sz w:val="16"/>
              <w:szCs w:val="16"/>
            </w:rPr>
          </w:pPr>
          <w:r>
            <w:rPr>
              <w:color w:val="3F1774"/>
              <w:sz w:val="16"/>
              <w:szCs w:val="16"/>
            </w:rPr>
          </w:r>
        </w:p>
        <w:p>
          <w:pPr>
            <w:pStyle w:val="Normal"/>
            <w:widowControl w:val="false"/>
            <w:ind w:start="-141" w:end="0" w:hanging="0"/>
            <w:jc w:val="end"/>
            <w:rPr>
              <w:color w:val="3F1774"/>
              <w:sz w:val="16"/>
              <w:szCs w:val="16"/>
            </w:rPr>
          </w:pPr>
          <w:r>
            <w:rPr>
              <w:color w:val="3F1774"/>
              <w:sz w:val="16"/>
              <w:szCs w:val="16"/>
            </w:rPr>
          </w:r>
        </w:p>
        <w:p>
          <w:pPr>
            <w:pStyle w:val="Normal"/>
            <w:widowControl w:val="false"/>
            <w:ind w:start="-141" w:end="0" w:hanging="0"/>
            <w:jc w:val="end"/>
            <w:rPr/>
          </w:pPr>
          <w:r>
            <w:rPr>
              <w:color w:val="3F1774"/>
              <w:sz w:val="16"/>
              <w:szCs w:val="16"/>
            </w:rPr>
            <w:t xml:space="preserve">Page </w:t>
          </w:r>
          <w:r>
            <w:rPr/>
            <w:fldChar w:fldCharType="begin"/>
          </w:r>
          <w:r>
            <w:rPr/>
            <w:instrText> PAGE </w:instrText>
          </w:r>
          <w:r>
            <w:rPr/>
            <w:fldChar w:fldCharType="separate"/>
          </w:r>
          <w:r>
            <w:rPr/>
            <w:t>6</w:t>
          </w:r>
          <w:r>
            <w:rPr/>
            <w:fldChar w:fldCharType="end"/>
          </w:r>
          <w:r>
            <w:rPr>
              <w:color w:val="3F1774"/>
              <w:sz w:val="16"/>
              <w:szCs w:val="16"/>
            </w:rPr>
            <w:t xml:space="preserve"> sur </w:t>
          </w:r>
          <w:r>
            <w:rPr/>
            <w:fldChar w:fldCharType="begin"/>
          </w:r>
          <w:r>
            <w:rPr/>
            <w:instrText> NUMPAGES </w:instrText>
          </w:r>
          <w:r>
            <w:rPr/>
            <w:fldChar w:fldCharType="separate"/>
          </w:r>
          <w:r>
            <w:rPr/>
            <w:t>6</w:t>
          </w:r>
          <w:r>
            <w:rPr/>
            <w:fldChar w:fldCharType="end"/>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Garamond" w:hAnsi="Garamond" w:cs="Garamond" w:hint="default"/>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
    <w:lvl w:ilvl="0">
      <w:start w:val="1"/>
      <w:numFmt w:val="bullet"/>
      <w:lvlText w:val="-"/>
      <w:lvlJc w:val="start"/>
      <w:pPr>
        <w:tabs>
          <w:tab w:val="num" w:pos="0"/>
        </w:tabs>
        <w:ind w:start="720" w:hanging="360"/>
      </w:pPr>
      <w:rPr>
        <w:rFonts w:ascii="Garamond" w:hAnsi="Garamond" w:cs="Garamond" w:hint="default"/>
      </w:rPr>
    </w:lvl>
    <w:lvl w:ilvl="1">
      <w:start w:val="1"/>
      <w:numFmt w:val="bullet"/>
      <w:lvlText w:val="•"/>
      <w:lvlJc w:val="start"/>
      <w:pPr>
        <w:tabs>
          <w:tab w:val="num" w:pos="0"/>
        </w:tabs>
        <w:ind w:start="1440" w:hanging="360"/>
      </w:pPr>
      <w:rPr>
        <w:rFonts w:ascii="Times New Roman" w:hAnsi="Times New Roman" w:cs="Times New Roman"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Work Sans" w:hAnsi="Work Sans" w:eastAsia="Work Sans" w:cs="Work Sans"/>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start="-566" w:end="0" w:hanging="0"/>
      <w:jc w:val="both"/>
    </w:pPr>
    <w:rPr>
      <w:rFonts w:ascii="Work Sans" w:hAnsi="Work Sans" w:eastAsia="Work Sans" w:cs="Work Sans"/>
      <w:color w:val="auto"/>
      <w:kern w:val="0"/>
      <w:sz w:val="24"/>
      <w:szCs w:val="24"/>
      <w:lang w:val="fr-FR" w:eastAsia="zh-CN" w:bidi="hi-IN"/>
    </w:rPr>
  </w:style>
  <w:style w:type="paragraph" w:styleId="Heading1">
    <w:name w:val="Heading 1"/>
    <w:basedOn w:val="LOnormal"/>
    <w:next w:val="Normal"/>
    <w:qFormat/>
    <w:pPr>
      <w:keepNext w:val="true"/>
      <w:keepLines/>
      <w:spacing w:lineRule="auto" w:line="276" w:before="400" w:after="120"/>
      <w:outlineLvl w:val="0"/>
    </w:pPr>
    <w:rPr>
      <w:rFonts w:ascii="Arial" w:hAnsi="Arial" w:eastAsia="Arial" w:cs="Arial"/>
      <w:b/>
      <w:color w:val="0000FF"/>
      <w:sz w:val="32"/>
      <w:szCs w:val="32"/>
      <w:u w:val="single"/>
      <w:lang w:val="fr-FR" w:eastAsia="fr-FR"/>
    </w:rPr>
  </w:style>
  <w:style w:type="paragraph" w:styleId="Heading2">
    <w:name w:val="Heading 2"/>
    <w:basedOn w:val="LOnormal"/>
    <w:next w:val="Normal"/>
    <w:qFormat/>
    <w:pPr>
      <w:keepNext w:val="true"/>
      <w:keepLines/>
      <w:spacing w:lineRule="auto" w:line="276" w:before="360" w:after="120"/>
      <w:outlineLvl w:val="1"/>
    </w:pPr>
    <w:rPr>
      <w:rFonts w:ascii="Arial" w:hAnsi="Arial" w:eastAsia="Arial" w:cs="Arial"/>
      <w:b/>
      <w:color w:val="0000FF"/>
      <w:sz w:val="28"/>
      <w:szCs w:val="28"/>
      <w:lang w:val="fr-FR" w:eastAsia="fr-FR"/>
    </w:rPr>
  </w:style>
  <w:style w:type="paragraph" w:styleId="Heading3">
    <w:name w:val="Heading 3"/>
    <w:basedOn w:val="LOnormal"/>
    <w:next w:val="Normal"/>
    <w:qFormat/>
    <w:pPr>
      <w:keepNext w:val="true"/>
      <w:keepLines/>
      <w:spacing w:lineRule="auto" w:line="240" w:before="280" w:after="80"/>
      <w:ind w:start="720" w:end="0" w:hanging="360"/>
    </w:pPr>
    <w:rPr>
      <w:b/>
      <w:sz w:val="28"/>
      <w:szCs w:val="28"/>
    </w:rPr>
  </w:style>
  <w:style w:type="paragraph" w:styleId="Heading4">
    <w:name w:val="Heading 4"/>
    <w:basedOn w:val="LOnormal"/>
    <w:next w:val="Normal"/>
    <w:qFormat/>
    <w:pPr>
      <w:keepNext w:val="true"/>
      <w:keepLines/>
      <w:spacing w:lineRule="auto" w:line="240" w:before="240" w:after="40"/>
      <w:ind w:start="0" w:end="0" w:hanging="0"/>
    </w:pPr>
    <w:rPr>
      <w:b/>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itre1Car">
    <w:name w:val="Titre 1 Car"/>
    <w:basedOn w:val="DefaultParagraphFont"/>
    <w:qFormat/>
    <w:rPr>
      <w:rFonts w:ascii="Arial" w:hAnsi="Arial" w:eastAsia="Arial" w:cs="Arial"/>
      <w:b/>
      <w:color w:val="0000FF"/>
      <w:sz w:val="32"/>
      <w:szCs w:val="32"/>
      <w:u w:val="single"/>
      <w:lang w:val="fr-FR" w:eastAsia="fr-FR"/>
    </w:rPr>
  </w:style>
  <w:style w:type="character" w:styleId="Titre2Car">
    <w:name w:val="Titre 2 Car"/>
    <w:basedOn w:val="DefaultParagraphFont"/>
    <w:qFormat/>
    <w:rPr>
      <w:rFonts w:ascii="Arial" w:hAnsi="Arial" w:eastAsia="Arial" w:cs="Arial"/>
      <w:b/>
      <w:color w:val="0000FF"/>
      <w:sz w:val="28"/>
      <w:szCs w:val="28"/>
      <w:lang w:val="fr-FR" w:eastAsia="fr-FR"/>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true"/>
      <w:bidi w:val="0"/>
      <w:spacing w:before="0" w:after="0"/>
      <w:jc w:val="both"/>
    </w:pPr>
    <w:rPr>
      <w:rFonts w:ascii="Work Sans" w:hAnsi="Work Sans" w:eastAsia="Work Sans" w:cs="Work Sans"/>
      <w:color w:val="auto"/>
      <w:kern w:val="0"/>
      <w:sz w:val="24"/>
      <w:szCs w:val="24"/>
      <w:lang w:val="fr-FR" w:eastAsia="zh-CN" w:bidi="hi-IN"/>
    </w:rPr>
  </w:style>
  <w:style w:type="paragraph" w:styleId="Title">
    <w:name w:val="Title"/>
    <w:basedOn w:val="LOnormal"/>
    <w:next w:val="Normal"/>
    <w:qFormat/>
    <w:pPr>
      <w:keepNext w:val="true"/>
      <w:keepLines/>
      <w:spacing w:lineRule="auto" w:line="240" w:before="480" w:after="120"/>
      <w:ind w:start="-566" w:end="-406" w:hanging="0"/>
    </w:pPr>
    <w:rPr>
      <w:rFonts w:ascii="Work Sans" w:hAnsi="Work Sans" w:eastAsia="Work Sans" w:cs="Work Sans"/>
      <w:b/>
      <w:sz w:val="72"/>
      <w:szCs w:val="72"/>
    </w:rPr>
  </w:style>
  <w:style w:type="paragraph" w:styleId="ListParagraph">
    <w:name w:val="List Paragraph"/>
    <w:basedOn w:val="LOnormal"/>
    <w:qFormat/>
    <w:pPr>
      <w:spacing w:before="0" w:after="0"/>
      <w:ind w:start="720" w:end="0" w:hanging="0"/>
      <w:contextualSpacing/>
    </w:pPr>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85</TotalTime>
  <Application>LibreOffice/7.2.0.4$Linux_X86_64 LibreOffice_project/20$Build-4</Application>
  <AppVersion>15.0000</AppVersion>
  <Pages>6</Pages>
  <Words>1186</Words>
  <Characters>6249</Characters>
  <CharactersWithSpaces>7240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2021-08-17T06:33:00Z</dcterms:created>
  <dc:creator>Baptiste PREZIOSO</dc:creator>
  <dc:description/>
  <dc:language>en-US</dc:language>
  <cp:lastModifiedBy/>
  <dcterms:modified xsi:type="dcterms:W3CDTF">2021-09-07T08:01:29Z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