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sz w:val="84"/>
          <w:szCs w:val="84"/>
        </w:rPr>
      </w:pPr>
      <w:bookmarkStart w:id="0" w:name="_8txwzw2dc7ui"/>
      <w:bookmarkEnd w:id="0"/>
      <w:r>
        <w:rPr>
          <w:b/>
          <w:sz w:val="84"/>
          <w:szCs w:val="84"/>
        </w:rPr>
        <w:t>Formalisation du devoir de conseil</w:t>
      </w:r>
    </w:p>
    <w:p>
      <w:pPr>
        <w:pStyle w:val="Normal"/>
        <w:bidi w:val="0"/>
        <w:spacing w:lineRule="auto" w:line="276"/>
        <w:jc w:val="left"/>
        <w:rPr/>
      </w:pPr>
      <w:r>
        <w:rPr/>
      </w:r>
    </w:p>
    <w:p>
      <w:pPr>
        <w:pStyle w:val="Normal"/>
        <w:bidi w:val="0"/>
        <w:spacing w:lineRule="auto" w:line="276"/>
        <w:jc w:val="left"/>
        <w:rPr/>
      </w:pPr>
      <w:r>
        <w:rPr/>
        <w:t xml:space="preserve">Vous trouverez ci-après la formalisation de nos conseils concernant la proposition de surcomplémentaire santé que nous vous avons faite. </w:t>
      </w:r>
    </w:p>
    <w:p>
      <w:pPr>
        <w:pStyle w:val="Normal"/>
        <w:bidi w:val="0"/>
        <w:spacing w:lineRule="auto" w:line="276"/>
        <w:jc w:val="left"/>
        <w:rPr/>
      </w:pPr>
      <w:r>
        <w:rPr/>
        <w:t>Nous récapitulons ici toutes les questions que nous avons posées et les réponses que vous y avez apportées.</w:t>
        <w:br/>
        <w:t>Cette formalisation a pour objet de vérifier que le produit d’assurance proposé correspond bien aux besoins que vous avez déclarés lors de votre parcours de souscription sur l’application mySofie.</w:t>
      </w:r>
    </w:p>
    <w:p>
      <w:pPr>
        <w:pStyle w:val="Normal"/>
        <w:bidi w:val="0"/>
        <w:spacing w:lineRule="auto" w:line="276"/>
        <w:jc w:val="left"/>
        <w:rPr/>
      </w:pPr>
      <w:r>
        <w:rPr/>
      </w:r>
    </w:p>
    <w:p>
      <w:pPr>
        <w:pStyle w:val="Normal"/>
        <w:bidi w:val="0"/>
        <w:spacing w:lineRule="auto" w:line="276"/>
        <w:jc w:val="left"/>
        <w:rPr/>
      </w:pPr>
      <w:r>
        <w:rPr/>
        <w:t>L’Association Les Solutions mySofie a mis en place le contrat myBooster pour permettre aux utilisateurs de mySofie de bénéficier d’une solution renforçant leurs garanties santé.</w:t>
        <w:br/>
        <w:t>myBooster est distribué et géré au travers de l’application mySofie, développée par la société EVEREST HC, qui perçoit une commission d’apport et de gestion, conformément aux dispositions du Code des Assurances.</w:t>
      </w:r>
    </w:p>
    <w:p>
      <w:pPr>
        <w:pStyle w:val="Normal"/>
        <w:bidi w:val="0"/>
        <w:spacing w:lineRule="auto" w:line="276"/>
        <w:jc w:val="left"/>
        <w:rPr/>
      </w:pPr>
      <w:r>
        <w:rPr/>
      </w:r>
    </w:p>
    <w:p>
      <w:pPr>
        <w:pStyle w:val="Normal"/>
        <w:bidi w:val="0"/>
        <w:spacing w:lineRule="auto" w:line="276"/>
        <w:jc w:val="left"/>
        <w:rPr/>
      </w:pPr>
      <w:r>
        <w:rPr/>
        <w:t>Nous vous invitons à vérifier que les informations que vous nous avez fournies et les déclarations que vous avez faites, telles qu’elles figurent dans ce document de formalisation de notre conseil, sont exactes, et à signer ce document.</w:t>
      </w:r>
    </w:p>
    <w:p>
      <w:pPr>
        <w:pStyle w:val="Normal"/>
        <w:bidi w:val="0"/>
        <w:spacing w:lineRule="auto" w:line="276"/>
        <w:jc w:val="left"/>
        <w:rPr/>
      </w:pPr>
      <w:r>
        <w:rPr/>
      </w:r>
    </w:p>
    <w:p>
      <w:pPr>
        <w:pStyle w:val="Normal"/>
        <w:bidi w:val="0"/>
        <w:spacing w:lineRule="auto" w:line="276"/>
        <w:jc w:val="left"/>
        <w:rPr/>
      </w:pPr>
      <w:r>
        <w:rPr/>
        <w:t xml:space="preserve">Date du conseil </w:t>
      </w:r>
      <w:r>
        <w:rPr/>
        <w:t>{{adviceDate}}</w:t>
      </w:r>
    </w:p>
    <w:p>
      <w:pPr>
        <w:pStyle w:val="Normal"/>
        <w:bidi w:val="0"/>
        <w:spacing w:lineRule="auto" w:line="276"/>
        <w:jc w:val="left"/>
        <w:rPr/>
      </w:pPr>
      <w:r>
        <w:rPr/>
        <w:t xml:space="preserve">Souscripteur : </w:t>
      </w:r>
      <w:r>
        <w:rPr/>
        <w:t>{{lastName}} {{firstName}}</w:t>
      </w:r>
    </w:p>
    <w:p>
      <w:pPr>
        <w:pStyle w:val="Normal"/>
        <w:bidi w:val="0"/>
        <w:spacing w:lineRule="auto" w:line="276"/>
        <w:jc w:val="left"/>
        <w:rPr/>
      </w:pPr>
      <w:r>
        <w:rPr/>
      </w:r>
    </w:p>
    <w:p>
      <w:pPr>
        <w:pStyle w:val="Normal"/>
        <w:bidi w:val="0"/>
        <w:spacing w:lineRule="auto" w:line="276"/>
        <w:jc w:val="left"/>
        <w:rPr/>
      </w:pPr>
      <w:r>
        <w:rPr/>
        <w:t xml:space="preserve">Vous souhaitez vous assurer pour réduire le reste à charge de vos frais de santé en médecine de ville. </w:t>
      </w:r>
    </w:p>
    <w:p>
      <w:pPr>
        <w:pStyle w:val="Normal"/>
        <w:bidi w:val="0"/>
        <w:spacing w:lineRule="auto" w:line="276"/>
        <w:jc w:val="left"/>
        <w:rPr/>
      </w:pPr>
      <w:r>
        <w:rPr/>
        <w:t xml:space="preserve">Vous jugez le montant de votre reste à charge en médecine de ville </w:t>
      </w:r>
      <w:r>
        <w:rPr>
          <w:b/>
          <w:bCs/>
        </w:rPr>
        <w:t>{{question1Answer}}</w:t>
      </w:r>
    </w:p>
    <w:p>
      <w:pPr>
        <w:pStyle w:val="Normal"/>
        <w:bidi w:val="0"/>
        <w:spacing w:lineRule="auto" w:line="276"/>
        <w:jc w:val="left"/>
        <w:rPr/>
      </w:pPr>
      <w:r>
        <w:rPr>
          <w:b/>
          <w:bCs/>
          <w:shd w:fill="auto" w:val="clear"/>
        </w:rPr>
        <w:t xml:space="preserve">{{question2Answer}} </w:t>
      </w:r>
      <w:r>
        <w:rPr/>
        <w:t>effectuer des soins en médecine de ville pour vous ou votre tribu pouvant entraîner des dépassements d’honoraires.</w:t>
      </w:r>
    </w:p>
    <w:p>
      <w:pPr>
        <w:pStyle w:val="Normal"/>
        <w:bidi w:val="0"/>
        <w:spacing w:lineRule="auto" w:line="276"/>
        <w:jc w:val="left"/>
        <w:rPr/>
      </w:pPr>
      <w:r>
        <w:rPr/>
      </w:r>
    </w:p>
    <w:p>
      <w:pPr>
        <w:pStyle w:val="Normal"/>
        <w:bidi w:val="0"/>
        <w:spacing w:lineRule="auto" w:line="276"/>
        <w:jc w:val="left"/>
        <w:rPr/>
      </w:pPr>
      <w:r>
        <w:rPr/>
        <w:t>{{adviceResult}}</w:t>
      </w:r>
    </w:p>
    <w:p>
      <w:pPr>
        <w:pStyle w:val="Normal"/>
        <w:bidi w:val="0"/>
        <w:spacing w:lineRule="auto" w:line="276"/>
        <w:jc w:val="left"/>
        <w:rPr/>
      </w:pPr>
      <w:r>
        <w:rPr/>
        <w:t>Vous avez choisi de souscrire la formule myBooster</w:t>
      </w:r>
      <w:r>
        <w:rPr>
          <w:shd w:fill="auto" w:val="clear"/>
        </w:rPr>
        <w:t xml:space="preserve"> </w:t>
      </w:r>
      <w:r>
        <w:rPr>
          <w:shd w:fill="auto" w:val="clear"/>
        </w:rPr>
        <w:t>{{productName}}</w:t>
      </w:r>
    </w:p>
    <w:sectPr>
      <w:footerReference w:type="default" r:id="rId2"/>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ork Sans">
    <w:charset w:val="01"/>
    <w:family w:val="roman"/>
    <w:pitch w:val="variable"/>
  </w:font>
  <w:font w:name="Work Sans">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rPr>
        <w:color w:val="3F1774"/>
        <w:sz w:val="16"/>
        <w:szCs w:val="16"/>
      </w:rPr>
    </w:pPr>
    <w:r>
      <w:rPr>
        <w:color w:val="3F1774"/>
        <w:sz w:val="16"/>
        <w:szCs w:val="16"/>
      </w:rPr>
    </w:r>
    <w:bookmarkStart w:id="1" w:name="_sryv8nvmbrly"/>
    <w:bookmarkStart w:id="2" w:name="_sryv8nvmbrly"/>
    <w:bookmarkEnd w:id="2"/>
  </w:p>
  <w:p>
    <w:pPr>
      <w:pStyle w:val="Subtitle"/>
      <w:ind w:left="-708" w:right="-749" w:hanging="0"/>
      <w:rPr/>
    </w:pPr>
    <w:bookmarkStart w:id="3" w:name="_cknx3c440scu"/>
    <w:bookmarkEnd w:id="3"/>
    <w:r>
      <w:rPr/>
      <mc:AlternateContent>
        <mc:Choice Requires="wps">
          <w:drawing>
            <wp:inline distT="0" distB="0" distL="0" distR="0">
              <wp:extent cx="5732145" cy="20320"/>
              <wp:effectExtent l="0" t="0" r="0" b="0"/>
              <wp:docPr id="1" name="Shape1"/>
              <a:graphic xmlns:a="http://schemas.openxmlformats.org/drawingml/2006/main">
                <a:graphicData uri="http://schemas.microsoft.com/office/word/2010/wordprocessingShape">
                  <wps:wsp>
                    <wps:cNvSpPr/>
                    <wps:spPr>
                      <a:xfrm>
                        <a:off x="0" y="0"/>
                        <a:ext cx="573156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6pt;width:451.25pt;height:1.5pt;mso-wrap-style:none;v-text-anchor:middle;mso-position-vertical:top">
              <v:fill o:detectmouseclick="t" type="solid" color2="#5f5f5f"/>
              <v:stroke color="#3465a4" joinstyle="round" endcap="flat"/>
              <w10:wrap type="square"/>
            </v:rect>
          </w:pict>
        </mc:Fallback>
      </mc:AlternateContent>
    </w:r>
  </w:p>
  <w:p>
    <w:pPr>
      <w:pStyle w:val="Subtitle"/>
      <w:rPr>
        <w:color w:val="3F1774"/>
        <w:sz w:val="16"/>
        <w:szCs w:val="16"/>
      </w:rPr>
    </w:pPr>
    <w:r>
      <w:rPr>
        <w:color w:val="3F1774"/>
        <w:sz w:val="16"/>
        <w:szCs w:val="16"/>
      </w:rPr>
    </w:r>
    <w:bookmarkStart w:id="4" w:name="_7uamqidfrtoy"/>
    <w:bookmarkStart w:id="5" w:name="_7uamqidfrtoy"/>
    <w:bookmarkEnd w:id="5"/>
  </w:p>
  <w:tbl>
    <w:tblPr>
      <w:tblW w:w="10800" w:type="dxa"/>
      <w:jc w:val="left"/>
      <w:tblInd w:w="-920" w:type="dxa"/>
      <w:tblLayout w:type="fixed"/>
      <w:tblCellMar>
        <w:top w:w="100" w:type="dxa"/>
        <w:left w:w="100" w:type="dxa"/>
        <w:bottom w:w="100" w:type="dxa"/>
        <w:right w:w="100" w:type="dxa"/>
      </w:tblCellMar>
    </w:tblPr>
    <w:tblGrid>
      <w:gridCol w:w="1800"/>
      <w:gridCol w:w="7754"/>
      <w:gridCol w:w="1246"/>
    </w:tblGrid>
    <w:tr>
      <w:trPr/>
      <w:tc>
        <w:tcPr>
          <w:tcW w:w="1800" w:type="dxa"/>
          <w:tcBorders>
            <w:bottom w:val="single" w:sz="8" w:space="0" w:color="FFFFFF"/>
          </w:tcBorders>
        </w:tcPr>
        <w:p>
          <w:pPr>
            <w:pStyle w:val="Normal"/>
            <w:keepNext w:val="false"/>
            <w:keepLines w:val="false"/>
            <w:widowControl w:val="false"/>
            <w:bidi w:val="0"/>
            <w:spacing w:lineRule="auto" w:line="240" w:before="0" w:after="0"/>
            <w:ind w:left="0" w:right="0" w:hanging="0"/>
            <w:jc w:val="left"/>
            <w:rPr>
              <w:rFonts w:ascii="Work Sans" w:hAnsi="Work Sans" w:eastAsia="Work Sans" w:cs="Work Sans"/>
              <w:color w:val="3F1774"/>
              <w:sz w:val="16"/>
              <w:szCs w:val="16"/>
            </w:rPr>
          </w:pPr>
          <w:r>
            <w:rPr>
              <w:rFonts w:eastAsia="Work Sans" w:cs="Work Sans"/>
              <w:color w:val="3F1774"/>
              <w:sz w:val="16"/>
              <w:szCs w:val="16"/>
            </w:rPr>
            <w:drawing>
              <wp:anchor behindDoc="0" distT="114300" distB="114300" distL="114300" distR="114300" simplePos="0" locked="0" layoutInCell="1" allowOverlap="1" relativeHeight="2">
                <wp:simplePos x="0" y="0"/>
                <wp:positionH relativeFrom="column">
                  <wp:posOffset>171450</wp:posOffset>
                </wp:positionH>
                <wp:positionV relativeFrom="paragraph">
                  <wp:posOffset>118110</wp:posOffset>
                </wp:positionV>
                <wp:extent cx="585470" cy="36322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85470" cy="363220"/>
                        </a:xfrm>
                        <a:prstGeom prst="rect">
                          <a:avLst/>
                        </a:prstGeom>
                      </pic:spPr>
                    </pic:pic>
                  </a:graphicData>
                </a:graphic>
              </wp:anchor>
            </w:drawing>
          </w:r>
        </w:p>
      </w:tc>
      <w:tc>
        <w:tcPr>
          <w:tcW w:w="7754" w:type="dxa"/>
          <w:tcBorders/>
        </w:tcPr>
        <w:p>
          <w:pPr>
            <w:pStyle w:val="Subtitle"/>
            <w:widowControl w:val="false"/>
            <w:rPr/>
          </w:pPr>
          <w:bookmarkStart w:id="6" w:name="_tlhocfpv3z8k"/>
          <w:bookmarkEnd w:id="6"/>
          <w:r>
            <w:rPr>
              <w:b/>
              <w:color w:val="3F1774"/>
              <w:sz w:val="16"/>
              <w:szCs w:val="16"/>
            </w:rPr>
            <w:t>Everest HC</w:t>
          </w:r>
          <w:r>
            <w:rPr>
              <w:color w:val="3F1774"/>
              <w:sz w:val="16"/>
              <w:szCs w:val="16"/>
            </w:rPr>
            <w:t xml:space="preserve"> 33 bis Ave du 12 Avril 1915- 13012 Marseille Inscrit à l’ORIAS sous le N° 21 004 610</w:t>
          </w:r>
        </w:p>
        <w:p>
          <w:pPr>
            <w:pStyle w:val="Subtitle"/>
            <w:widowControl w:val="false"/>
            <w:rPr>
              <w:color w:val="3F1774"/>
              <w:sz w:val="16"/>
              <w:szCs w:val="16"/>
            </w:rPr>
          </w:pPr>
          <w:bookmarkStart w:id="7" w:name="_oogivsaf3cwr"/>
          <w:bookmarkEnd w:id="7"/>
          <w:r>
            <w:rPr>
              <w:color w:val="3F1774"/>
              <w:sz w:val="16"/>
              <w:szCs w:val="16"/>
            </w:rPr>
            <w:t>Formalisation du devoir de conseil (myBooster DdC 21-001)</w:t>
          </w:r>
        </w:p>
        <w:p>
          <w:pPr>
            <w:pStyle w:val="Subtitle"/>
            <w:widowControl w:val="false"/>
            <w:rPr>
              <w:color w:val="3F1774"/>
              <w:sz w:val="16"/>
              <w:szCs w:val="16"/>
            </w:rPr>
          </w:pPr>
          <w:bookmarkStart w:id="8" w:name="_yypq7s9orqz1"/>
          <w:bookmarkEnd w:id="8"/>
          <w:r>
            <w:rPr>
              <w:color w:val="3F1774"/>
              <w:sz w:val="16"/>
              <w:szCs w:val="16"/>
            </w:rPr>
            <w:t>Produit : myBooster (Ref. Contrat : 9118)</w:t>
          </w:r>
        </w:p>
      </w:tc>
      <w:tc>
        <w:tcPr>
          <w:tcW w:w="1246" w:type="dxa"/>
          <w:tcBorders/>
        </w:tcPr>
        <w:p>
          <w:pPr>
            <w:pStyle w:val="Normal"/>
            <w:keepNext w:val="false"/>
            <w:keepLines w:val="false"/>
            <w:widowControl w:val="false"/>
            <w:bidi w:val="0"/>
            <w:spacing w:lineRule="auto" w:line="240" w:before="0" w:after="0"/>
            <w:ind w:left="0" w:right="0" w:hanging="0"/>
            <w:jc w:val="right"/>
            <w:rPr/>
          </w:pPr>
          <w:r>
            <w:rPr>
              <w:color w:val="3F1774"/>
              <w:sz w:val="16"/>
              <w:szCs w:val="16"/>
            </w:rPr>
            <w:t xml:space="preserve">Page </w:t>
          </w:r>
          <w:r>
            <w:rPr/>
            <w:fldChar w:fldCharType="begin"/>
          </w:r>
          <w:r>
            <w:rPr/>
            <w:instrText> PAGE </w:instrText>
          </w:r>
          <w:r>
            <w:rPr/>
            <w:fldChar w:fldCharType="separate"/>
          </w:r>
          <w:r>
            <w:rPr/>
            <w:t>1</w:t>
          </w:r>
          <w:r>
            <w:rPr/>
            <w:fldChar w:fldCharType="end"/>
          </w:r>
          <w:r>
            <w:rPr>
              <w:rFonts w:eastAsia="Work Sans" w:cs="Work Sans"/>
              <w:color w:val="3F1774"/>
              <w:sz w:val="16"/>
              <w:szCs w:val="16"/>
            </w:rPr>
            <w:t xml:space="preserve"> sur </w:t>
          </w:r>
          <w:r>
            <w:rPr/>
            <w:fldChar w:fldCharType="begin"/>
          </w:r>
          <w:r>
            <w:rPr/>
            <w:instrText> NUMPAGES </w:instrText>
          </w:r>
          <w:r>
            <w:rPr/>
            <w:fldChar w:fldCharType="separate"/>
          </w:r>
          <w:r>
            <w:rPr/>
            <w:t>1</w:t>
          </w:r>
          <w:r>
            <w:rPr/>
            <w:fldChar w:fldCharType="end"/>
          </w:r>
        </w:p>
      </w:tc>
    </w:tr>
  </w:tbl>
  <w:p>
    <w:pPr>
      <w:pStyle w:val="Subtitle"/>
      <w:rPr>
        <w:color w:val="3F1774"/>
        <w:sz w:val="16"/>
        <w:szCs w:val="16"/>
      </w:rPr>
    </w:pPr>
    <w:r>
      <w:rPr>
        <w:color w:val="3F1774"/>
        <w:sz w:val="16"/>
        <w:szCs w:val="16"/>
      </w:rPr>
    </w:r>
    <w:bookmarkStart w:id="9" w:name="_xk12nkuqlp53"/>
    <w:bookmarkStart w:id="10" w:name="_xk12nkuqlp53"/>
    <w:bookmarkEnd w:id="10"/>
  </w:p>
</w:ft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Work Sans" w:hAnsi="Work Sans" w:eastAsia="Work Sans" w:cs="Work Sans"/>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Work Sans" w:hAnsi="Work Sans" w:eastAsia="Work Sans" w:cs="Work Sans"/>
      <w:color w:val="auto"/>
      <w:kern w:val="0"/>
      <w:sz w:val="22"/>
      <w:szCs w:val="22"/>
      <w:lang w:val="fr-FR" w:eastAsia="zh-CN" w:bidi="hi-IN"/>
    </w:rPr>
  </w:style>
  <w:style w:type="paragraph" w:styleId="Heading1">
    <w:name w:val="Heading 1"/>
    <w:basedOn w:val="LOnormal"/>
    <w:next w:val="Normal"/>
    <w:qFormat/>
    <w:pPr>
      <w:keepNext w:val="true"/>
      <w:keepLines/>
      <w:spacing w:lineRule="auto" w:line="240" w:before="400" w:after="120"/>
    </w:pPr>
    <w:rPr>
      <w:rFonts w:ascii="Work Sans" w:hAnsi="Work Sans" w:eastAsia="Work Sans" w:cs="Work Sans"/>
      <w:b/>
      <w:sz w:val="40"/>
      <w:szCs w:val="40"/>
    </w:rPr>
  </w:style>
  <w:style w:type="paragraph" w:styleId="Heading2">
    <w:name w:val="Heading 2"/>
    <w:basedOn w:val="LOnormal"/>
    <w:next w:val="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Work Sans" w:hAnsi="Work Sans" w:eastAsia="Work Sans" w:cs="Work Sans"/>
      <w:color w:val="auto"/>
      <w:kern w:val="0"/>
      <w:sz w:val="22"/>
      <w:szCs w:val="22"/>
      <w:lang w:val="fr-FR" w:eastAsia="zh-CN" w:bidi="hi-IN"/>
    </w:rPr>
  </w:style>
  <w:style w:type="paragraph" w:styleId="Title">
    <w:name w:val="Title"/>
    <w:basedOn w:val="LOnormal"/>
    <w:next w:val="Normal"/>
    <w:qFormat/>
    <w:pPr>
      <w:keepNext w:val="true"/>
      <w:keepLines/>
      <w:pageBreakBefore w:val="false"/>
      <w:spacing w:lineRule="auto" w:line="240" w:before="0" w:after="60"/>
    </w:pPr>
    <w:rPr>
      <w:sz w:val="52"/>
      <w:szCs w:val="52"/>
    </w:rPr>
  </w:style>
  <w:style w:type="paragraph" w:styleId="Subtitle">
    <w:name w:val="Subtitle"/>
    <w:basedOn w:val="LOnormal"/>
    <w:next w:val="Normal"/>
    <w:qFormat/>
    <w:pPr>
      <w:keepNext w:val="true"/>
      <w:keepLines/>
    </w:pPr>
    <w:rPr>
      <w:rFonts w:ascii="Work Sans" w:hAnsi="Work Sans" w:eastAsia="Work Sans" w:cs="Work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40</TotalTime>
  <Application>LibreOffice/7.2.0.4$Linux_X86_64 LibreOffice_project/20$Build-4</Application>
  <AppVersion>15.0000</AppVersion>
  <Pages>1</Pages>
  <Words>273</Words>
  <Characters>1522</Characters>
  <CharactersWithSpaces>1781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2021-09-07T08:46:58Z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