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rFonts w:ascii="Arial" w:cs="Arial" w:eastAsia="Arial" w:hAnsi="Arial"/>
          <w:b/>
          <w:bCs/>
          <w:color w:val="1E3A5F"/>
          <w:sz w:val="64"/>
          <w:szCs w:val="64"/>
        </w:rPr>
        <w:t xml:space="preserve">NEXARAI</w:t>
      </w:r>
    </w:p>
    <w:p>
      <w:pPr>
        <w:spacing w:after="80" w:before="0"/>
        <w:jc w:val="center"/>
      </w:pPr>
      <w:r>
        <w:rPr>
          <w:rFonts w:ascii="Arial" w:cs="Arial" w:eastAsia="Arial" w:hAnsi="Arial"/>
          <w:color w:val="6B7280"/>
          <w:sz w:val="28"/>
          <w:szCs w:val="28"/>
        </w:rPr>
        <w:t xml:space="preserve">Company Knowledge Base</w:t>
      </w:r>
    </w:p>
    <w:p>
      <w:pPr>
        <w:spacing w:after="1200" w:before="0"/>
        <w:jc w:val="center"/>
      </w:pPr>
      <w:r>
        <w:rPr>
          <w:rFonts w:ascii="Arial" w:cs="Arial" w:eastAsia="Arial" w:hAnsi="Arial"/>
          <w:i/>
          <w:iCs/>
          <w:color w:val="9CA3AF"/>
          <w:sz w:val="20"/>
          <w:szCs w:val="20"/>
        </w:rPr>
        <w:t xml:space="preserve">Confidential — For Internal &amp; Exhibition Use</w:t>
      </w:r>
    </w:p>
    <w:p>
      <w:pPr>
        <w:pBdr>
          <w:bottom w:val="single" w:color="3B82F6" w:sz="4" w:space="1"/>
        </w:pBdr>
        <w:spacing w:after="80" w:before="80"/>
      </w:pPr>
      <w:r>
        <w:t xml:space="preserve"/>
      </w:r>
    </w:p>
    <w:p>
      <w:pPr>
        <w:pStyle w:val="Heading1"/>
        <w:spacing w:after="200" w:before="400"/>
      </w:pPr>
      <w:r>
        <w:rPr>
          <w:rFonts w:ascii="Arial" w:cs="Arial" w:eastAsia="Arial" w:hAnsi="Arial"/>
          <w:b/>
          <w:bCs/>
          <w:sz w:val="32"/>
          <w:szCs w:val="32"/>
        </w:rPr>
        <w:t xml:space="preserve">1. Company Overview</w:t>
      </w:r>
    </w:p>
    <w:p>
      <w:pPr>
        <w:spacing w:after="80" w:before="80"/>
      </w:pPr>
      <w:r>
        <w:rPr>
          <w:rFonts w:ascii="Arial" w:cs="Arial" w:eastAsia="Arial" w:hAnsi="Arial"/>
          <w:sz w:val="22"/>
          <w:szCs w:val="22"/>
        </w:rPr>
        <w:t xml:space="preserve">NexarAI is a San Francisco-based artificial intelligence company founded in 2019 by Dr. Leila Amiri and Marcus Chen. The company's mission is to make enterprise-grade AI accessible, explainable, and safe for organizations of every size — from ambitious startups to Fortune 500 corporations.</w:t>
      </w:r>
    </w:p>
    <w:p>
      <w:pPr>
        <w:spacing w:after="80" w:before="80"/>
      </w:pPr>
      <w:r>
        <w:rPr>
          <w:rFonts w:ascii="Arial" w:cs="Arial" w:eastAsia="Arial" w:hAnsi="Arial"/>
          <w:sz w:val="22"/>
          <w:szCs w:val="22"/>
        </w:rPr>
        <w:t xml:space="preserve">NexarAI operates at the intersection of large language models (LLMs), computer vision, and real-time analytics. Its platform is trusted by over 1,200 customers across 38 countries, processing more than 4 billion AI inference requests per month.</w:t>
      </w:r>
    </w:p>
    <w:p>
      <w:pPr>
        <w:spacing w:after="80" w:before="80"/>
      </w:pPr>
      <w:r>
        <w:rPr>
          <w:rFonts w:ascii="Arial" w:cs="Arial" w:eastAsia="Arial" w:hAnsi="Arial"/>
          <w:sz w:val="22"/>
          <w:szCs w:val="22"/>
        </w:rPr>
        <w:t xml:space="preserve">The company is headquartered in San Francisco's SoMa district, with regional offices in London, Singapore, and Toronto.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Founded</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2019</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Headquarters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San Francisco, CA, USA</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Employees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~780 (as of 2024)</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Funding Stage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Series C — $210M raised</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Key Investors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Sequoia Capital, a16z, Google Ventures</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Annual Revenue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$94M ARR (FY 2023)</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Customers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1,200+ across 38 countries</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Monthly Inferences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4 billion+</w:t>
            </w:r>
          </w:p>
        </w:tc>
      </w:tr>
    </w:tbl>
    <w:p>
      <w:pPr>
        <w:spacing w:after="120" w:before="120"/>
      </w:pPr>
      <w:r>
        <w:t xml:space="preserve"/>
      </w:r>
    </w:p>
    <w:p>
      <w:pPr>
        <w:pStyle w:val="Heading1"/>
        <w:spacing w:after="200" w:before="400"/>
      </w:pPr>
      <w:r>
        <w:rPr>
          <w:rFonts w:ascii="Arial" w:cs="Arial" w:eastAsia="Arial" w:hAnsi="Arial"/>
          <w:b/>
          <w:bCs/>
          <w:sz w:val="32"/>
          <w:szCs w:val="32"/>
        </w:rPr>
        <w:t xml:space="preserve">2. History &amp; Milestones</w:t>
      </w:r>
    </w:p>
    <w:p>
      <w:pPr>
        <w:pStyle w:val="Heading2"/>
        <w:spacing w:after="120" w:before="280"/>
      </w:pPr>
      <w:r>
        <w:rPr>
          <w:rFonts w:ascii="Arial" w:cs="Arial" w:eastAsia="Arial" w:hAnsi="Arial"/>
          <w:b/>
          <w:bCs/>
          <w:sz w:val="26"/>
          <w:szCs w:val="26"/>
        </w:rPr>
        <w:t xml:space="preserve">2019 — Founding</w:t>
      </w:r>
    </w:p>
    <w:p>
      <w:pPr>
        <w:spacing w:after="80" w:before="80"/>
      </w:pPr>
      <w:r>
        <w:rPr>
          <w:rFonts w:ascii="Arial" w:cs="Arial" w:eastAsia="Arial" w:hAnsi="Arial"/>
          <w:sz w:val="22"/>
          <w:szCs w:val="22"/>
        </w:rPr>
        <w:t xml:space="preserve">Dr. Leila Amiri (PhD, Stanford AI Lab) and Marcus Chen (former ML lead at Stripe) founded NexarAI with a seed round of $4M. The founding thesis: most enterprises are locked out of AI due to complexity, cost, and lack of explainability. NexarAI set out to fix all three.</w:t>
      </w:r>
    </w:p>
    <w:p>
      <w:pPr>
        <w:pStyle w:val="Heading2"/>
        <w:spacing w:after="120" w:before="280"/>
      </w:pPr>
      <w:r>
        <w:rPr>
          <w:rFonts w:ascii="Arial" w:cs="Arial" w:eastAsia="Arial" w:hAnsi="Arial"/>
          <w:b/>
          <w:bCs/>
          <w:sz w:val="26"/>
          <w:szCs w:val="26"/>
        </w:rPr>
        <w:t xml:space="preserve">2020 — First Product &amp; Early Traction</w:t>
      </w:r>
    </w:p>
    <w:p>
      <w:pPr>
        <w:spacing w:after="80" w:before="80"/>
      </w:pPr>
      <w:r>
        <w:rPr>
          <w:rFonts w:ascii="Arial" w:cs="Arial" w:eastAsia="Arial" w:hAnsi="Arial"/>
          <w:sz w:val="22"/>
          <w:szCs w:val="22"/>
        </w:rPr>
        <w:t xml:space="preserve">NexarAI launched its flagship NexarCore API — a unified inference platform supporting text, image, and structured data models. The company signed its first enterprise contracts with two Fortune 500 financial-services firms and closed a $22M Series A led by Sequoia Capital.</w:t>
      </w:r>
    </w:p>
    <w:p>
      <w:pPr>
        <w:pStyle w:val="Heading2"/>
        <w:spacing w:after="120" w:before="280"/>
      </w:pPr>
      <w:r>
        <w:rPr>
          <w:rFonts w:ascii="Arial" w:cs="Arial" w:eastAsia="Arial" w:hAnsi="Arial"/>
          <w:b/>
          <w:bCs/>
          <w:sz w:val="26"/>
          <w:szCs w:val="26"/>
        </w:rPr>
        <w:t xml:space="preserve">2021 — Platform Expansion</w:t>
      </w:r>
    </w:p>
    <w:p>
      <w:pPr>
        <w:spacing w:after="80" w:before="80"/>
      </w:pPr>
      <w:r>
        <w:rPr>
          <w:rFonts w:ascii="Arial" w:cs="Arial" w:eastAsia="Arial" w:hAnsi="Arial"/>
          <w:sz w:val="22"/>
          <w:szCs w:val="22"/>
        </w:rPr>
        <w:t xml:space="preserve">The company introduced NexarFlow, a no-code AI workflow builder that enabled non-technical teams to design, test, and deploy AI pipelines without writing code. Customer count grew to 300, and the team expanded to 200 employees. Series B of $68M was raised in Q3 2021.</w:t>
      </w:r>
    </w:p>
    <w:p>
      <w:pPr>
        <w:pStyle w:val="Heading2"/>
        <w:spacing w:after="120" w:before="280"/>
      </w:pPr>
      <w:r>
        <w:rPr>
          <w:rFonts w:ascii="Arial" w:cs="Arial" w:eastAsia="Arial" w:hAnsi="Arial"/>
          <w:b/>
          <w:bCs/>
          <w:sz w:val="26"/>
          <w:szCs w:val="26"/>
        </w:rPr>
        <w:t xml:space="preserve">2022 — International Growth &amp; Compliance</w:t>
      </w:r>
    </w:p>
    <w:p>
      <w:pPr>
        <w:spacing w:after="80" w:before="80"/>
      </w:pPr>
      <w:r>
        <w:rPr>
          <w:rFonts w:ascii="Arial" w:cs="Arial" w:eastAsia="Arial" w:hAnsi="Arial"/>
          <w:sz w:val="22"/>
          <w:szCs w:val="22"/>
        </w:rPr>
        <w:t xml:space="preserve">NexarAI opened offices in London and Singapore to serve EMEA and APAC markets. The company achieved SOC 2 Type II, ISO 27001, and GDPR compliance certifications — a key differentiator in regulated industries like healthcare and finance.</w:t>
      </w:r>
    </w:p>
    <w:p>
      <w:pPr>
        <w:pStyle w:val="Heading2"/>
        <w:spacing w:after="120" w:before="280"/>
      </w:pPr>
      <w:r>
        <w:rPr>
          <w:rFonts w:ascii="Arial" w:cs="Arial" w:eastAsia="Arial" w:hAnsi="Arial"/>
          <w:b/>
          <w:bCs/>
          <w:sz w:val="26"/>
          <w:szCs w:val="26"/>
        </w:rPr>
        <w:t xml:space="preserve">2023 — Generative AI Pivot</w:t>
      </w:r>
    </w:p>
    <w:p>
      <w:pPr>
        <w:spacing w:after="80" w:before="80"/>
      </w:pPr>
      <w:r>
        <w:rPr>
          <w:rFonts w:ascii="Arial" w:cs="Arial" w:eastAsia="Arial" w:hAnsi="Arial"/>
          <w:sz w:val="22"/>
          <w:szCs w:val="22"/>
        </w:rPr>
        <w:t xml:space="preserve">Responding to the LLM revolution, NexarAI launched NexarGen — a fine-tuning and deployment platform for generative AI models. Customers could fine-tune domain-specific LLMs on proprietary data within NexarAI's secure cloud, then deploy them via the existing NexarCore API. Revenue grew 3x YoY. Series C of $116M was raised in September 2023.</w:t>
      </w:r>
    </w:p>
    <w:p>
      <w:pPr>
        <w:pStyle w:val="Heading2"/>
        <w:spacing w:after="120" w:before="280"/>
      </w:pPr>
      <w:r>
        <w:rPr>
          <w:rFonts w:ascii="Arial" w:cs="Arial" w:eastAsia="Arial" w:hAnsi="Arial"/>
          <w:b/>
          <w:bCs/>
          <w:sz w:val="26"/>
          <w:szCs w:val="26"/>
        </w:rPr>
        <w:t xml:space="preserve">2024 — NexarAgent &amp; Real-Time AI</w:t>
      </w:r>
    </w:p>
    <w:p>
      <w:pPr>
        <w:spacing w:after="80" w:before="80"/>
      </w:pPr>
      <w:r>
        <w:rPr>
          <w:rFonts w:ascii="Arial" w:cs="Arial" w:eastAsia="Arial" w:hAnsi="Arial"/>
          <w:sz w:val="22"/>
          <w:szCs w:val="22"/>
        </w:rPr>
        <w:t xml:space="preserve">The company launched NexarAgent, an autonomous multi-agent framework enabling enterprise workflows to be driven end-to-end by AI agents capable of using tools, browsing the web, executing code, and coordinating with other agents. This marked NexarAI's entry into the agentic AI space.</w:t>
      </w:r>
    </w:p>
    <w:p>
      <w:pPr>
        <w:pStyle w:val="Heading1"/>
        <w:spacing w:after="200" w:before="400"/>
      </w:pPr>
      <w:r>
        <w:rPr>
          <w:rFonts w:ascii="Arial" w:cs="Arial" w:eastAsia="Arial" w:hAnsi="Arial"/>
          <w:b/>
          <w:bCs/>
          <w:sz w:val="32"/>
          <w:szCs w:val="32"/>
        </w:rPr>
        <w:t xml:space="preserve">3. Products &amp; Services</w:t>
      </w:r>
    </w:p>
    <w:p>
      <w:pPr>
        <w:pStyle w:val="Heading2"/>
        <w:spacing w:after="120" w:before="280"/>
      </w:pPr>
      <w:r>
        <w:rPr>
          <w:rFonts w:ascii="Arial" w:cs="Arial" w:eastAsia="Arial" w:hAnsi="Arial"/>
          <w:b/>
          <w:bCs/>
          <w:sz w:val="26"/>
          <w:szCs w:val="26"/>
        </w:rPr>
        <w:t xml:space="preserve">3.1 NexarCore — AI Inference API</w:t>
      </w:r>
    </w:p>
    <w:p>
      <w:pPr>
        <w:spacing w:after="80" w:before="80"/>
      </w:pPr>
      <w:r>
        <w:rPr>
          <w:rFonts w:ascii="Arial" w:cs="Arial" w:eastAsia="Arial" w:hAnsi="Arial"/>
          <w:sz w:val="22"/>
          <w:szCs w:val="22"/>
        </w:rPr>
        <w:t xml:space="preserve">NexarCore is NexarAI's foundational product: a unified, low-latency API that gives developers access to hundreds of AI models across modalities (text, image, audio, video, structured data) through a single endpoint.</w:t>
      </w:r>
    </w:p>
    <w:p>
      <w:pPr>
        <w:spacing w:after="100" w:before="200"/>
      </w:pPr>
      <w:r>
        <w:rPr>
          <w:rFonts w:ascii="Arial" w:cs="Arial" w:eastAsia="Arial" w:hAnsi="Arial"/>
          <w:b/>
          <w:bCs/>
          <w:sz w:val="24"/>
          <w:szCs w:val="24"/>
        </w:rPr>
        <w:t xml:space="preserve">Key Features</w:t>
      </w:r>
    </w:p>
    <w:p>
      <w:pPr>
        <w:pStyle w:val="ListParagraph"/>
        <w:numPr>
          <w:ilvl w:val="0"/>
          <w:numId w:val="2"/>
        </w:numPr>
      </w:pPr>
      <w:r>
        <w:rPr>
          <w:rFonts w:ascii="Arial" w:cs="Arial" w:eastAsia="Arial" w:hAnsi="Arial"/>
          <w:sz w:val="22"/>
          <w:szCs w:val="22"/>
        </w:rPr>
        <w:t xml:space="preserve">Model-agnostic routing — automatically selects the best model for each request based on cost, latency, and accuracy targets</w:t>
      </w:r>
    </w:p>
    <w:p>
      <w:pPr>
        <w:pStyle w:val="ListParagraph"/>
        <w:numPr>
          <w:ilvl w:val="0"/>
          <w:numId w:val="2"/>
        </w:numPr>
      </w:pPr>
      <w:r>
        <w:rPr>
          <w:rFonts w:ascii="Arial" w:cs="Arial" w:eastAsia="Arial" w:hAnsi="Arial"/>
          <w:sz w:val="22"/>
          <w:szCs w:val="22"/>
        </w:rPr>
        <w:t xml:space="preserve">Sub-100ms median latency with 99.9% uptime SLA</w:t>
      </w:r>
    </w:p>
    <w:p>
      <w:pPr>
        <w:pStyle w:val="ListParagraph"/>
        <w:numPr>
          <w:ilvl w:val="0"/>
          <w:numId w:val="2"/>
        </w:numPr>
      </w:pPr>
      <w:r>
        <w:rPr>
          <w:rFonts w:ascii="Arial" w:cs="Arial" w:eastAsia="Arial" w:hAnsi="Arial"/>
          <w:sz w:val="22"/>
          <w:szCs w:val="22"/>
        </w:rPr>
        <w:t xml:space="preserve">Private model hosting — customer models never shared across tenants</w:t>
      </w:r>
    </w:p>
    <w:p>
      <w:pPr>
        <w:pStyle w:val="ListParagraph"/>
        <w:numPr>
          <w:ilvl w:val="0"/>
          <w:numId w:val="2"/>
        </w:numPr>
      </w:pPr>
      <w:r>
        <w:rPr>
          <w:rFonts w:ascii="Arial" w:cs="Arial" w:eastAsia="Arial" w:hAnsi="Arial"/>
          <w:sz w:val="22"/>
          <w:szCs w:val="22"/>
        </w:rPr>
        <w:t xml:space="preserve">Streaming support for real-time applications</w:t>
      </w:r>
    </w:p>
    <w:p>
      <w:pPr>
        <w:pStyle w:val="ListParagraph"/>
        <w:numPr>
          <w:ilvl w:val="0"/>
          <w:numId w:val="2"/>
        </w:numPr>
      </w:pPr>
      <w:r>
        <w:rPr>
          <w:rFonts w:ascii="Arial" w:cs="Arial" w:eastAsia="Arial" w:hAnsi="Arial"/>
          <w:sz w:val="22"/>
          <w:szCs w:val="22"/>
        </w:rPr>
        <w:t xml:space="preserve">Native SDKs for Python, JavaScript/TypeScript, Java, Go, and Rust</w:t>
      </w:r>
    </w:p>
    <w:p>
      <w:pPr>
        <w:pStyle w:val="ListParagraph"/>
        <w:numPr>
          <w:ilvl w:val="0"/>
          <w:numId w:val="2"/>
        </w:numPr>
      </w:pPr>
      <w:r>
        <w:rPr>
          <w:rFonts w:ascii="Arial" w:cs="Arial" w:eastAsia="Arial" w:hAnsi="Arial"/>
          <w:sz w:val="22"/>
          <w:szCs w:val="22"/>
        </w:rPr>
        <w:t xml:space="preserve">OpenAI-compatible endpoint for zero-friction migration</w:t>
      </w:r>
    </w:p>
    <w:p>
      <w:pPr>
        <w:spacing w:after="100" w:before="200"/>
      </w:pPr>
      <w:r>
        <w:rPr>
          <w:rFonts w:ascii="Arial" w:cs="Arial" w:eastAsia="Arial" w:hAnsi="Arial"/>
          <w:b/>
          <w:bCs/>
          <w:sz w:val="24"/>
          <w:szCs w:val="24"/>
        </w:rPr>
        <w:t xml:space="preserve">Supported Model Families</w:t>
      </w:r>
    </w:p>
    <w:p>
      <w:pPr>
        <w:pStyle w:val="ListParagraph"/>
        <w:numPr>
          <w:ilvl w:val="0"/>
          <w:numId w:val="2"/>
        </w:numPr>
      </w:pPr>
      <w:r>
        <w:rPr>
          <w:rFonts w:ascii="Arial" w:cs="Arial" w:eastAsia="Arial" w:hAnsi="Arial"/>
          <w:sz w:val="22"/>
          <w:szCs w:val="22"/>
        </w:rPr>
        <w:t xml:space="preserve">Language: GPT-4o, Claude 3.5, Gemini 1.5, Mistral, Llama 3, and NexarAI fine-tuned variants</w:t>
      </w:r>
    </w:p>
    <w:p>
      <w:pPr>
        <w:pStyle w:val="ListParagraph"/>
        <w:numPr>
          <w:ilvl w:val="0"/>
          <w:numId w:val="2"/>
        </w:numPr>
      </w:pPr>
      <w:r>
        <w:rPr>
          <w:rFonts w:ascii="Arial" w:cs="Arial" w:eastAsia="Arial" w:hAnsi="Arial"/>
          <w:sz w:val="22"/>
          <w:szCs w:val="22"/>
        </w:rPr>
        <w:t xml:space="preserve">Vision: CLIP, Florence-2, GPT-4V, Gemini Vision</w:t>
      </w:r>
    </w:p>
    <w:p>
      <w:pPr>
        <w:pStyle w:val="ListParagraph"/>
        <w:numPr>
          <w:ilvl w:val="0"/>
          <w:numId w:val="2"/>
        </w:numPr>
      </w:pPr>
      <w:r>
        <w:rPr>
          <w:rFonts w:ascii="Arial" w:cs="Arial" w:eastAsia="Arial" w:hAnsi="Arial"/>
          <w:sz w:val="22"/>
          <w:szCs w:val="22"/>
        </w:rPr>
        <w:t xml:space="preserve">Speech: Whisper, ElevenLabs TTS, Google WaveNet</w:t>
      </w:r>
    </w:p>
    <w:p>
      <w:pPr>
        <w:pStyle w:val="ListParagraph"/>
        <w:numPr>
          <w:ilvl w:val="0"/>
          <w:numId w:val="2"/>
        </w:numPr>
      </w:pPr>
      <w:r>
        <w:rPr>
          <w:rFonts w:ascii="Arial" w:cs="Arial" w:eastAsia="Arial" w:hAnsi="Arial"/>
          <w:sz w:val="22"/>
          <w:szCs w:val="22"/>
        </w:rPr>
        <w:t xml:space="preserve">Embeddings: text-embedding-3, E5-large, custom fine-tuned</w:t>
      </w:r>
    </w:p>
    <w:p>
      <w:pPr>
        <w:spacing w:after="80" w:before="120"/>
      </w:pPr>
      <w:r>
        <w:t xml:space="preserve"/>
      </w:r>
    </w:p>
    <w:p>
      <w:pPr>
        <w:pStyle w:val="Heading2"/>
        <w:spacing w:after="120" w:before="280"/>
      </w:pPr>
      <w:r>
        <w:rPr>
          <w:rFonts w:ascii="Arial" w:cs="Arial" w:eastAsia="Arial" w:hAnsi="Arial"/>
          <w:b/>
          <w:bCs/>
          <w:sz w:val="26"/>
          <w:szCs w:val="26"/>
        </w:rPr>
        <w:t xml:space="preserve">3.2 NexarGen — Fine-Tuning &amp; Generative AI Platform</w:t>
      </w:r>
    </w:p>
    <w:p>
      <w:pPr>
        <w:spacing w:after="80" w:before="80"/>
      </w:pPr>
      <w:r>
        <w:rPr>
          <w:rFonts w:ascii="Arial" w:cs="Arial" w:eastAsia="Arial" w:hAnsi="Arial"/>
          <w:sz w:val="22"/>
          <w:szCs w:val="22"/>
        </w:rPr>
        <w:t xml:space="preserve">NexarGen allows enterprises to customize foundation models on their proprietary data and deploy them securely. The platform abstracts away the complexity of distributed training, GPU cluster management, and model serving.</w:t>
      </w:r>
    </w:p>
    <w:p>
      <w:pPr>
        <w:spacing w:after="100" w:before="200"/>
      </w:pPr>
      <w:r>
        <w:rPr>
          <w:rFonts w:ascii="Arial" w:cs="Arial" w:eastAsia="Arial" w:hAnsi="Arial"/>
          <w:b/>
          <w:bCs/>
          <w:sz w:val="24"/>
          <w:szCs w:val="24"/>
        </w:rPr>
        <w:t xml:space="preserve">Key Features</w:t>
      </w:r>
    </w:p>
    <w:p>
      <w:pPr>
        <w:pStyle w:val="ListParagraph"/>
        <w:numPr>
          <w:ilvl w:val="0"/>
          <w:numId w:val="2"/>
        </w:numPr>
      </w:pPr>
      <w:r>
        <w:rPr>
          <w:rFonts w:ascii="Arial" w:cs="Arial" w:eastAsia="Arial" w:hAnsi="Arial"/>
          <w:sz w:val="22"/>
          <w:szCs w:val="22"/>
        </w:rPr>
        <w:t xml:space="preserve">Point-and-click fine-tuning — upload data, select a base model, configure hyperparameters, launch</w:t>
      </w:r>
    </w:p>
    <w:p>
      <w:pPr>
        <w:pStyle w:val="ListParagraph"/>
        <w:numPr>
          <w:ilvl w:val="0"/>
          <w:numId w:val="2"/>
        </w:numPr>
      </w:pPr>
      <w:r>
        <w:rPr>
          <w:rFonts w:ascii="Arial" w:cs="Arial" w:eastAsia="Arial" w:hAnsi="Arial"/>
          <w:sz w:val="22"/>
          <w:szCs w:val="22"/>
        </w:rPr>
        <w:t xml:space="preserve">RLHF (Reinforcement Learning from Human Feedback) pipeline for safety and alignment tuning</w:t>
      </w:r>
    </w:p>
    <w:p>
      <w:pPr>
        <w:pStyle w:val="ListParagraph"/>
        <w:numPr>
          <w:ilvl w:val="0"/>
          <w:numId w:val="2"/>
        </w:numPr>
      </w:pPr>
      <w:r>
        <w:rPr>
          <w:rFonts w:ascii="Arial" w:cs="Arial" w:eastAsia="Arial" w:hAnsi="Arial"/>
          <w:sz w:val="22"/>
          <w:szCs w:val="22"/>
        </w:rPr>
        <w:t xml:space="preserve">Retrieval-Augmented Generation (RAG) builder — connect internal knowledge bases, databases, and document stores</w:t>
      </w:r>
    </w:p>
    <w:p>
      <w:pPr>
        <w:pStyle w:val="ListParagraph"/>
        <w:numPr>
          <w:ilvl w:val="0"/>
          <w:numId w:val="2"/>
        </w:numPr>
      </w:pPr>
      <w:r>
        <w:rPr>
          <w:rFonts w:ascii="Arial" w:cs="Arial" w:eastAsia="Arial" w:hAnsi="Arial"/>
          <w:sz w:val="22"/>
          <w:szCs w:val="22"/>
        </w:rPr>
        <w:t xml:space="preserve">Model versioning and A/B testing with traffic splitting</w:t>
      </w:r>
    </w:p>
    <w:p>
      <w:pPr>
        <w:pStyle w:val="ListParagraph"/>
        <w:numPr>
          <w:ilvl w:val="0"/>
          <w:numId w:val="2"/>
        </w:numPr>
      </w:pPr>
      <w:r>
        <w:rPr>
          <w:rFonts w:ascii="Arial" w:cs="Arial" w:eastAsia="Arial" w:hAnsi="Arial"/>
          <w:sz w:val="22"/>
          <w:szCs w:val="22"/>
        </w:rPr>
        <w:t xml:space="preserve">Automatic evaluation suite — benchmarks accuracy, toxicity, hallucination rate, and domain performance</w:t>
      </w:r>
    </w:p>
    <w:p>
      <w:pPr>
        <w:pStyle w:val="ListParagraph"/>
        <w:numPr>
          <w:ilvl w:val="0"/>
          <w:numId w:val="2"/>
        </w:numPr>
      </w:pPr>
      <w:r>
        <w:rPr>
          <w:rFonts w:ascii="Arial" w:cs="Arial" w:eastAsia="Arial" w:hAnsi="Arial"/>
          <w:sz w:val="22"/>
          <w:szCs w:val="22"/>
        </w:rPr>
        <w:t xml:space="preserve">Deployment targets: NexarCore API, private VPC, on-premise bare metal</w:t>
      </w:r>
    </w:p>
    <w:p>
      <w:pPr>
        <w:spacing w:after="100" w:before="200"/>
      </w:pPr>
      <w:r>
        <w:rPr>
          <w:rFonts w:ascii="Arial" w:cs="Arial" w:eastAsia="Arial" w:hAnsi="Arial"/>
          <w:b/>
          <w:bCs/>
          <w:sz w:val="24"/>
          <w:szCs w:val="24"/>
        </w:rPr>
        <w:t xml:space="preserve">Typical Use Cases</w:t>
      </w:r>
    </w:p>
    <w:p>
      <w:pPr>
        <w:pStyle w:val="ListParagraph"/>
        <w:numPr>
          <w:ilvl w:val="0"/>
          <w:numId w:val="2"/>
        </w:numPr>
      </w:pPr>
      <w:r>
        <w:rPr>
          <w:rFonts w:ascii="Arial" w:cs="Arial" w:eastAsia="Arial" w:hAnsi="Arial"/>
          <w:sz w:val="22"/>
          <w:szCs w:val="22"/>
        </w:rPr>
        <w:t xml:space="preserve">Legal firms fine-tuning models on case law and contract templates</w:t>
      </w:r>
    </w:p>
    <w:p>
      <w:pPr>
        <w:pStyle w:val="ListParagraph"/>
        <w:numPr>
          <w:ilvl w:val="0"/>
          <w:numId w:val="2"/>
        </w:numPr>
      </w:pPr>
      <w:r>
        <w:rPr>
          <w:rFonts w:ascii="Arial" w:cs="Arial" w:eastAsia="Arial" w:hAnsi="Arial"/>
          <w:sz w:val="22"/>
          <w:szCs w:val="22"/>
        </w:rPr>
        <w:t xml:space="preserve">Healthcare providers deploying HIPAA-compliant clinical note summarizers</w:t>
      </w:r>
    </w:p>
    <w:p>
      <w:pPr>
        <w:pStyle w:val="ListParagraph"/>
        <w:numPr>
          <w:ilvl w:val="0"/>
          <w:numId w:val="2"/>
        </w:numPr>
      </w:pPr>
      <w:r>
        <w:rPr>
          <w:rFonts w:ascii="Arial" w:cs="Arial" w:eastAsia="Arial" w:hAnsi="Arial"/>
          <w:sz w:val="22"/>
          <w:szCs w:val="22"/>
        </w:rPr>
        <w:t xml:space="preserve">Retailers training product recommendation and customer support models</w:t>
      </w:r>
    </w:p>
    <w:p>
      <w:pPr>
        <w:pStyle w:val="ListParagraph"/>
        <w:numPr>
          <w:ilvl w:val="0"/>
          <w:numId w:val="2"/>
        </w:numPr>
      </w:pPr>
      <w:r>
        <w:rPr>
          <w:rFonts w:ascii="Arial" w:cs="Arial" w:eastAsia="Arial" w:hAnsi="Arial"/>
          <w:sz w:val="22"/>
          <w:szCs w:val="22"/>
        </w:rPr>
        <w:t xml:space="preserve">Financial institutions building fraud detection and document analysis assistants</w:t>
      </w:r>
    </w:p>
    <w:p>
      <w:pPr>
        <w:spacing w:after="80" w:before="120"/>
      </w:pPr>
      <w:r>
        <w:t xml:space="preserve"/>
      </w:r>
    </w:p>
    <w:p>
      <w:pPr>
        <w:pStyle w:val="Heading2"/>
        <w:spacing w:after="120" w:before="280"/>
      </w:pPr>
      <w:r>
        <w:rPr>
          <w:rFonts w:ascii="Arial" w:cs="Arial" w:eastAsia="Arial" w:hAnsi="Arial"/>
          <w:b/>
          <w:bCs/>
          <w:sz w:val="26"/>
          <w:szCs w:val="26"/>
        </w:rPr>
        <w:t xml:space="preserve">3.3 NexarFlow — No-Code AI Workflow Builder</w:t>
      </w:r>
    </w:p>
    <w:p>
      <w:pPr>
        <w:spacing w:after="80" w:before="80"/>
      </w:pPr>
      <w:r>
        <w:rPr>
          <w:rFonts w:ascii="Arial" w:cs="Arial" w:eastAsia="Arial" w:hAnsi="Arial"/>
          <w:sz w:val="22"/>
          <w:szCs w:val="22"/>
        </w:rPr>
        <w:t xml:space="preserve">NexarFlow is a visual drag-and-drop platform that enables business analysts, operations teams, and product managers to build AI-powered automations without writing code.</w:t>
      </w:r>
    </w:p>
    <w:p>
      <w:pPr>
        <w:spacing w:after="100" w:before="200"/>
      </w:pPr>
      <w:r>
        <w:rPr>
          <w:rFonts w:ascii="Arial" w:cs="Arial" w:eastAsia="Arial" w:hAnsi="Arial"/>
          <w:b/>
          <w:bCs/>
          <w:sz w:val="24"/>
          <w:szCs w:val="24"/>
        </w:rPr>
        <w:t xml:space="preserve">Key Features</w:t>
      </w:r>
    </w:p>
    <w:p>
      <w:pPr>
        <w:pStyle w:val="ListParagraph"/>
        <w:numPr>
          <w:ilvl w:val="0"/>
          <w:numId w:val="2"/>
        </w:numPr>
      </w:pPr>
      <w:r>
        <w:rPr>
          <w:rFonts w:ascii="Arial" w:cs="Arial" w:eastAsia="Arial" w:hAnsi="Arial"/>
          <w:sz w:val="22"/>
          <w:szCs w:val="22"/>
        </w:rPr>
        <w:t xml:space="preserve">300+ pre-built AI blocks: summarizers, classifiers, translators, image analyzers, data extractors</w:t>
      </w:r>
    </w:p>
    <w:p>
      <w:pPr>
        <w:pStyle w:val="ListParagraph"/>
        <w:numPr>
          <w:ilvl w:val="0"/>
          <w:numId w:val="2"/>
        </w:numPr>
      </w:pPr>
      <w:r>
        <w:rPr>
          <w:rFonts w:ascii="Arial" w:cs="Arial" w:eastAsia="Arial" w:hAnsi="Arial"/>
          <w:sz w:val="22"/>
          <w:szCs w:val="22"/>
        </w:rPr>
        <w:t xml:space="preserve">Trigger integrations: Slack, email, Salesforce, HubSpot, Jira, Zapier, webhooks</w:t>
      </w:r>
    </w:p>
    <w:p>
      <w:pPr>
        <w:pStyle w:val="ListParagraph"/>
        <w:numPr>
          <w:ilvl w:val="0"/>
          <w:numId w:val="2"/>
        </w:numPr>
      </w:pPr>
      <w:r>
        <w:rPr>
          <w:rFonts w:ascii="Arial" w:cs="Arial" w:eastAsia="Arial" w:hAnsi="Arial"/>
          <w:sz w:val="22"/>
          <w:szCs w:val="22"/>
        </w:rPr>
        <w:t xml:space="preserve">Conditional branching, loops, and human-in-the-loop approval steps</w:t>
      </w:r>
    </w:p>
    <w:p>
      <w:pPr>
        <w:pStyle w:val="ListParagraph"/>
        <w:numPr>
          <w:ilvl w:val="0"/>
          <w:numId w:val="2"/>
        </w:numPr>
      </w:pPr>
      <w:r>
        <w:rPr>
          <w:rFonts w:ascii="Arial" w:cs="Arial" w:eastAsia="Arial" w:hAnsi="Arial"/>
          <w:sz w:val="22"/>
          <w:szCs w:val="22"/>
        </w:rPr>
        <w:t xml:space="preserve">Built-in version history and rollback</w:t>
      </w:r>
    </w:p>
    <w:p>
      <w:pPr>
        <w:pStyle w:val="ListParagraph"/>
        <w:numPr>
          <w:ilvl w:val="0"/>
          <w:numId w:val="2"/>
        </w:numPr>
      </w:pPr>
      <w:r>
        <w:rPr>
          <w:rFonts w:ascii="Arial" w:cs="Arial" w:eastAsia="Arial" w:hAnsi="Arial"/>
          <w:sz w:val="22"/>
          <w:szCs w:val="22"/>
        </w:rPr>
        <w:t xml:space="preserve">Shareable workflow templates and a community marketplace</w:t>
      </w:r>
    </w:p>
    <w:p>
      <w:pPr>
        <w:pStyle w:val="ListParagraph"/>
        <w:numPr>
          <w:ilvl w:val="0"/>
          <w:numId w:val="2"/>
        </w:numPr>
      </w:pPr>
      <w:r>
        <w:rPr>
          <w:rFonts w:ascii="Arial" w:cs="Arial" w:eastAsia="Arial" w:hAnsi="Arial"/>
          <w:sz w:val="22"/>
          <w:szCs w:val="22"/>
        </w:rPr>
        <w:t xml:space="preserve">Real-time execution logs and alerting</w:t>
      </w:r>
    </w:p>
    <w:p>
      <w:pPr>
        <w:spacing w:after="100" w:before="200"/>
      </w:pPr>
      <w:r>
        <w:rPr>
          <w:rFonts w:ascii="Arial" w:cs="Arial" w:eastAsia="Arial" w:hAnsi="Arial"/>
          <w:b/>
          <w:bCs/>
          <w:sz w:val="24"/>
          <w:szCs w:val="24"/>
        </w:rPr>
        <w:t xml:space="preserve">Popular Workflow Templates</w:t>
      </w:r>
    </w:p>
    <w:p>
      <w:pPr>
        <w:pStyle w:val="ListParagraph"/>
        <w:numPr>
          <w:ilvl w:val="0"/>
          <w:numId w:val="2"/>
        </w:numPr>
      </w:pPr>
      <w:r>
        <w:rPr>
          <w:rFonts w:ascii="Arial" w:cs="Arial" w:eastAsia="Arial" w:hAnsi="Arial"/>
          <w:sz w:val="22"/>
          <w:szCs w:val="22"/>
        </w:rPr>
        <w:t xml:space="preserve">Contract review and clause extraction</w:t>
      </w:r>
    </w:p>
    <w:p>
      <w:pPr>
        <w:pStyle w:val="ListParagraph"/>
        <w:numPr>
          <w:ilvl w:val="0"/>
          <w:numId w:val="2"/>
        </w:numPr>
      </w:pPr>
      <w:r>
        <w:rPr>
          <w:rFonts w:ascii="Arial" w:cs="Arial" w:eastAsia="Arial" w:hAnsi="Arial"/>
          <w:sz w:val="22"/>
          <w:szCs w:val="22"/>
        </w:rPr>
        <w:t xml:space="preserve">Customer support ticket categorization and routing</w:t>
      </w:r>
    </w:p>
    <w:p>
      <w:pPr>
        <w:pStyle w:val="ListParagraph"/>
        <w:numPr>
          <w:ilvl w:val="0"/>
          <w:numId w:val="2"/>
        </w:numPr>
      </w:pPr>
      <w:r>
        <w:rPr>
          <w:rFonts w:ascii="Arial" w:cs="Arial" w:eastAsia="Arial" w:hAnsi="Arial"/>
          <w:sz w:val="22"/>
          <w:szCs w:val="22"/>
        </w:rPr>
        <w:t xml:space="preserve">Automated meeting notes and action-item extraction</w:t>
      </w:r>
    </w:p>
    <w:p>
      <w:pPr>
        <w:pStyle w:val="ListParagraph"/>
        <w:numPr>
          <w:ilvl w:val="0"/>
          <w:numId w:val="2"/>
        </w:numPr>
      </w:pPr>
      <w:r>
        <w:rPr>
          <w:rFonts w:ascii="Arial" w:cs="Arial" w:eastAsia="Arial" w:hAnsi="Arial"/>
          <w:sz w:val="22"/>
          <w:szCs w:val="22"/>
        </w:rPr>
        <w:t xml:space="preserve">Social media content moderation</w:t>
      </w:r>
    </w:p>
    <w:p>
      <w:pPr>
        <w:pStyle w:val="ListParagraph"/>
        <w:numPr>
          <w:ilvl w:val="0"/>
          <w:numId w:val="2"/>
        </w:numPr>
      </w:pPr>
      <w:r>
        <w:rPr>
          <w:rFonts w:ascii="Arial" w:cs="Arial" w:eastAsia="Arial" w:hAnsi="Arial"/>
          <w:sz w:val="22"/>
          <w:szCs w:val="22"/>
        </w:rPr>
        <w:t xml:space="preserve">Invoice processing and ERP data entry</w:t>
      </w:r>
    </w:p>
    <w:p>
      <w:pPr>
        <w:spacing w:after="80" w:before="120"/>
      </w:pPr>
      <w:r>
        <w:t xml:space="preserve"/>
      </w:r>
    </w:p>
    <w:p>
      <w:pPr>
        <w:pStyle w:val="Heading2"/>
        <w:spacing w:after="120" w:before="280"/>
      </w:pPr>
      <w:r>
        <w:rPr>
          <w:rFonts w:ascii="Arial" w:cs="Arial" w:eastAsia="Arial" w:hAnsi="Arial"/>
          <w:b/>
          <w:bCs/>
          <w:sz w:val="26"/>
          <w:szCs w:val="26"/>
        </w:rPr>
        <w:t xml:space="preserve">3.4 NexarAgent — Autonomous AI Agent Framework</w:t>
      </w:r>
    </w:p>
    <w:p>
      <w:pPr>
        <w:spacing w:after="80" w:before="80"/>
      </w:pPr>
      <w:r>
        <w:rPr>
          <w:rFonts w:ascii="Arial" w:cs="Arial" w:eastAsia="Arial" w:hAnsi="Arial"/>
          <w:sz w:val="22"/>
          <w:szCs w:val="22"/>
        </w:rPr>
        <w:t xml:space="preserve">NexarAgent is NexarAI's newest and most advanced product (launched Q1 2024). It provides a managed runtime for deploying autonomous AI agents that can reason over long horizons, use external tools, and coordinate with one another to complete complex enterprise tasks.</w:t>
      </w:r>
    </w:p>
    <w:p>
      <w:pPr>
        <w:spacing w:after="100" w:before="200"/>
      </w:pPr>
      <w:r>
        <w:rPr>
          <w:rFonts w:ascii="Arial" w:cs="Arial" w:eastAsia="Arial" w:hAnsi="Arial"/>
          <w:b/>
          <w:bCs/>
          <w:sz w:val="24"/>
          <w:szCs w:val="24"/>
        </w:rPr>
        <w:t xml:space="preserve">Architecture</w:t>
      </w:r>
    </w:p>
    <w:p>
      <w:pPr>
        <w:spacing w:after="80" w:before="80"/>
      </w:pPr>
      <w:r>
        <w:rPr>
          <w:rFonts w:ascii="Arial" w:cs="Arial" w:eastAsia="Arial" w:hAnsi="Arial"/>
          <w:sz w:val="22"/>
          <w:szCs w:val="22"/>
        </w:rPr>
        <w:t xml:space="preserve">NexarAgent is built on a hierarchical multi-agent architecture. An Orchestrator Agent decomposes high-level goals into subtasks and assigns them to specialized Sub-Agents. Sub-Agents are equipped with tool modules:</w:t>
      </w:r>
    </w:p>
    <w:p>
      <w:pPr>
        <w:pStyle w:val="ListParagraph"/>
        <w:numPr>
          <w:ilvl w:val="0"/>
          <w:numId w:val="2"/>
        </w:numPr>
      </w:pPr>
      <w:r>
        <w:rPr>
          <w:rFonts w:ascii="Arial" w:cs="Arial" w:eastAsia="Arial" w:hAnsi="Arial"/>
          <w:sz w:val="22"/>
          <w:szCs w:val="22"/>
        </w:rPr>
        <w:t xml:space="preserve">Web browser — search, navigate, and extract data from the web</w:t>
      </w:r>
    </w:p>
    <w:p>
      <w:pPr>
        <w:pStyle w:val="ListParagraph"/>
        <w:numPr>
          <w:ilvl w:val="0"/>
          <w:numId w:val="2"/>
        </w:numPr>
      </w:pPr>
      <w:r>
        <w:rPr>
          <w:rFonts w:ascii="Arial" w:cs="Arial" w:eastAsia="Arial" w:hAnsi="Arial"/>
          <w:sz w:val="22"/>
          <w:szCs w:val="22"/>
        </w:rPr>
        <w:t xml:space="preserve">Code interpreter — write and execute Python, JavaScript, and SQL</w:t>
      </w:r>
    </w:p>
    <w:p>
      <w:pPr>
        <w:pStyle w:val="ListParagraph"/>
        <w:numPr>
          <w:ilvl w:val="0"/>
          <w:numId w:val="2"/>
        </w:numPr>
      </w:pPr>
      <w:r>
        <w:rPr>
          <w:rFonts w:ascii="Arial" w:cs="Arial" w:eastAsia="Arial" w:hAnsi="Arial"/>
          <w:sz w:val="22"/>
          <w:szCs w:val="22"/>
        </w:rPr>
        <w:t xml:space="preserve">File system — read/write documents, spreadsheets, and data files</w:t>
      </w:r>
    </w:p>
    <w:p>
      <w:pPr>
        <w:pStyle w:val="ListParagraph"/>
        <w:numPr>
          <w:ilvl w:val="0"/>
          <w:numId w:val="2"/>
        </w:numPr>
      </w:pPr>
      <w:r>
        <w:rPr>
          <w:rFonts w:ascii="Arial" w:cs="Arial" w:eastAsia="Arial" w:hAnsi="Arial"/>
          <w:sz w:val="22"/>
          <w:szCs w:val="22"/>
        </w:rPr>
        <w:t xml:space="preserve">API connector — call any REST/GraphQL API with OAuth support</w:t>
      </w:r>
    </w:p>
    <w:p>
      <w:pPr>
        <w:pStyle w:val="ListParagraph"/>
        <w:numPr>
          <w:ilvl w:val="0"/>
          <w:numId w:val="2"/>
        </w:numPr>
      </w:pPr>
      <w:r>
        <w:rPr>
          <w:rFonts w:ascii="Arial" w:cs="Arial" w:eastAsia="Arial" w:hAnsi="Arial"/>
          <w:sz w:val="22"/>
          <w:szCs w:val="22"/>
        </w:rPr>
        <w:t xml:space="preserve">Database connector — query PostgreSQL, MySQL, BigQuery, Snowflake</w:t>
      </w:r>
    </w:p>
    <w:p>
      <w:pPr>
        <w:pStyle w:val="ListParagraph"/>
        <w:numPr>
          <w:ilvl w:val="0"/>
          <w:numId w:val="2"/>
        </w:numPr>
      </w:pPr>
      <w:r>
        <w:rPr>
          <w:rFonts w:ascii="Arial" w:cs="Arial" w:eastAsia="Arial" w:hAnsi="Arial"/>
          <w:sz w:val="22"/>
          <w:szCs w:val="22"/>
        </w:rPr>
        <w:t xml:space="preserve">Email &amp; calendar — send emails, schedule meetings, manage inboxes</w:t>
      </w:r>
    </w:p>
    <w:p>
      <w:pPr>
        <w:spacing w:after="100" w:before="200"/>
      </w:pPr>
      <w:r>
        <w:rPr>
          <w:rFonts w:ascii="Arial" w:cs="Arial" w:eastAsia="Arial" w:hAnsi="Arial"/>
          <w:b/>
          <w:bCs/>
          <w:sz w:val="24"/>
          <w:szCs w:val="24"/>
        </w:rPr>
        <w:t xml:space="preserve">Key Features</w:t>
      </w:r>
    </w:p>
    <w:p>
      <w:pPr>
        <w:pStyle w:val="ListParagraph"/>
        <w:numPr>
          <w:ilvl w:val="0"/>
          <w:numId w:val="2"/>
        </w:numPr>
      </w:pPr>
      <w:r>
        <w:rPr>
          <w:rFonts w:ascii="Arial" w:cs="Arial" w:eastAsia="Arial" w:hAnsi="Arial"/>
          <w:sz w:val="22"/>
          <w:szCs w:val="22"/>
        </w:rPr>
        <w:t xml:space="preserve">Long-context memory — agents maintain context across multi-day tasks using vector memory</w:t>
      </w:r>
    </w:p>
    <w:p>
      <w:pPr>
        <w:pStyle w:val="ListParagraph"/>
        <w:numPr>
          <w:ilvl w:val="0"/>
          <w:numId w:val="2"/>
        </w:numPr>
      </w:pPr>
      <w:r>
        <w:rPr>
          <w:rFonts w:ascii="Arial" w:cs="Arial" w:eastAsia="Arial" w:hAnsi="Arial"/>
          <w:sz w:val="22"/>
          <w:szCs w:val="22"/>
        </w:rPr>
        <w:t xml:space="preserve">Human-in-the-loop checkpoints — configurable approval gates before irreversible actions</w:t>
      </w:r>
    </w:p>
    <w:p>
      <w:pPr>
        <w:pStyle w:val="ListParagraph"/>
        <w:numPr>
          <w:ilvl w:val="0"/>
          <w:numId w:val="2"/>
        </w:numPr>
      </w:pPr>
      <w:r>
        <w:rPr>
          <w:rFonts w:ascii="Arial" w:cs="Arial" w:eastAsia="Arial" w:hAnsi="Arial"/>
          <w:sz w:val="22"/>
          <w:szCs w:val="22"/>
        </w:rPr>
        <w:t xml:space="preserve">Audit trail — every agent action is logged with a full reasoning trace for compliance</w:t>
      </w:r>
    </w:p>
    <w:p>
      <w:pPr>
        <w:pStyle w:val="ListParagraph"/>
        <w:numPr>
          <w:ilvl w:val="0"/>
          <w:numId w:val="2"/>
        </w:numPr>
      </w:pPr>
      <w:r>
        <w:rPr>
          <w:rFonts w:ascii="Arial" w:cs="Arial" w:eastAsia="Arial" w:hAnsi="Arial"/>
          <w:sz w:val="22"/>
          <w:szCs w:val="22"/>
        </w:rPr>
        <w:t xml:space="preserve">Sandboxed execution — code and browser actions run in isolated containers</w:t>
      </w:r>
    </w:p>
    <w:p>
      <w:pPr>
        <w:pStyle w:val="ListParagraph"/>
        <w:numPr>
          <w:ilvl w:val="0"/>
          <w:numId w:val="2"/>
        </w:numPr>
      </w:pPr>
      <w:r>
        <w:rPr>
          <w:rFonts w:ascii="Arial" w:cs="Arial" w:eastAsia="Arial" w:hAnsi="Arial"/>
          <w:sz w:val="22"/>
          <w:szCs w:val="22"/>
        </w:rPr>
        <w:t xml:space="preserve">Agent-to-agent messaging — agents can spawn, delegate to, and monitor other agents</w:t>
      </w:r>
    </w:p>
    <w:p>
      <w:pPr>
        <w:spacing w:after="100" w:before="200"/>
      </w:pPr>
      <w:r>
        <w:rPr>
          <w:rFonts w:ascii="Arial" w:cs="Arial" w:eastAsia="Arial" w:hAnsi="Arial"/>
          <w:b/>
          <w:bCs/>
          <w:sz w:val="24"/>
          <w:szCs w:val="24"/>
        </w:rPr>
        <w:t xml:space="preserve">Enterprise Use Cases</w:t>
      </w:r>
    </w:p>
    <w:p>
      <w:pPr>
        <w:pStyle w:val="ListParagraph"/>
        <w:numPr>
          <w:ilvl w:val="0"/>
          <w:numId w:val="2"/>
        </w:numPr>
      </w:pPr>
      <w:r>
        <w:rPr>
          <w:rFonts w:ascii="Arial" w:cs="Arial" w:eastAsia="Arial" w:hAnsi="Arial"/>
          <w:sz w:val="22"/>
          <w:szCs w:val="22"/>
        </w:rPr>
        <w:t xml:space="preserve">Automated financial reporting: agents pull data from ERP, write analysis, generate slides, and email the CFO</w:t>
      </w:r>
    </w:p>
    <w:p>
      <w:pPr>
        <w:pStyle w:val="ListParagraph"/>
        <w:numPr>
          <w:ilvl w:val="0"/>
          <w:numId w:val="2"/>
        </w:numPr>
      </w:pPr>
      <w:r>
        <w:rPr>
          <w:rFonts w:ascii="Arial" w:cs="Arial" w:eastAsia="Arial" w:hAnsi="Arial"/>
          <w:sz w:val="22"/>
          <w:szCs w:val="22"/>
        </w:rPr>
        <w:t xml:space="preserve">Competitive intelligence: continuous monitoring of competitor websites, news, and patent filings</w:t>
      </w:r>
    </w:p>
    <w:p>
      <w:pPr>
        <w:pStyle w:val="ListParagraph"/>
        <w:numPr>
          <w:ilvl w:val="0"/>
          <w:numId w:val="2"/>
        </w:numPr>
      </w:pPr>
      <w:r>
        <w:rPr>
          <w:rFonts w:ascii="Arial" w:cs="Arial" w:eastAsia="Arial" w:hAnsi="Arial"/>
          <w:sz w:val="22"/>
          <w:szCs w:val="22"/>
        </w:rPr>
        <w:t xml:space="preserve">IT helpdesk automation: agents diagnose, escalate, and resolve L1/L2 tickets end-to-end</w:t>
      </w:r>
    </w:p>
    <w:p>
      <w:pPr>
        <w:pStyle w:val="ListParagraph"/>
        <w:numPr>
          <w:ilvl w:val="0"/>
          <w:numId w:val="2"/>
        </w:numPr>
      </w:pPr>
      <w:r>
        <w:rPr>
          <w:rFonts w:ascii="Arial" w:cs="Arial" w:eastAsia="Arial" w:hAnsi="Arial"/>
          <w:sz w:val="22"/>
          <w:szCs w:val="22"/>
        </w:rPr>
        <w:t xml:space="preserve">Supply chain monitoring: agents track shipments, flag anomalies, and negotiate with vendors</w:t>
      </w:r>
    </w:p>
    <w:p>
      <w:pPr>
        <w:spacing w:after="80" w:before="120"/>
      </w:pPr>
      <w:r>
        <w:t xml:space="preserve"/>
      </w:r>
    </w:p>
    <w:p>
      <w:pPr>
        <w:pStyle w:val="Heading2"/>
        <w:spacing w:after="120" w:before="280"/>
      </w:pPr>
      <w:r>
        <w:rPr>
          <w:rFonts w:ascii="Arial" w:cs="Arial" w:eastAsia="Arial" w:hAnsi="Arial"/>
          <w:b/>
          <w:bCs/>
          <w:sz w:val="26"/>
          <w:szCs w:val="26"/>
        </w:rPr>
        <w:t xml:space="preserve">3.5 NexarShield — AI Safety &amp; Governance</w:t>
      </w:r>
    </w:p>
    <w:p>
      <w:pPr>
        <w:spacing w:after="80" w:before="80"/>
      </w:pPr>
      <w:r>
        <w:rPr>
          <w:rFonts w:ascii="Arial" w:cs="Arial" w:eastAsia="Arial" w:hAnsi="Arial"/>
          <w:sz w:val="22"/>
          <w:szCs w:val="22"/>
        </w:rPr>
        <w:t xml:space="preserve">NexarShield is the compliance and safety layer embedded across all NexarAI products. It provides guardrails, monitoring, and reporting tools that help enterprises meet regulatory requirements and maintain trust in AI systems.</w:t>
      </w:r>
    </w:p>
    <w:p>
      <w:pPr>
        <w:spacing w:after="100" w:before="200"/>
      </w:pPr>
      <w:r>
        <w:rPr>
          <w:rFonts w:ascii="Arial" w:cs="Arial" w:eastAsia="Arial" w:hAnsi="Arial"/>
          <w:b/>
          <w:bCs/>
          <w:sz w:val="24"/>
          <w:szCs w:val="24"/>
        </w:rPr>
        <w:t xml:space="preserve">Capabilities</w:t>
      </w:r>
    </w:p>
    <w:p>
      <w:pPr>
        <w:pStyle w:val="ListParagraph"/>
        <w:numPr>
          <w:ilvl w:val="0"/>
          <w:numId w:val="2"/>
        </w:numPr>
      </w:pPr>
      <w:r>
        <w:rPr>
          <w:rFonts w:ascii="Arial" w:cs="Arial" w:eastAsia="Arial" w:hAnsi="Arial"/>
          <w:sz w:val="22"/>
          <w:szCs w:val="22"/>
        </w:rPr>
        <w:t xml:space="preserve">Content safety filters — detect and block toxic, harmful, or policy-violating outputs in real time</w:t>
      </w:r>
    </w:p>
    <w:p>
      <w:pPr>
        <w:pStyle w:val="ListParagraph"/>
        <w:numPr>
          <w:ilvl w:val="0"/>
          <w:numId w:val="2"/>
        </w:numPr>
      </w:pPr>
      <w:r>
        <w:rPr>
          <w:rFonts w:ascii="Arial" w:cs="Arial" w:eastAsia="Arial" w:hAnsi="Arial"/>
          <w:sz w:val="22"/>
          <w:szCs w:val="22"/>
        </w:rPr>
        <w:t xml:space="preserve">PII detection and redaction — automatically masks sensitive data before it reaches the model</w:t>
      </w:r>
    </w:p>
    <w:p>
      <w:pPr>
        <w:pStyle w:val="ListParagraph"/>
        <w:numPr>
          <w:ilvl w:val="0"/>
          <w:numId w:val="2"/>
        </w:numPr>
      </w:pPr>
      <w:r>
        <w:rPr>
          <w:rFonts w:ascii="Arial" w:cs="Arial" w:eastAsia="Arial" w:hAnsi="Arial"/>
          <w:sz w:val="22"/>
          <w:szCs w:val="22"/>
        </w:rPr>
        <w:t xml:space="preserve">Bias and fairness auditing — statistical reports on model output distributions across demographic groups</w:t>
      </w:r>
    </w:p>
    <w:p>
      <w:pPr>
        <w:pStyle w:val="ListParagraph"/>
        <w:numPr>
          <w:ilvl w:val="0"/>
          <w:numId w:val="2"/>
        </w:numPr>
      </w:pPr>
      <w:r>
        <w:rPr>
          <w:rFonts w:ascii="Arial" w:cs="Arial" w:eastAsia="Arial" w:hAnsi="Arial"/>
          <w:sz w:val="22"/>
          <w:szCs w:val="22"/>
        </w:rPr>
        <w:t xml:space="preserve">Prompt injection defense — detects and neutralizes adversarial prompt attacks</w:t>
      </w:r>
    </w:p>
    <w:p>
      <w:pPr>
        <w:pStyle w:val="ListParagraph"/>
        <w:numPr>
          <w:ilvl w:val="0"/>
          <w:numId w:val="2"/>
        </w:numPr>
      </w:pPr>
      <w:r>
        <w:rPr>
          <w:rFonts w:ascii="Arial" w:cs="Arial" w:eastAsia="Arial" w:hAnsi="Arial"/>
          <w:sz w:val="22"/>
          <w:szCs w:val="22"/>
        </w:rPr>
        <w:t xml:space="preserve">Hallucination scoring — confidence-calibrated responses with source attribution</w:t>
      </w:r>
    </w:p>
    <w:p>
      <w:pPr>
        <w:pStyle w:val="ListParagraph"/>
        <w:numPr>
          <w:ilvl w:val="0"/>
          <w:numId w:val="2"/>
        </w:numPr>
      </w:pPr>
      <w:r>
        <w:rPr>
          <w:rFonts w:ascii="Arial" w:cs="Arial" w:eastAsia="Arial" w:hAnsi="Arial"/>
          <w:sz w:val="22"/>
          <w:szCs w:val="22"/>
        </w:rPr>
        <w:t xml:space="preserve">Regulatory reporting — pre-built reports for EU AI Act, NIST AI RMF, and HIPAA/SOC 2</w:t>
      </w:r>
    </w:p>
    <w:p>
      <w:pPr>
        <w:pStyle w:val="Heading1"/>
        <w:spacing w:after="200" w:before="400"/>
      </w:pPr>
      <w:r>
        <w:rPr>
          <w:rFonts w:ascii="Arial" w:cs="Arial" w:eastAsia="Arial" w:hAnsi="Arial"/>
          <w:b/>
          <w:bCs/>
          <w:sz w:val="32"/>
          <w:szCs w:val="32"/>
        </w:rPr>
        <w:t xml:space="preserve">4. Technology &amp; Infrastructure</w:t>
      </w:r>
    </w:p>
    <w:p>
      <w:pPr>
        <w:spacing w:after="80" w:before="80"/>
      </w:pPr>
      <w:r>
        <w:rPr>
          <w:rFonts w:ascii="Arial" w:cs="Arial" w:eastAsia="Arial" w:hAnsi="Arial"/>
          <w:sz w:val="22"/>
          <w:szCs w:val="22"/>
        </w:rPr>
        <w:t xml:space="preserve">NexarAI's platform is built on a cloud-native, multi-cloud architecture spanning AWS, Google Cloud, and Azure. The core inference stack uses a custom-built model router, NVIDIA H100 and A100 GPU clusters, and an optimized inference runtime based on vLLM with proprietary extensions for speculative decoding and continuous batching.</w:t>
      </w:r>
    </w:p>
    <w:p>
      <w:pPr>
        <w:spacing w:after="100" w:before="200"/>
      </w:pPr>
      <w:r>
        <w:rPr>
          <w:rFonts w:ascii="Arial" w:cs="Arial" w:eastAsia="Arial" w:hAnsi="Arial"/>
          <w:b/>
          <w:bCs/>
          <w:sz w:val="24"/>
          <w:szCs w:val="24"/>
        </w:rPr>
        <w:t xml:space="preserve">Performance Benchmarks</w:t>
      </w:r>
    </w:p>
    <w:p>
      <w:pPr>
        <w:pStyle w:val="ListParagraph"/>
        <w:numPr>
          <w:ilvl w:val="0"/>
          <w:numId w:val="2"/>
        </w:numPr>
      </w:pPr>
      <w:r>
        <w:rPr>
          <w:rFonts w:ascii="Arial" w:cs="Arial" w:eastAsia="Arial" w:hAnsi="Arial"/>
          <w:sz w:val="22"/>
          <w:szCs w:val="22"/>
        </w:rPr>
        <w:t xml:space="preserve">NexarCore median latency: 87ms (text generation, 200-token response)</w:t>
      </w:r>
    </w:p>
    <w:p>
      <w:pPr>
        <w:pStyle w:val="ListParagraph"/>
        <w:numPr>
          <w:ilvl w:val="0"/>
          <w:numId w:val="2"/>
        </w:numPr>
      </w:pPr>
      <w:r>
        <w:rPr>
          <w:rFonts w:ascii="Arial" w:cs="Arial" w:eastAsia="Arial" w:hAnsi="Arial"/>
          <w:sz w:val="22"/>
          <w:szCs w:val="22"/>
        </w:rPr>
        <w:t xml:space="preserve">Throughput: 1.2 million tokens per second across the cluster</w:t>
      </w:r>
    </w:p>
    <w:p>
      <w:pPr>
        <w:pStyle w:val="ListParagraph"/>
        <w:numPr>
          <w:ilvl w:val="0"/>
          <w:numId w:val="2"/>
        </w:numPr>
      </w:pPr>
      <w:r>
        <w:rPr>
          <w:rFonts w:ascii="Arial" w:cs="Arial" w:eastAsia="Arial" w:hAnsi="Arial"/>
          <w:sz w:val="22"/>
          <w:szCs w:val="22"/>
        </w:rPr>
        <w:t xml:space="preserve">Uptime SLA: 99.95% (enterprise tier), 99.9% (growth tier)</w:t>
      </w:r>
    </w:p>
    <w:p>
      <w:pPr>
        <w:pStyle w:val="ListParagraph"/>
        <w:numPr>
          <w:ilvl w:val="0"/>
          <w:numId w:val="2"/>
        </w:numPr>
      </w:pPr>
      <w:r>
        <w:rPr>
          <w:rFonts w:ascii="Arial" w:cs="Arial" w:eastAsia="Arial" w:hAnsi="Arial"/>
          <w:sz w:val="22"/>
          <w:szCs w:val="22"/>
        </w:rPr>
        <w:t xml:space="preserve">Cold-start time for fine-tuned models: &lt;3 seconds</w:t>
      </w:r>
    </w:p>
    <w:p>
      <w:pPr>
        <w:spacing w:after="100" w:before="200"/>
      </w:pPr>
      <w:r>
        <w:rPr>
          <w:rFonts w:ascii="Arial" w:cs="Arial" w:eastAsia="Arial" w:hAnsi="Arial"/>
          <w:b/>
          <w:bCs/>
          <w:sz w:val="24"/>
          <w:szCs w:val="24"/>
        </w:rPr>
        <w:t xml:space="preserve">Security Architecture</w:t>
      </w:r>
    </w:p>
    <w:p>
      <w:pPr>
        <w:pStyle w:val="ListParagraph"/>
        <w:numPr>
          <w:ilvl w:val="0"/>
          <w:numId w:val="2"/>
        </w:numPr>
      </w:pPr>
      <w:r>
        <w:rPr>
          <w:rFonts w:ascii="Arial" w:cs="Arial" w:eastAsia="Arial" w:hAnsi="Arial"/>
          <w:sz w:val="22"/>
          <w:szCs w:val="22"/>
        </w:rPr>
        <w:t xml:space="preserve">Zero-trust network — all internal services communicate over mTLS</w:t>
      </w:r>
    </w:p>
    <w:p>
      <w:pPr>
        <w:pStyle w:val="ListParagraph"/>
        <w:numPr>
          <w:ilvl w:val="0"/>
          <w:numId w:val="2"/>
        </w:numPr>
      </w:pPr>
      <w:r>
        <w:rPr>
          <w:rFonts w:ascii="Arial" w:cs="Arial" w:eastAsia="Arial" w:hAnsi="Arial"/>
          <w:sz w:val="22"/>
          <w:szCs w:val="22"/>
        </w:rPr>
        <w:t xml:space="preserve">Tenant isolation — separate Kubernetes namespaces, encrypted at rest with customer-managed keys</w:t>
      </w:r>
    </w:p>
    <w:p>
      <w:pPr>
        <w:pStyle w:val="ListParagraph"/>
        <w:numPr>
          <w:ilvl w:val="0"/>
          <w:numId w:val="2"/>
        </w:numPr>
      </w:pPr>
      <w:r>
        <w:rPr>
          <w:rFonts w:ascii="Arial" w:cs="Arial" w:eastAsia="Arial" w:hAnsi="Arial"/>
          <w:sz w:val="22"/>
          <w:szCs w:val="22"/>
        </w:rPr>
        <w:t xml:space="preserve">Penetration testing conducted quarterly by third-party security firms</w:t>
      </w:r>
    </w:p>
    <w:p>
      <w:pPr>
        <w:pStyle w:val="ListParagraph"/>
        <w:numPr>
          <w:ilvl w:val="0"/>
          <w:numId w:val="2"/>
        </w:numPr>
      </w:pPr>
      <w:r>
        <w:rPr>
          <w:rFonts w:ascii="Arial" w:cs="Arial" w:eastAsia="Arial" w:hAnsi="Arial"/>
          <w:sz w:val="22"/>
          <w:szCs w:val="22"/>
        </w:rPr>
        <w:t xml:space="preserve">SOC 2 Type II, ISO 27001, HIPAA, and GDPR compliant</w:t>
      </w:r>
    </w:p>
    <w:p>
      <w:pPr>
        <w:pStyle w:val="Heading1"/>
        <w:spacing w:after="200" w:before="400"/>
      </w:pPr>
      <w:r>
        <w:rPr>
          <w:rFonts w:ascii="Arial" w:cs="Arial" w:eastAsia="Arial" w:hAnsi="Arial"/>
          <w:b/>
          <w:bCs/>
          <w:sz w:val="32"/>
          <w:szCs w:val="32"/>
        </w:rPr>
        <w:t xml:space="preserve">5. Pricing &amp; Plans</w:t>
      </w:r>
    </w:p>
    <w:p>
      <w:pPr>
        <w:spacing w:after="80" w:before="80"/>
      </w:pPr>
      <w:r>
        <w:rPr>
          <w:rFonts w:ascii="Arial" w:cs="Arial" w:eastAsia="Arial" w:hAnsi="Arial"/>
          <w:sz w:val="22"/>
          <w:szCs w:val="22"/>
        </w:rPr>
        <w:t xml:space="preserve">NexarAI offers three standard tiers plus fully custom enterprise agreements. All plans include NexarShield safety features and 24/7 monitoring.</w:t>
      </w:r>
    </w:p>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Plan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Starter / Growth / Enterprise / Custom</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Starter</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$299/month — up to 5M tokens/month, shared GPU, email support, 2 users</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Growth</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$1,499/month — up to 50M tokens/month, dedicated GPU pool, priority support, 20 users, NexarFlow included</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Enterprise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$8,000+/month — unlimited tokens, private cloud option, SLA 99.95%, custom fine-tuning, NexarAgent access, dedicated CSM</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Custom / On-Prem</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Negotiated — includes on-premise deployment, air-gapped environments, custom SLAs, white-labeling</w:t>
            </w:r>
          </w:p>
        </w:tc>
      </w:tr>
    </w:tbl>
    <w:p>
      <w:pPr>
        <w:spacing w:after="80" w:before="120"/>
      </w:pPr>
      <w:r>
        <w:t xml:space="preserve"/>
      </w:r>
    </w:p>
    <w:p>
      <w:pPr>
        <w:pStyle w:val="Heading1"/>
        <w:spacing w:after="200" w:before="400"/>
      </w:pPr>
      <w:r>
        <w:rPr>
          <w:rFonts w:ascii="Arial" w:cs="Arial" w:eastAsia="Arial" w:hAnsi="Arial"/>
          <w:b/>
          <w:bCs/>
          <w:sz w:val="32"/>
          <w:szCs w:val="32"/>
        </w:rPr>
        <w:t xml:space="preserve">6. Leadership Team</w:t>
      </w:r>
    </w:p>
    <w:p>
      <w:pPr>
        <w:spacing w:after="60" w:before="60"/>
      </w:pPr>
      <w:r>
        <w:rPr>
          <w:rFonts w:ascii="Arial" w:cs="Arial" w:eastAsia="Arial" w:hAnsi="Arial"/>
          <w:b/>
          <w:bCs/>
          <w:sz w:val="22"/>
          <w:szCs w:val="22"/>
        </w:rPr>
        <w:t xml:space="preserve">Dr. Leila Amiri — CEO &amp; Co-Founder: </w:t>
      </w:r>
      <w:r>
        <w:rPr>
          <w:rFonts w:ascii="Arial" w:cs="Arial" w:eastAsia="Arial" w:hAnsi="Arial"/>
          <w:sz w:val="22"/>
          <w:szCs w:val="22"/>
        </w:rPr>
        <w:t xml:space="preserve">PhD in Machine Learning from Stanford (2016). Former research scientist at Google Brain. Author of 40+ peer-reviewed papers on neural architecture search and model efficiency. Named to Forbes 30 Under 30 in 2020.</w:t>
      </w:r>
    </w:p>
    <w:p>
      <w:pPr>
        <w:spacing w:after="60" w:before="60"/>
      </w:pPr>
      <w:r>
        <w:t xml:space="preserve"/>
      </w:r>
    </w:p>
    <w:p>
      <w:pPr>
        <w:spacing w:after="60" w:before="60"/>
      </w:pPr>
      <w:r>
        <w:rPr>
          <w:rFonts w:ascii="Arial" w:cs="Arial" w:eastAsia="Arial" w:hAnsi="Arial"/>
          <w:b/>
          <w:bCs/>
          <w:sz w:val="22"/>
          <w:szCs w:val="22"/>
        </w:rPr>
        <w:t xml:space="preserve">Marcus Chen — CTO &amp; Co-Founder: </w:t>
      </w:r>
      <w:r>
        <w:rPr>
          <w:rFonts w:ascii="Arial" w:cs="Arial" w:eastAsia="Arial" w:hAnsi="Arial"/>
          <w:sz w:val="22"/>
          <w:szCs w:val="22"/>
        </w:rPr>
        <w:t xml:space="preserve">Previously ML Platform Lead at Stripe, where he scaled inference infrastructure to 10 billion daily predictions. Holds 12 patents in distributed systems and model serving. Angel investor in 8 AI startups.</w:t>
      </w:r>
    </w:p>
    <w:p>
      <w:pPr>
        <w:spacing w:after="60" w:before="60"/>
      </w:pPr>
      <w:r>
        <w:t xml:space="preserve"/>
      </w:r>
    </w:p>
    <w:p>
      <w:pPr>
        <w:spacing w:after="60" w:before="60"/>
      </w:pPr>
      <w:r>
        <w:rPr>
          <w:rFonts w:ascii="Arial" w:cs="Arial" w:eastAsia="Arial" w:hAnsi="Arial"/>
          <w:b/>
          <w:bCs/>
          <w:sz w:val="22"/>
          <w:szCs w:val="22"/>
        </w:rPr>
        <w:t xml:space="preserve">Priya Nair — Chief Product Officer: </w:t>
      </w:r>
      <w:r>
        <w:rPr>
          <w:rFonts w:ascii="Arial" w:cs="Arial" w:eastAsia="Arial" w:hAnsi="Arial"/>
          <w:sz w:val="22"/>
          <w:szCs w:val="22"/>
        </w:rPr>
        <w:t xml:space="preserve">Former VP Product at Twilio and Salesforce. Joined NexarAI in 2021 to lead the no-code AI strategy that became NexarFlow. Champions human-centered AI design.</w:t>
      </w:r>
    </w:p>
    <w:p>
      <w:pPr>
        <w:spacing w:after="60" w:before="60"/>
      </w:pPr>
      <w:r>
        <w:t xml:space="preserve"/>
      </w:r>
    </w:p>
    <w:p>
      <w:pPr>
        <w:spacing w:after="60" w:before="60"/>
      </w:pPr>
      <w:r>
        <w:rPr>
          <w:rFonts w:ascii="Arial" w:cs="Arial" w:eastAsia="Arial" w:hAnsi="Arial"/>
          <w:b/>
          <w:bCs/>
          <w:sz w:val="22"/>
          <w:szCs w:val="22"/>
        </w:rPr>
        <w:t xml:space="preserve">James Okafor — Chief Revenue Officer: </w:t>
      </w:r>
      <w:r>
        <w:rPr>
          <w:rFonts w:ascii="Arial" w:cs="Arial" w:eastAsia="Arial" w:hAnsi="Arial"/>
          <w:sz w:val="22"/>
          <w:szCs w:val="22"/>
        </w:rPr>
        <w:t xml:space="preserve">20+ years enterprise sales leadership. Previously CRO at DataRobot and SVP Sales at IBM Watson. Architect of NexarAI's $94M ARR growth trajectory.</w:t>
      </w:r>
    </w:p>
    <w:p>
      <w:pPr>
        <w:spacing w:after="60" w:before="60"/>
      </w:pPr>
      <w:r>
        <w:t xml:space="preserve"/>
      </w:r>
    </w:p>
    <w:p>
      <w:pPr>
        <w:spacing w:after="60" w:before="60"/>
      </w:pPr>
      <w:r>
        <w:rPr>
          <w:rFonts w:ascii="Arial" w:cs="Arial" w:eastAsia="Arial" w:hAnsi="Arial"/>
          <w:b/>
          <w:bCs/>
          <w:sz w:val="22"/>
          <w:szCs w:val="22"/>
        </w:rPr>
        <w:t xml:space="preserve">Dr. Sophie Laurent — VP of AI Safety: </w:t>
      </w:r>
      <w:r>
        <w:rPr>
          <w:rFonts w:ascii="Arial" w:cs="Arial" w:eastAsia="Arial" w:hAnsi="Arial"/>
          <w:sz w:val="22"/>
          <w:szCs w:val="22"/>
        </w:rPr>
        <w:t xml:space="preserve">Former senior researcher at DeepMind's safety team. Leads NexarShield and the company's responsible-AI initiatives. Advisor to the EU AI Act technical committee.</w:t>
      </w:r>
    </w:p>
    <w:p>
      <w:pPr>
        <w:pStyle w:val="Heading1"/>
        <w:spacing w:after="200" w:before="400"/>
      </w:pPr>
      <w:r>
        <w:rPr>
          <w:rFonts w:ascii="Arial" w:cs="Arial" w:eastAsia="Arial" w:hAnsi="Arial"/>
          <w:b/>
          <w:bCs/>
          <w:sz w:val="32"/>
          <w:szCs w:val="32"/>
        </w:rPr>
        <w:t xml:space="preserve">7. Company Culture &amp; Values</w:t>
      </w:r>
    </w:p>
    <w:p>
      <w:pPr>
        <w:pStyle w:val="Heading2"/>
        <w:spacing w:after="120" w:before="280"/>
      </w:pPr>
      <w:r>
        <w:rPr>
          <w:rFonts w:ascii="Arial" w:cs="Arial" w:eastAsia="Arial" w:hAnsi="Arial"/>
          <w:b/>
          <w:bCs/>
          <w:sz w:val="26"/>
          <w:szCs w:val="26"/>
        </w:rPr>
        <w:t xml:space="preserve">Core Values</w:t>
      </w:r>
    </w:p>
    <w:p>
      <w:pPr>
        <w:pStyle w:val="ListParagraph"/>
        <w:numPr>
          <w:ilvl w:val="0"/>
          <w:numId w:val="2"/>
        </w:numPr>
      </w:pPr>
      <w:r>
        <w:rPr>
          <w:rFonts w:ascii="Arial" w:cs="Arial" w:eastAsia="Arial" w:hAnsi="Arial"/>
          <w:sz w:val="22"/>
          <w:szCs w:val="22"/>
        </w:rPr>
        <w:t xml:space="preserve">Explainability First — every AI decision should be auditable and understandable</w:t>
      </w:r>
    </w:p>
    <w:p>
      <w:pPr>
        <w:pStyle w:val="ListParagraph"/>
        <w:numPr>
          <w:ilvl w:val="0"/>
          <w:numId w:val="2"/>
        </w:numPr>
      </w:pPr>
      <w:r>
        <w:rPr>
          <w:rFonts w:ascii="Arial" w:cs="Arial" w:eastAsia="Arial" w:hAnsi="Arial"/>
          <w:sz w:val="22"/>
          <w:szCs w:val="22"/>
        </w:rPr>
        <w:t xml:space="preserve">Radical Transparency — with customers, regulators, and internally</w:t>
      </w:r>
    </w:p>
    <w:p>
      <w:pPr>
        <w:pStyle w:val="ListParagraph"/>
        <w:numPr>
          <w:ilvl w:val="0"/>
          <w:numId w:val="2"/>
        </w:numPr>
      </w:pPr>
      <w:r>
        <w:rPr>
          <w:rFonts w:ascii="Arial" w:cs="Arial" w:eastAsia="Arial" w:hAnsi="Arial"/>
          <w:sz w:val="22"/>
          <w:szCs w:val="22"/>
        </w:rPr>
        <w:t xml:space="preserve">Responsible Velocity — move fast, but never faster than safety allows</w:t>
      </w:r>
    </w:p>
    <w:p>
      <w:pPr>
        <w:pStyle w:val="ListParagraph"/>
        <w:numPr>
          <w:ilvl w:val="0"/>
          <w:numId w:val="2"/>
        </w:numPr>
      </w:pPr>
      <w:r>
        <w:rPr>
          <w:rFonts w:ascii="Arial" w:cs="Arial" w:eastAsia="Arial" w:hAnsi="Arial"/>
          <w:sz w:val="22"/>
          <w:szCs w:val="22"/>
        </w:rPr>
        <w:t xml:space="preserve">Inclusive Intelligence — AI benefits should be accessible to all organizations, not just the largest</w:t>
      </w:r>
    </w:p>
    <w:p>
      <w:pPr>
        <w:pStyle w:val="Heading2"/>
        <w:spacing w:after="120" w:before="280"/>
      </w:pPr>
      <w:r>
        <w:rPr>
          <w:rFonts w:ascii="Arial" w:cs="Arial" w:eastAsia="Arial" w:hAnsi="Arial"/>
          <w:b/>
          <w:bCs/>
          <w:sz w:val="26"/>
          <w:szCs w:val="26"/>
        </w:rPr>
        <w:t xml:space="preserve">Benefits &amp; Perks</w:t>
      </w:r>
    </w:p>
    <w:p>
      <w:pPr>
        <w:pStyle w:val="ListParagraph"/>
        <w:numPr>
          <w:ilvl w:val="0"/>
          <w:numId w:val="2"/>
        </w:numPr>
      </w:pPr>
      <w:r>
        <w:rPr>
          <w:rFonts w:ascii="Arial" w:cs="Arial" w:eastAsia="Arial" w:hAnsi="Arial"/>
          <w:sz w:val="22"/>
          <w:szCs w:val="22"/>
        </w:rPr>
        <w:t xml:space="preserve">Fully remote-friendly with 12 global hubs</w:t>
      </w:r>
    </w:p>
    <w:p>
      <w:pPr>
        <w:pStyle w:val="ListParagraph"/>
        <w:numPr>
          <w:ilvl w:val="0"/>
          <w:numId w:val="2"/>
        </w:numPr>
      </w:pPr>
      <w:r>
        <w:rPr>
          <w:rFonts w:ascii="Arial" w:cs="Arial" w:eastAsia="Arial" w:hAnsi="Arial"/>
          <w:sz w:val="22"/>
          <w:szCs w:val="22"/>
        </w:rPr>
        <w:t xml:space="preserve">$10,000 annual learning &amp; development budget</w:t>
      </w:r>
    </w:p>
    <w:p>
      <w:pPr>
        <w:pStyle w:val="ListParagraph"/>
        <w:numPr>
          <w:ilvl w:val="0"/>
          <w:numId w:val="2"/>
        </w:numPr>
      </w:pPr>
      <w:r>
        <w:rPr>
          <w:rFonts w:ascii="Arial" w:cs="Arial" w:eastAsia="Arial" w:hAnsi="Arial"/>
          <w:sz w:val="22"/>
          <w:szCs w:val="22"/>
        </w:rPr>
        <w:t xml:space="preserve">16-week parental leave (all parents)</w:t>
      </w:r>
    </w:p>
    <w:p>
      <w:pPr>
        <w:pStyle w:val="ListParagraph"/>
        <w:numPr>
          <w:ilvl w:val="0"/>
          <w:numId w:val="2"/>
        </w:numPr>
      </w:pPr>
      <w:r>
        <w:rPr>
          <w:rFonts w:ascii="Arial" w:cs="Arial" w:eastAsia="Arial" w:hAnsi="Arial"/>
          <w:sz w:val="22"/>
          <w:szCs w:val="22"/>
        </w:rPr>
        <w:t xml:space="preserve">Equity participation at all levels</w:t>
      </w:r>
    </w:p>
    <w:p>
      <w:pPr>
        <w:pStyle w:val="ListParagraph"/>
        <w:numPr>
          <w:ilvl w:val="0"/>
          <w:numId w:val="2"/>
        </w:numPr>
      </w:pPr>
      <w:r>
        <w:rPr>
          <w:rFonts w:ascii="Arial" w:cs="Arial" w:eastAsia="Arial" w:hAnsi="Arial"/>
          <w:sz w:val="22"/>
          <w:szCs w:val="22"/>
        </w:rPr>
        <w:t xml:space="preserve">Monthly AI research reading groups and internal hackathons</w:t>
      </w:r>
    </w:p>
    <w:p>
      <w:pPr>
        <w:pStyle w:val="Heading1"/>
        <w:spacing w:after="200" w:before="400"/>
      </w:pPr>
      <w:r>
        <w:rPr>
          <w:rFonts w:ascii="Arial" w:cs="Arial" w:eastAsia="Arial" w:hAnsi="Arial"/>
          <w:b/>
          <w:bCs/>
          <w:sz w:val="32"/>
          <w:szCs w:val="32"/>
        </w:rPr>
        <w:t xml:space="preserve">8. Contact &amp; Key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Website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https://www.nexarai.com</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Docs &amp; API Reference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https://docs.nexarai.com</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Sales Inquiries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sales@nexarai.com</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Support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support@nexarai.com | +1 (415) 882-0100</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Press / Media</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press@nexarai.com</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Headquarters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340 Bryant Street, Suite 600, San Francisco, CA 94107</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London Office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15 Bishopsgate, London EC2N 3AR, UK</w:t>
            </w:r>
          </w:p>
        </w:tc>
      </w:tr>
      <w:tr>
        <w:tc>
          <w:tcPr>
            <w:tcW w:type="dxa" w:w="2800"/>
            <w:tcBorders>
              <w:top w:val="single" w:color="DDDDDD" w:sz="1"/>
              <w:left w:val="single" w:color="DDDDDD" w:sz="1"/>
              <w:bottom w:val="single" w:color="DDDDDD" w:sz="1"/>
              <w:right w:val="single" w:color="DDDDDD" w:sz="1"/>
            </w:tcBorders>
            <w:shd w:fill="EFF6FF" w:val="clear"/>
            <w:tcMar>
              <w:top w:type="dxa" w:w="80"/>
              <w:left w:type="dxa" w:w="140"/>
              <w:bottom w:type="dxa" w:w="80"/>
              <w:right w:type="dxa" w:w="120"/>
            </w:tcMar>
          </w:tcPr>
          <w:p>
            <w:r>
              <w:rPr>
                <w:rFonts w:ascii="Arial" w:cs="Arial" w:eastAsia="Arial" w:hAnsi="Arial"/>
                <w:b/>
                <w:bCs/>
                <w:sz w:val="20"/>
                <w:szCs w:val="20"/>
              </w:rPr>
              <w:t xml:space="preserve">Singapore Office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sz w:val="20"/>
                <w:szCs w:val="20"/>
              </w:rPr>
              <w:t xml:space="preserve">1 Marina Boulevard, #28-00, Singapore 018989</w:t>
            </w:r>
          </w:p>
        </w:tc>
      </w:tr>
    </w:tbl>
    <w:p>
      <w:pPr>
        <w:spacing w:after="80" w:before="200"/>
      </w:pPr>
      <w:r>
        <w:t xml:space="preserve"/>
      </w:r>
    </w:p>
    <w:p>
      <w:pPr>
        <w:pBdr>
          <w:bottom w:val="single" w:color="3B82F6" w:sz="4" w:space="1"/>
        </w:pBdr>
        <w:spacing w:after="80" w:before="80"/>
      </w:pPr>
      <w:r>
        <w:t xml:space="preserve"/>
      </w:r>
    </w:p>
    <w:p>
      <w:pPr>
        <w:spacing w:after="0" w:before="120"/>
        <w:jc w:val="center"/>
      </w:pPr>
      <w:r>
        <w:rPr>
          <w:rFonts w:ascii="Arial" w:cs="Arial" w:eastAsia="Arial" w:hAnsi="Arial"/>
          <w:i/>
          <w:iCs/>
          <w:color w:val="9CA3AF"/>
          <w:sz w:val="18"/>
          <w:szCs w:val="18"/>
        </w:rPr>
        <w:t xml:space="preserve">© 2024 NexarAI Inc. All rights reserved.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2026-06-15T05:20:46.998Z</dcterms:created>
  <dcterms:modified xsi:type="dcterms:W3CDTF">2026-06-15T05:20:46.998Z</dcterms:modified>
</cp:coreProperties>
</file>

<file path=docProps/custom.xml><?xml version="1.0" encoding="utf-8"?>
<Properties xmlns="http://schemas.openxmlformats.org/officeDocument/2006/custom-properties" xmlns:vt="http://schemas.openxmlformats.org/officeDocument/2006/docPropsVTypes"/>
</file>