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360F" w14:textId="675D0426" w:rsidR="007E641A" w:rsidRDefault="007E641A">
      <w:r>
        <w:t>intro</w:t>
      </w:r>
    </w:p>
    <w:p w14:paraId="0C17A9B3" w14:textId="6ACAB471" w:rsidR="00822400" w:rsidRDefault="00822400">
      <w:r>
        <w:t>Recently, there has been an explosion of live</w:t>
      </w:r>
      <w:r w:rsidRPr="00822400">
        <w:t xml:space="preserve">, order-book prediction markets such as Polymarket </w:t>
      </w:r>
      <w:r>
        <w:t xml:space="preserve">and Kalshi. These </w:t>
      </w:r>
      <w:r w:rsidRPr="00822400">
        <w:t>have made it possible to trade sports outcomes in real time, with prices updating point by point</w:t>
      </w:r>
      <w:r>
        <w:t xml:space="preserve">. </w:t>
      </w:r>
      <w:r w:rsidRPr="00822400">
        <w:t xml:space="preserve">Since trading volume is unevenly distributed and participants differ in their information and biases, in-play prices may occasionally deviate from </w:t>
      </w:r>
      <w:r>
        <w:t>their expected value</w:t>
      </w:r>
      <w:r w:rsidRPr="00822400">
        <w:t>—creating a testbed for probabilistic modelling and market-based evaluation. Tennis is a natural case: its hierarchical scoring (</w:t>
      </w:r>
      <w:proofErr w:type="spellStart"/>
      <w:r w:rsidRPr="00822400">
        <w:t>points→games→sets</w:t>
      </w:r>
      <w:proofErr w:type="spellEnd"/>
      <w:r w:rsidRPr="00822400">
        <w:t xml:space="preserve">) and absence of draws yield a compact state space for forecasting. In this work, we estimate the probability that </w:t>
      </w:r>
      <w:r w:rsidR="00867476">
        <w:t xml:space="preserve">a player </w:t>
      </w:r>
      <w:r w:rsidRPr="00822400">
        <w:t xml:space="preserve">wins the </w:t>
      </w:r>
      <w:r w:rsidR="00867476">
        <w:t>match</w:t>
      </w:r>
      <w:r w:rsidRPr="00822400">
        <w:t xml:space="preserve"> as a function of the current match state using gradient-boosted decision trees (</w:t>
      </w:r>
      <w:proofErr w:type="spellStart"/>
      <w:r w:rsidRPr="00822400">
        <w:t>XGBoost</w:t>
      </w:r>
      <w:proofErr w:type="spellEnd"/>
      <w:r w:rsidRPr="00822400">
        <w:t xml:space="preserve">). Using open tennis datasets (including </w:t>
      </w:r>
      <w:commentRangeStart w:id="0"/>
      <w:r w:rsidRPr="00822400">
        <w:t xml:space="preserve">Jeff Sackmann’s collections) </w:t>
      </w:r>
      <w:commentRangeEnd w:id="0"/>
      <w:r w:rsidR="00276ACD">
        <w:rPr>
          <w:rStyle w:val="CommentReference"/>
        </w:rPr>
        <w:commentReference w:id="0"/>
      </w:r>
      <w:r w:rsidRPr="00822400">
        <w:t xml:space="preserve">with clearly defined </w:t>
      </w:r>
      <w:r w:rsidR="00276ACD">
        <w:t xml:space="preserve">data </w:t>
      </w:r>
      <w:r w:rsidRPr="00822400">
        <w:t>cleaning rules (e.g., exclusions for walkovers/retirements), we evaluate forecasts for calibration and sharpness and compare them to in-play market prices. Finally, we back-test simple staking policies to examine whether a calibrated, state-based model can systematically identify positive-expected-value trades in live tennis markets.</w:t>
      </w:r>
    </w:p>
    <w:sectPr w:rsidR="00822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anil shah" w:date="2025-08-27T22:42:00Z" w:initials="ss">
    <w:p w14:paraId="7D7943AA" w14:textId="77777777" w:rsidR="00276ACD" w:rsidRDefault="00276ACD" w:rsidP="00276ACD">
      <w:pPr>
        <w:pStyle w:val="CommentText"/>
      </w:pPr>
      <w:r>
        <w:rPr>
          <w:rStyle w:val="CommentReference"/>
        </w:rPr>
        <w:annotationRef/>
      </w:r>
      <w:r>
        <w:t>repo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7943A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84A1965" w16cex:dateUtc="2025-08-27T1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7943AA" w16cid:durableId="084A19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nil shah">
    <w15:presenceInfo w15:providerId="Windows Live" w15:userId="755b5a80268feb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CB"/>
    <w:rsid w:val="00276ACD"/>
    <w:rsid w:val="00476FB5"/>
    <w:rsid w:val="00571932"/>
    <w:rsid w:val="007E641A"/>
    <w:rsid w:val="00822400"/>
    <w:rsid w:val="00850712"/>
    <w:rsid w:val="00867476"/>
    <w:rsid w:val="00B845CB"/>
    <w:rsid w:val="00C04CC5"/>
    <w:rsid w:val="00C4699A"/>
    <w:rsid w:val="00EB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82D1"/>
  <w15:chartTrackingRefBased/>
  <w15:docId w15:val="{9D4BA173-5DAD-4186-9D27-DEB78F20C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C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76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6A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6A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6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6AC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 shah</dc:creator>
  <cp:keywords/>
  <dc:description/>
  <cp:lastModifiedBy>shanil shah</cp:lastModifiedBy>
  <cp:revision>4</cp:revision>
  <dcterms:created xsi:type="dcterms:W3CDTF">2025-08-27T19:07:00Z</dcterms:created>
  <dcterms:modified xsi:type="dcterms:W3CDTF">2025-08-28T18:29:00Z</dcterms:modified>
</cp:coreProperties>
</file>