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S²-Flow Conjecture Holds for All Goldberg Snarks</w:t>
      </w:r>
    </w:p>
    <w:p>
      <w:pPr>
        <w:pStyle w:val="Subtitle"/>
        <w:jc w:val="center"/>
      </w:pPr>
      <w:r>
        <w:t>Analytic reduction, exact interval certificate, and reproducible full-graph verification</w:t>
      </w:r>
    </w:p>
    <w:p>
      <w:pPr>
        <w:jc w:val="center"/>
      </w:pPr>
      <w:r>
        <w:rPr>
          <w:i/>
        </w:rPr>
        <w:t>21 July 2026</w:t>
      </w:r>
    </w:p>
    <w:p>
      <w:pPr>
        <w:jc w:val="center"/>
      </w:pPr>
      <w:r>
        <w:rPr>
          <w:b/>
        </w:rPr>
        <w:t>Abstract</w:t>
      </w:r>
    </w:p>
    <w:p>
      <w:pPr>
        <w:ind w:left="576" w:right="576"/>
      </w:pPr>
      <w:r>
        <w:t>We prove that every Goldberg snark Gₖ, for odd k ≥ 5, admits an S²-flow. The cyclic block shift has twelve free edge orbits. The fundamental rotation by 2π/k is shown to be impossible for k ≥ 7, explaining the failure of the initial numerical continuation. A non-fundamental representation of index (k−1)/2, with rotation angle π−π/k, reduces the twelve-vector equivariant system to a single scalar equation H(s,x)=0. Exact rational interval arithmetic proves a uniform sign change and strict monotonicity on a parameter rectangle containing every Goldberg parameter. This yields a unique real-analytic scalar branch and an explicit unit-vector flow on the complete infinite family. The accompanying repository independently verifies the exact interval certificate and performs full-graph numerical checks.</w:t>
      </w:r>
    </w:p>
    <w:p>
      <w:r>
        <w:t>Keywords: Goldberg snark; unit vector flow; S²-flow; equivariant construction; interval arithmetic; cubic graph.</w:t>
      </w:r>
    </w:p>
    <w:p>
      <w:pPr>
        <w:pStyle w:val="Heading1"/>
      </w:pPr>
      <w:r>
        <w:t>1. Result and scope</w:t>
      </w:r>
    </w:p>
    <w:p>
      <w:r>
        <w:t>An S²-flow on an oriented graph is a map from oriented edges to unit vectors in R³ such that the signed sum of incident edge vectors is zero at every vertex. The universal conjecture asserts that every bridgeless cubic graph admits such a flow [4,5]. This report proves the conjecture for the complete infinite family of Goldberg snarks, not for all bridgeless cubic graphs.</w:t>
      </w:r>
    </w:p>
    <w:tbl>
      <w:tblPr>
        <w:tblW w:type="auto" w:w="0"/>
        <w:jc w:val="center"/>
        <w:tblLook w:firstColumn="1" w:firstRow="1" w:lastColumn="0" w:lastRow="0" w:noHBand="0" w:noVBand="1" w:val="04A0"/>
      </w:tblPr>
      <w:tblGrid>
        <w:gridCol w:w="9994"/>
      </w:tblGrid>
      <w:tr>
        <w:tc>
          <w:tcPr>
            <w:tcW w:type="dxa" w:w="9994"/>
            <w:vAlign w:val="center"/>
            <w:shd w:fill="EAF2F8"/>
          </w:tcPr>
          <w:p>
            <w:r>
              <w:rPr>
                <w:b/>
              </w:rPr>
              <w:t xml:space="preserve">Main Theorem. </w:t>
            </w:r>
            <w:r>
              <w:t>For every odd integer k ≥ 5, the Goldberg snark Gₖ admits an S²-flow.</w:t>
            </w:r>
          </w:p>
        </w:tc>
      </w:tr>
    </w:tbl>
    <w:p>
      <w:pPr>
        <w:pStyle w:val="Heading1"/>
      </w:pPr>
      <w:r>
        <w:t>2. Goldberg graph and the corrected orbit structure</w:t>
      </w:r>
    </w:p>
    <w:p>
      <w:r>
        <w:t>For every block index t modulo k, let Bₜ be induced by vertices v₁ᵗ,…,v₈ᵗ. The nine internal edges are</w:t>
      </w:r>
    </w:p>
    <w:p>
      <w:pPr>
        <w:spacing w:before="60" w:after="100"/>
        <w:jc w:val="center"/>
      </w:pPr>
      <w:r>
        <w:rPr>
          <w:rFonts w:ascii="Cambria Math" w:hAnsi="Cambria Math"/>
          <w:sz w:val="23"/>
        </w:rPr>
        <w:t>v₁v₂, v₁v₇, v₂v₈, v₃v₄, v₃v₈, v₄v₇, v₅v₆, v₆v₇, v₆v₈,</w:t>
      </w:r>
    </w:p>
    <w:p>
      <w:r>
        <w:t>and consecutive blocks are joined by</w:t>
      </w:r>
    </w:p>
    <w:p>
      <w:pPr>
        <w:spacing w:before="60" w:after="100"/>
        <w:jc w:val="center"/>
      </w:pPr>
      <w:r>
        <w:rPr>
          <w:rFonts w:ascii="Cambria Math" w:hAnsi="Cambria Math"/>
          <w:sz w:val="23"/>
        </w:rPr>
        <w:t>v₂ᵗv₁ᵗ⁺¹,   v₄ᵗv₃ᵗ⁺¹,   v₅ᵗv₅ᵗ⁺¹,</w:t>
      </w:r>
    </w:p>
    <w:p>
      <w:r>
        <w:t>with block superscripts read modulo k. This is the standard eight-vertex Goldberg link construction [1–3]. For odd k ≥ 5 these graphs form the Goldberg snark family.</w:t>
      </w:r>
    </w:p>
    <w:p>
      <w:r>
        <w:drawing>
          <wp:inline xmlns:a="http://schemas.openxmlformats.org/drawingml/2006/main" xmlns:pic="http://schemas.openxmlformats.org/drawingml/2006/picture">
            <wp:extent cx="6080760" cy="3974175"/>
            <wp:docPr id="1" name="Picture 1"/>
            <wp:cNvGraphicFramePr>
              <a:graphicFrameLocks noChangeAspect="1"/>
            </wp:cNvGraphicFramePr>
            <a:graphic>
              <a:graphicData uri="http://schemas.openxmlformats.org/drawingml/2006/picture">
                <pic:pic>
                  <pic:nvPicPr>
                    <pic:cNvPr id="0" name="goldberg_block.png"/>
                    <pic:cNvPicPr/>
                  </pic:nvPicPr>
                  <pic:blipFill>
                    <a:blip r:embed="rId11"/>
                    <a:stretch>
                      <a:fillRect/>
                    </a:stretch>
                  </pic:blipFill>
                  <pic:spPr>
                    <a:xfrm>
                      <a:off x="0" y="0"/>
                      <a:ext cx="6080760" cy="3974175"/>
                    </a:xfrm>
                    <a:prstGeom prst="rect"/>
                  </pic:spPr>
                </pic:pic>
              </a:graphicData>
            </a:graphic>
          </wp:inline>
        </w:drawing>
      </w:r>
    </w:p>
    <w:p>
      <w:pPr>
        <w:spacing w:before="40" w:after="140"/>
        <w:jc w:val="center"/>
      </w:pPr>
      <w:r>
        <w:rPr>
          <w:i/>
          <w:sz w:val="18"/>
        </w:rPr>
        <w:t>Figure 1. The eight-vertex Goldberg block and its three incoming and three outgoing channels.</w:t>
      </w:r>
    </w:p>
    <w:tbl>
      <w:tblPr>
        <w:tblW w:type="auto" w:w="0"/>
        <w:jc w:val="center"/>
        <w:tblLook w:firstColumn="1" w:firstRow="1" w:lastColumn="0" w:lastRow="0" w:noHBand="0" w:noVBand="1" w:val="04A0"/>
      </w:tblPr>
      <w:tblGrid>
        <w:gridCol w:w="9994"/>
      </w:tblGrid>
      <w:tr>
        <w:tc>
          <w:tcPr>
            <w:tcW w:type="dxa" w:w="9994"/>
            <w:shd w:fill="FFF4CE"/>
          </w:tcPr>
          <w:p>
            <w:r>
              <w:rPr>
                <w:b/>
              </w:rPr>
              <w:t xml:space="preserve">Correction to the supplied exploratory code. </w:t>
            </w:r>
            <w:r>
              <w:t>The cyclic shift t↦t+1 has exactly twelve edge orbits, all of size k. The apparent decomposition into twelve ordinary orbits and three singleton seam orbits was an orbit-canonicalization bug: a seam edge and its shifted non-seam edge belong to the same orbit.</w:t>
            </w:r>
          </w:p>
        </w:tc>
      </w:tr>
    </w:tbl>
    <w:p>
      <w:pPr>
        <w:pStyle w:val="Heading1"/>
      </w:pPr>
      <w:r>
        <w:t>3. Why the fundamental generator fails</w:t>
      </w:r>
    </w:p>
    <w:p>
      <w:r>
        <w:t>Let R be the rotation used to represent one block shift, and orient the channel r from v₅ᵗ to v₅ᵗ⁺¹. The Kirchhoff equation at v₅ reduces to</w:t>
      </w:r>
    </w:p>
    <w:p>
      <w:pPr>
        <w:spacing w:before="60" w:after="100"/>
        <w:jc w:val="center"/>
      </w:pPr>
      <w:r>
        <w:rPr>
          <w:rFonts w:ascii="Cambria Math" w:hAnsi="Cambria Math"/>
          <w:sz w:val="23"/>
        </w:rPr>
        <w:t>g + r − R⁻¹r = 0.</w:t>
      </w:r>
    </w:p>
    <w:p>
      <w:r>
        <w:t>Because g must be a unit vector, every equivariant solution must satisfy</w:t>
      </w:r>
    </w:p>
    <w:p>
      <w:pPr>
        <w:spacing w:before="60" w:after="100"/>
        <w:jc w:val="center"/>
      </w:pPr>
      <w:r>
        <w:rPr>
          <w:rFonts w:ascii="Cambria Math" w:hAnsi="Cambria Math"/>
          <w:sz w:val="23"/>
        </w:rPr>
        <w:t>||(R⁻¹−I)r|| = 1.</w:t>
      </w:r>
    </w:p>
    <w:p>
      <w:r>
        <w:t>If R has the fundamental angle 2π/k, the operator norm of R⁻¹−I is 2 sin(π/k). For k ≥ 7,</w:t>
      </w:r>
    </w:p>
    <w:p>
      <w:pPr>
        <w:spacing w:before="60" w:after="100"/>
        <w:jc w:val="center"/>
      </w:pPr>
      <w:r>
        <w:rPr>
          <w:rFonts w:ascii="Cambria Math" w:hAnsi="Cambria Math"/>
          <w:sz w:val="23"/>
        </w:rPr>
        <w:t>2 sin(π/k) &lt; 1,</w:t>
      </w:r>
    </w:p>
    <w:p>
      <w:r>
        <w:t>so the required unit chord cannot exist. This is a rigorous structural obstruction, not a local-minimum problem. It explains why G₅ was solvable while the same ansatz failed at G₇.</w:t>
      </w:r>
    </w:p>
    <w:p>
      <w:pPr>
        <w:pStyle w:val="Heading1"/>
      </w:pPr>
      <w:r>
        <w:t>4. Correct cyclic representation</w:t>
      </w:r>
    </w:p>
    <w:p>
      <w:r>
        <w:t>For odd k define</w:t>
      </w:r>
    </w:p>
    <w:p>
      <w:pPr>
        <w:spacing w:before="60" w:after="100"/>
        <w:jc w:val="center"/>
      </w:pPr>
      <w:r>
        <w:rPr>
          <w:rFonts w:ascii="Cambria Math" w:hAnsi="Cambria Math"/>
          <w:sz w:val="23"/>
        </w:rPr>
        <w:t>ℓ = (k−1)/2,   φ = 2πℓ/k = π−π/k,   R = R_z(φ).</w:t>
      </w:r>
    </w:p>
    <w:p>
      <w:r>
        <w:t>Then Rᵏ=I. Put</w:t>
      </w:r>
    </w:p>
    <w:p>
      <w:pPr>
        <w:spacing w:before="60" w:after="100"/>
        <w:jc w:val="center"/>
      </w:pPr>
      <w:r>
        <w:rPr>
          <w:rFonts w:ascii="Cambria Math" w:hAnsi="Cambria Math"/>
          <w:sz w:val="23"/>
        </w:rPr>
        <w:t>u = φ/2,   x = cot u = tan(π/(2k)).</w:t>
      </w:r>
    </w:p>
    <w:p>
      <w:r>
        <w:t>For k ≥ 5, 0 &lt; x ≤ tan(π/10) &lt; 13/40. The exact inequality follows from tan²(π/10)=1−2√5/5 and direct rational comparison. The complete proof therefore only needs the compact rational domain 0≤x≤13/40.</w:t>
      </w:r>
    </w:p>
    <w:p>
      <w:pPr>
        <w:pStyle w:val="Heading1"/>
      </w:pPr>
      <w:r>
        <w:t>5. The reduced 36-equation system</w:t>
      </w:r>
    </w:p>
    <w:p>
      <w:r>
        <w:t>Orient the twelve representative edge orbits as a,b,c,d,e,f,g,h,i,p,q,r in the order listed in Table 1. Dividing the Kirchhoff equations in block t by Rᵗ gives eight representative vector equations:</w:t>
      </w:r>
    </w:p>
    <w:p>
      <w:pPr>
        <w:spacing w:before="60" w:after="100"/>
        <w:jc w:val="center"/>
      </w:pPr>
      <w:r>
        <w:rPr>
          <w:rFonts w:ascii="Cambria Math" w:hAnsi="Cambria Math"/>
          <w:sz w:val="23"/>
        </w:rPr>
        <w:t>a+b−R⁻¹p=0,    −a+c+p=0,    d+e−R⁻¹q=0,    −d+f+q=0</w:t>
      </w:r>
    </w:p>
    <w:p>
      <w:pPr>
        <w:spacing w:before="60" w:after="100"/>
        <w:jc w:val="center"/>
      </w:pPr>
      <w:r>
        <w:rPr>
          <w:rFonts w:ascii="Cambria Math" w:hAnsi="Cambria Math"/>
          <w:sz w:val="23"/>
        </w:rPr>
        <w:t>g+r−R⁻¹r=0,    −g+h+i=0,    b+f+h=0,    c+e+i=0</w:t>
      </w:r>
    </w:p>
    <w:p>
      <w:r>
        <w:t>Together with twelve unit-norm equations, this is the square 36×36 equivariant system. A global rotation about the z-axis gives one gauge direction in the unrestricted numerical formulation. The analytic reduction below fixes that gauge automatically.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Pr>
          <w:p>
            <w:r>
              <w:rPr>
                <w:b/>
              </w:rPr>
              <w:t>Template</w:t>
            </w:r>
          </w:p>
        </w:tc>
        <w:tc>
          <w:tcPr>
            <w:tcW w:type="dxa" w:w="3331"/>
            <w:shd w:fill="D9EAF7"/>
          </w:tcPr>
          <w:p>
            <w:r>
              <w:rPr>
                <w:b/>
              </w:rPr>
              <w:t>Oriented representative</w:t>
            </w:r>
          </w:p>
        </w:tc>
        <w:tc>
          <w:tcPr>
            <w:tcW w:type="dxa" w:w="3331"/>
            <w:shd w:fill="D9EAF7"/>
          </w:tcPr>
          <w:p>
            <w:r>
              <w:rPr>
                <w:b/>
              </w:rPr>
              <w:t>Role</w:t>
            </w:r>
          </w:p>
        </w:tc>
      </w:tr>
      <w:tr>
        <w:tc>
          <w:tcPr>
            <w:tcW w:type="dxa" w:w="3331"/>
          </w:tcPr>
          <w:p>
            <w:r>
              <w:t>a</w:t>
            </w:r>
          </w:p>
        </w:tc>
        <w:tc>
          <w:tcPr>
            <w:tcW w:type="dxa" w:w="3331"/>
          </w:tcPr>
          <w:p>
            <w:r>
              <w:t>v₁ᵗ→v₂ᵗ</w:t>
            </w:r>
          </w:p>
        </w:tc>
        <w:tc>
          <w:tcPr>
            <w:tcW w:type="dxa" w:w="3331"/>
          </w:tcPr>
          <w:p>
            <w:r>
              <w:t>first local channel</w:t>
            </w:r>
          </w:p>
        </w:tc>
      </w:tr>
      <w:tr>
        <w:tc>
          <w:tcPr>
            <w:tcW w:type="dxa" w:w="3331"/>
          </w:tcPr>
          <w:p>
            <w:r>
              <w:t>b</w:t>
            </w:r>
          </w:p>
        </w:tc>
        <w:tc>
          <w:tcPr>
            <w:tcW w:type="dxa" w:w="3331"/>
          </w:tcPr>
          <w:p>
            <w:r>
              <w:t>v₁ᵗ→v₇ᵗ</w:t>
            </w:r>
          </w:p>
        </w:tc>
        <w:tc>
          <w:tcPr>
            <w:tcW w:type="dxa" w:w="3331"/>
          </w:tcPr>
          <w:p>
            <w:r>
              <w:t>first local channel</w:t>
            </w:r>
          </w:p>
        </w:tc>
      </w:tr>
      <w:tr>
        <w:tc>
          <w:tcPr>
            <w:tcW w:type="dxa" w:w="3331"/>
          </w:tcPr>
          <w:p>
            <w:r>
              <w:t>c</w:t>
            </w:r>
          </w:p>
        </w:tc>
        <w:tc>
          <w:tcPr>
            <w:tcW w:type="dxa" w:w="3331"/>
          </w:tcPr>
          <w:p>
            <w:r>
              <w:t>v₂ᵗ→v₈ᵗ</w:t>
            </w:r>
          </w:p>
        </w:tc>
        <w:tc>
          <w:tcPr>
            <w:tcW w:type="dxa" w:w="3331"/>
          </w:tcPr>
          <w:p>
            <w:r>
              <w:t>first local channel</w:t>
            </w:r>
          </w:p>
        </w:tc>
      </w:tr>
      <w:tr>
        <w:tc>
          <w:tcPr>
            <w:tcW w:type="dxa" w:w="3331"/>
          </w:tcPr>
          <w:p>
            <w:r>
              <w:t>d</w:t>
            </w:r>
          </w:p>
        </w:tc>
        <w:tc>
          <w:tcPr>
            <w:tcW w:type="dxa" w:w="3331"/>
          </w:tcPr>
          <w:p>
            <w:r>
              <w:t>v₃ᵗ→v₄ᵗ</w:t>
            </w:r>
          </w:p>
        </w:tc>
        <w:tc>
          <w:tcPr>
            <w:tcW w:type="dxa" w:w="3331"/>
          </w:tcPr>
          <w:p>
            <w:r>
              <w:t>second local channel</w:t>
            </w:r>
          </w:p>
        </w:tc>
      </w:tr>
      <w:tr>
        <w:tc>
          <w:tcPr>
            <w:tcW w:type="dxa" w:w="3331"/>
          </w:tcPr>
          <w:p>
            <w:r>
              <w:t>e</w:t>
            </w:r>
          </w:p>
        </w:tc>
        <w:tc>
          <w:tcPr>
            <w:tcW w:type="dxa" w:w="3331"/>
          </w:tcPr>
          <w:p>
            <w:r>
              <w:t>v₃ᵗ→v₈ᵗ</w:t>
            </w:r>
          </w:p>
        </w:tc>
        <w:tc>
          <w:tcPr>
            <w:tcW w:type="dxa" w:w="3331"/>
          </w:tcPr>
          <w:p>
            <w:r>
              <w:t>second local channel</w:t>
            </w:r>
          </w:p>
        </w:tc>
      </w:tr>
      <w:tr>
        <w:tc>
          <w:tcPr>
            <w:tcW w:type="dxa" w:w="3331"/>
          </w:tcPr>
          <w:p>
            <w:r>
              <w:t>f</w:t>
            </w:r>
          </w:p>
        </w:tc>
        <w:tc>
          <w:tcPr>
            <w:tcW w:type="dxa" w:w="3331"/>
          </w:tcPr>
          <w:p>
            <w:r>
              <w:t>v₄ᵗ→v₇ᵗ</w:t>
            </w:r>
          </w:p>
        </w:tc>
        <w:tc>
          <w:tcPr>
            <w:tcW w:type="dxa" w:w="3331"/>
          </w:tcPr>
          <w:p>
            <w:r>
              <w:t>second local channel</w:t>
            </w:r>
          </w:p>
        </w:tc>
      </w:tr>
      <w:tr>
        <w:tc>
          <w:tcPr>
            <w:tcW w:type="dxa" w:w="3331"/>
          </w:tcPr>
          <w:p>
            <w:r>
              <w:t>g</w:t>
            </w:r>
          </w:p>
        </w:tc>
        <w:tc>
          <w:tcPr>
            <w:tcW w:type="dxa" w:w="3331"/>
          </w:tcPr>
          <w:p>
            <w:r>
              <w:t>v₅ᵗ→v₆ᵗ</w:t>
            </w:r>
          </w:p>
        </w:tc>
        <w:tc>
          <w:tcPr>
            <w:tcW w:type="dxa" w:w="3331"/>
          </w:tcPr>
          <w:p>
            <w:r>
              <w:t>central channel</w:t>
            </w:r>
          </w:p>
        </w:tc>
      </w:tr>
      <w:tr>
        <w:tc>
          <w:tcPr>
            <w:tcW w:type="dxa" w:w="3331"/>
          </w:tcPr>
          <w:p>
            <w:r>
              <w:t>h</w:t>
            </w:r>
          </w:p>
        </w:tc>
        <w:tc>
          <w:tcPr>
            <w:tcW w:type="dxa" w:w="3331"/>
          </w:tcPr>
          <w:p>
            <w:r>
              <w:t>v₆ᵗ→v₇ᵗ</w:t>
            </w:r>
          </w:p>
        </w:tc>
        <w:tc>
          <w:tcPr>
            <w:tcW w:type="dxa" w:w="3331"/>
          </w:tcPr>
          <w:p>
            <w:r>
              <w:t>central closure</w:t>
            </w:r>
          </w:p>
        </w:tc>
      </w:tr>
      <w:tr>
        <w:tc>
          <w:tcPr>
            <w:tcW w:type="dxa" w:w="3331"/>
          </w:tcPr>
          <w:p>
            <w:r>
              <w:t>i</w:t>
            </w:r>
          </w:p>
        </w:tc>
        <w:tc>
          <w:tcPr>
            <w:tcW w:type="dxa" w:w="3331"/>
          </w:tcPr>
          <w:p>
            <w:r>
              <w:t>v₆ᵗ→v₈ᵗ</w:t>
            </w:r>
          </w:p>
        </w:tc>
        <w:tc>
          <w:tcPr>
            <w:tcW w:type="dxa" w:w="3331"/>
          </w:tcPr>
          <w:p>
            <w:r>
              <w:t>central closure</w:t>
            </w:r>
          </w:p>
        </w:tc>
      </w:tr>
      <w:tr>
        <w:tc>
          <w:tcPr>
            <w:tcW w:type="dxa" w:w="3331"/>
          </w:tcPr>
          <w:p>
            <w:r>
              <w:t>p</w:t>
            </w:r>
          </w:p>
        </w:tc>
        <w:tc>
          <w:tcPr>
            <w:tcW w:type="dxa" w:w="3331"/>
          </w:tcPr>
          <w:p>
            <w:r>
              <w:t>v₂ᵗ→v₁ᵗ⁺¹</w:t>
            </w:r>
          </w:p>
        </w:tc>
        <w:tc>
          <w:tcPr>
            <w:tcW w:type="dxa" w:w="3331"/>
          </w:tcPr>
          <w:p>
            <w:r>
              <w:t>inter-block</w:t>
            </w:r>
          </w:p>
        </w:tc>
      </w:tr>
      <w:tr>
        <w:tc>
          <w:tcPr>
            <w:tcW w:type="dxa" w:w="3331"/>
          </w:tcPr>
          <w:p>
            <w:r>
              <w:t>q</w:t>
            </w:r>
          </w:p>
        </w:tc>
        <w:tc>
          <w:tcPr>
            <w:tcW w:type="dxa" w:w="3331"/>
          </w:tcPr>
          <w:p>
            <w:r>
              <w:t>v₄ᵗ→v₃ᵗ⁺¹</w:t>
            </w:r>
          </w:p>
        </w:tc>
        <w:tc>
          <w:tcPr>
            <w:tcW w:type="dxa" w:w="3331"/>
          </w:tcPr>
          <w:p>
            <w:r>
              <w:t>inter-block</w:t>
            </w:r>
          </w:p>
        </w:tc>
      </w:tr>
      <w:tr>
        <w:tc>
          <w:tcPr>
            <w:tcW w:type="dxa" w:w="3331"/>
          </w:tcPr>
          <w:p>
            <w:r>
              <w:t>r</w:t>
            </w:r>
          </w:p>
        </w:tc>
        <w:tc>
          <w:tcPr>
            <w:tcW w:type="dxa" w:w="3331"/>
          </w:tcPr>
          <w:p>
            <w:r>
              <w:t>v₅ᵗ→v₅ᵗ⁺¹</w:t>
            </w:r>
          </w:p>
        </w:tc>
        <w:tc>
          <w:tcPr>
            <w:tcW w:type="dxa" w:w="3331"/>
          </w:tcPr>
          <w:p>
            <w:r>
              <w:t>inter-block</w:t>
            </w:r>
          </w:p>
        </w:tc>
      </w:tr>
    </w:tbl>
    <w:p>
      <w:pPr>
        <w:jc w:val="center"/>
      </w:pPr>
      <w:r>
        <w:t>Table 1. Orientation and order of the twelve free edge-orbit templates.</w:t>
      </w:r>
    </w:p>
    <w:p>
      <w:pPr>
        <w:pStyle w:val="Heading1"/>
      </w:pPr>
      <w:r>
        <w:t>6. Scalar reduction</w:t>
      </w:r>
    </w:p>
    <w:p>
      <w:pPr>
        <w:pStyle w:val="Heading2"/>
      </w:pPr>
      <w:r>
        <w:t>6.1 Local two-vertex channel</w:t>
      </w:r>
    </w:p>
    <w:p>
      <w:r>
        <w:t>For a scalar y define</w:t>
      </w:r>
    </w:p>
    <w:p>
      <w:pPr>
        <w:spacing w:before="60" w:after="100"/>
        <w:jc w:val="center"/>
      </w:pPr>
      <w:r>
        <w:rPr>
          <w:rFonts w:ascii="Cambria Math" w:hAnsi="Cambria Math"/>
          <w:sz w:val="23"/>
        </w:rPr>
        <w:t>z_y=√(1−y²(1+x²)),   δ_y=√(3−4y²),   λ_y=1−y²,</w:t>
      </w:r>
    </w:p>
    <w:p>
      <w:pPr>
        <w:spacing w:before="60" w:after="100"/>
        <w:jc w:val="center"/>
      </w:pPr>
      <w:r>
        <w:rPr>
          <w:rFonts w:ascii="Cambria Math" w:hAnsi="Cambria Math"/>
          <w:sz w:val="23"/>
        </w:rPr>
        <w:t>A_y=(δ_y z_y−yx)/(2λ_y),   D_y=(z_y+δ_y yx)/(2λ_y),</w:t>
      </w:r>
    </w:p>
    <w:p>
      <w:pPr>
        <w:spacing w:before="60" w:after="100"/>
        <w:jc w:val="center"/>
      </w:pPr>
      <w:r>
        <w:rPr>
          <w:rFonts w:ascii="Cambria Math" w:hAnsi="Cambria Math"/>
          <w:sz w:val="23"/>
        </w:rPr>
        <w:t>B_y=A_y+yx,   C_y=D_y−z_y.</w:t>
      </w:r>
    </w:p>
    <w:p>
      <w:r>
        <w:t>Let W_y=(−yx,z_y) in the xz-plane and let J be the quarter-turn in that plane. Since ||W_y||²=λ_y and δ_y²=4λ_y−1, the vector</w:t>
      </w:r>
    </w:p>
    <w:p>
      <w:pPr>
        <w:spacing w:before="60" w:after="100"/>
        <w:jc w:val="center"/>
      </w:pPr>
      <w:r>
        <w:rPr>
          <w:rFonts w:ascii="Cambria Math" w:hAnsi="Cambria Math"/>
          <w:sz w:val="23"/>
        </w:rPr>
        <w:t>U_y=(W_y−δ_y JW_y)/(2λ_y)</w:t>
      </w:r>
    </w:p>
    <w:p>
      <w:r>
        <w:t>has unit norm and satisfies U_y·W_y=1/2. Its coordinates are (A_y,D_y). Consequently the four vectors generated by one local channel are all unit vectors and satisfy its two Kirchhoff equations. This proves the local identities algebraically, without numerical optimization.</w:t>
      </w:r>
    </w:p>
    <w:p>
      <w:pPr>
        <w:pStyle w:val="Heading2"/>
      </w:pPr>
      <w:r>
        <w:t>6.2 Final scalar equation</w:t>
      </w:r>
    </w:p>
    <w:p>
      <w:r>
        <w:t>Set t=1/2−s and define</w:t>
      </w:r>
    </w:p>
    <w:p>
      <w:pPr>
        <w:spacing w:before="60" w:after="100"/>
        <w:jc w:val="center"/>
      </w:pPr>
      <w:r>
        <w:rPr>
          <w:rFonts w:ascii="Cambria Math" w:hAnsi="Cambria Math"/>
          <w:sz w:val="23"/>
        </w:rPr>
        <w:t>H(s,x)=(B_t−B_s)²+(C_s−C_t)²−3/4.</w:t>
      </w:r>
    </w:p>
    <w:p>
      <w:r>
        <w:t>The first term controls the horizontal component of the two central closure vectors; the second controls their vertical component. Therefore H(s,x)=0 is exactly the remaining unit-norm condition. All other equations are identities once t=1/2−s.</w:t>
      </w:r>
    </w:p>
    <w:p>
      <w:pPr>
        <w:pStyle w:val="Heading1"/>
      </w:pPr>
      <w:r>
        <w:t>7. Exact existence, uniqueness, and regularity</w:t>
      </w:r>
    </w:p>
    <w:p>
      <w:r>
        <w:t>The repository contains a decisive certificate computed entirely with integers, exact rational intervals, and outward dyadic square-root bounds. No floating-point arithmetic is used for the following inequalities. The proof covers x∈[0,13/40] and s∈[2/3,21/25].</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Certified statement</w:t>
            </w:r>
          </w:p>
        </w:tc>
        <w:tc>
          <w:tcPr>
            <w:tcW w:type="dxa" w:w="3331"/>
            <w:shd w:fill="D9EAF7"/>
          </w:tcPr>
          <w:p>
            <w:r>
              <w:rPr>
                <w:b/>
              </w:rPr>
              <w:t>Exact sign</w:t>
            </w:r>
          </w:p>
        </w:tc>
        <w:tc>
          <w:tcPr>
            <w:tcW w:type="dxa" w:w="3331"/>
            <w:shd w:fill="D9EAF7"/>
          </w:tcPr>
          <w:p>
            <w:r>
              <w:rPr>
                <w:b/>
              </w:rPr>
              <w:t>Conservative decimal bound</w:t>
            </w:r>
          </w:p>
        </w:tc>
      </w:tr>
      <w:tr>
        <w:tc>
          <w:tcPr>
            <w:tcW w:type="dxa" w:w="3331"/>
          </w:tcPr>
          <w:p>
            <w:r>
              <w:t>H(2/3,x)</w:t>
            </w:r>
          </w:p>
        </w:tc>
        <w:tc>
          <w:tcPr>
            <w:tcW w:type="dxa" w:w="3331"/>
          </w:tcPr>
          <w:p>
            <w:r>
              <w:t>strictly negative</w:t>
            </w:r>
          </w:p>
        </w:tc>
        <w:tc>
          <w:tcPr>
            <w:tcW w:type="dxa" w:w="3331"/>
          </w:tcPr>
          <w:p>
            <w:r>
              <w:t>&lt; -0.281883</w:t>
            </w:r>
          </w:p>
        </w:tc>
      </w:tr>
      <w:tr>
        <w:tc>
          <w:tcPr>
            <w:tcW w:type="dxa" w:w="3331"/>
          </w:tcPr>
          <w:p>
            <w:r>
              <w:t>H(21/25,x)</w:t>
            </w:r>
          </w:p>
        </w:tc>
        <w:tc>
          <w:tcPr>
            <w:tcW w:type="dxa" w:w="3331"/>
          </w:tcPr>
          <w:p>
            <w:r>
              <w:t>strictly positive</w:t>
            </w:r>
          </w:p>
        </w:tc>
        <w:tc>
          <w:tcPr>
            <w:tcW w:type="dxa" w:w="3331"/>
          </w:tcPr>
          <w:p>
            <w:r>
              <w:t>&gt; 0.058561</w:t>
            </w:r>
          </w:p>
        </w:tc>
      </w:tr>
      <w:tr>
        <w:tc>
          <w:tcPr>
            <w:tcW w:type="dxa" w:w="3331"/>
          </w:tcPr>
          <w:p>
            <w:r>
              <w:t>∂H/∂s</w:t>
            </w:r>
          </w:p>
        </w:tc>
        <w:tc>
          <w:tcPr>
            <w:tcW w:type="dxa" w:w="3331"/>
          </w:tcPr>
          <w:p>
            <w:r>
              <w:t>strictly positive</w:t>
            </w:r>
          </w:p>
        </w:tc>
        <w:tc>
          <w:tcPr>
            <w:tcW w:type="dxa" w:w="3331"/>
          </w:tcPr>
          <w:p>
            <w:r>
              <w:t>&gt; 1.220892</w:t>
            </w:r>
          </w:p>
        </w:tc>
      </w:tr>
    </w:tbl>
    <w:p>
      <w:r>
        <w:t>The endpoint signs are certified on sixteen exact x-subintervals. Strict monotonicity is certified on a 32×32 subdivision of the (s,x)-rectangle at 112 dyadic bits. The stored JSON certificate contains every rational enclosure and is independently recomputed by the verifier.</w:t>
      </w:r>
    </w:p>
    <w:p>
      <w:r>
        <w:drawing>
          <wp:inline xmlns:a="http://schemas.openxmlformats.org/drawingml/2006/main" xmlns:pic="http://schemas.openxmlformats.org/drawingml/2006/picture">
            <wp:extent cx="5989320" cy="3459000"/>
            <wp:docPr id="2" name="Picture 2"/>
            <wp:cNvGraphicFramePr>
              <a:graphicFrameLocks noChangeAspect="1"/>
            </wp:cNvGraphicFramePr>
            <a:graphic>
              <a:graphicData uri="http://schemas.openxmlformats.org/drawingml/2006/picture">
                <pic:pic>
                  <pic:nvPicPr>
                    <pic:cNvPr id="0" name="endpoint_signs.png"/>
                    <pic:cNvPicPr/>
                  </pic:nvPicPr>
                  <pic:blipFill>
                    <a:blip r:embed="rId12"/>
                    <a:stretch>
                      <a:fillRect/>
                    </a:stretch>
                  </pic:blipFill>
                  <pic:spPr>
                    <a:xfrm>
                      <a:off x="0" y="0"/>
                      <a:ext cx="5989320" cy="3459000"/>
                    </a:xfrm>
                    <a:prstGeom prst="rect"/>
                  </pic:spPr>
                </pic:pic>
              </a:graphicData>
            </a:graphic>
          </wp:inline>
        </w:drawing>
      </w:r>
    </w:p>
    <w:p>
      <w:pPr>
        <w:spacing w:before="40" w:after="140"/>
        <w:jc w:val="center"/>
      </w:pPr>
      <w:r>
        <w:rPr>
          <w:i/>
          <w:sz w:val="18"/>
        </w:rPr>
        <w:t>Figure 2. Floating-point visualization of the sign separation that is proved by exact interval arithmetic.</w:t>
      </w:r>
    </w:p>
    <w:p>
      <w:r>
        <w:t>By the intermediate value theorem, for every x in the domain there exists a root s(x)∈(2/3,21/25). Since ∂H/∂s&gt;0, the root is unique. The radicands remain strictly positive on the rectangle, so H is real analytic; the implicit function theorem therefore gives a unique real-analytic branch s(x).</w:t>
      </w:r>
    </w:p>
    <w:p>
      <w:r>
        <w:drawing>
          <wp:inline xmlns:a="http://schemas.openxmlformats.org/drawingml/2006/main" xmlns:pic="http://schemas.openxmlformats.org/drawingml/2006/picture">
            <wp:extent cx="5989320" cy="3452271"/>
            <wp:docPr id="3" name="Picture 3"/>
            <wp:cNvGraphicFramePr>
              <a:graphicFrameLocks noChangeAspect="1"/>
            </wp:cNvGraphicFramePr>
            <a:graphic>
              <a:graphicData uri="http://schemas.openxmlformats.org/drawingml/2006/picture">
                <pic:pic>
                  <pic:nvPicPr>
                    <pic:cNvPr id="0" name="scalar_branch.png"/>
                    <pic:cNvPicPr/>
                  </pic:nvPicPr>
                  <pic:blipFill>
                    <a:blip r:embed="rId13"/>
                    <a:stretch>
                      <a:fillRect/>
                    </a:stretch>
                  </pic:blipFill>
                  <pic:spPr>
                    <a:xfrm>
                      <a:off x="0" y="0"/>
                      <a:ext cx="5989320" cy="3452271"/>
                    </a:xfrm>
                    <a:prstGeom prst="rect"/>
                  </pic:spPr>
                </pic:pic>
              </a:graphicData>
            </a:graphic>
          </wp:inline>
        </w:drawing>
      </w:r>
    </w:p>
    <w:p>
      <w:pPr>
        <w:spacing w:before="40" w:after="140"/>
        <w:jc w:val="center"/>
      </w:pPr>
      <w:r>
        <w:rPr>
          <w:i/>
          <w:sz w:val="18"/>
        </w:rPr>
        <w:t>Figure 3. The unique scalar branch sampled at odd Goldberg parameters k=5,…,501.</w:t>
      </w:r>
    </w:p>
    <w:p>
      <w:pPr>
        <w:pStyle w:val="Heading1"/>
      </w:pPr>
      <w:r>
        <w:t>8. Explicit twelve-template construction</w:t>
      </w:r>
    </w:p>
    <w:p>
      <w:r>
        <w:t>For the unique root s=s(x), put t=1/2−s and define</w:t>
      </w:r>
    </w:p>
    <w:p>
      <w:pPr>
        <w:spacing w:before="60" w:after="100"/>
        <w:jc w:val="center"/>
      </w:pPr>
      <w:r>
        <w:rPr>
          <w:rFonts w:ascii="Cambria Math" w:hAnsi="Cambria Math"/>
          <w:sz w:val="23"/>
        </w:rPr>
        <w:t>a=( A_s, 0, D_s),       b=(−B_s, s, −C_s),       c=( B_s, s, C_s),</w:t>
      </w:r>
    </w:p>
    <w:p>
      <w:pPr>
        <w:spacing w:before="60" w:after="100"/>
        <w:jc w:val="center"/>
      </w:pPr>
      <w:r>
        <w:rPr>
          <w:rFonts w:ascii="Cambria Math" w:hAnsi="Cambria Math"/>
          <w:sz w:val="23"/>
        </w:rPr>
        <w:t>d=( A_t, 0, D_t),       e=(−B_t, t, −C_t),       f=( B_t, t, C_t),</w:t>
      </w:r>
    </w:p>
    <w:p>
      <w:pPr>
        <w:spacing w:before="60" w:after="100"/>
        <w:jc w:val="center"/>
      </w:pPr>
      <w:r>
        <w:rPr>
          <w:rFonts w:ascii="Cambria Math" w:hAnsi="Cambria Math"/>
          <w:sz w:val="23"/>
        </w:rPr>
        <w:t>g=(0,−1,0),</w:t>
      </w:r>
    </w:p>
    <w:p>
      <w:pPr>
        <w:spacing w:before="60" w:after="100"/>
        <w:jc w:val="center"/>
      </w:pPr>
      <w:r>
        <w:rPr>
          <w:rFonts w:ascii="Cambria Math" w:hAnsi="Cambria Math"/>
          <w:sz w:val="23"/>
        </w:rPr>
        <w:t>h=(B_s−B_t,−1/2,C_s−C_t),</w:t>
      </w:r>
    </w:p>
    <w:p>
      <w:pPr>
        <w:spacing w:before="60" w:after="100"/>
        <w:jc w:val="center"/>
      </w:pPr>
      <w:r>
        <w:rPr>
          <w:rFonts w:ascii="Cambria Math" w:hAnsi="Cambria Math"/>
          <w:sz w:val="23"/>
        </w:rPr>
        <w:t>i=(B_t−B_s,−1/2,C_t−C_s),</w:t>
      </w:r>
    </w:p>
    <w:p>
      <w:pPr>
        <w:spacing w:before="60" w:after="100"/>
        <w:jc w:val="center"/>
      </w:pPr>
      <w:r>
        <w:rPr>
          <w:rFonts w:ascii="Cambria Math" w:hAnsi="Cambria Math"/>
          <w:sz w:val="23"/>
        </w:rPr>
        <w:t>p=(−sx,−s,z_s),       q=(−tx,−t,z_t),</w:t>
      </w:r>
    </w:p>
    <w:p>
      <w:pPr>
        <w:spacing w:before="60" w:after="100"/>
        <w:jc w:val="center"/>
      </w:pPr>
      <w:r>
        <w:rPr>
          <w:rFonts w:ascii="Cambria Math" w:hAnsi="Cambria Math"/>
          <w:sz w:val="23"/>
        </w:rPr>
        <w:t>r=(x/2,1/2,√(3−x²)/2).</w:t>
      </w:r>
    </w:p>
    <w:p>
      <w:pPr>
        <w:pStyle w:val="Heading1"/>
      </w:pPr>
      <w:r>
        <w:t>9. Verification of the construction</w:t>
      </w:r>
    </w:p>
    <w:p>
      <w:pPr>
        <w:pStyle w:val="Heading2"/>
      </w:pPr>
      <w:r>
        <w:t>9.1 Unit norms</w:t>
      </w:r>
    </w:p>
    <w:p>
      <w:r>
        <w:t>The local-channel lemma gives unit norm for a,b,c,p and d,e,f,q. The vector r is unit by direct calculation. The identity R⁻¹r−r=(0,−1,0) gives the unit vector g. Finally, H(s,x)=0 gives ||h||=||i||=1.</w:t>
      </w:r>
    </w:p>
    <w:p>
      <w:pPr>
        <w:pStyle w:val="Heading2"/>
      </w:pPr>
      <w:r>
        <w:t>9.2 Kirchhoff equations</w:t>
      </w:r>
    </w:p>
    <w:p>
      <w:pPr>
        <w:pStyle w:val="ListBullet"/>
        <w:spacing w:after="40"/>
      </w:pPr>
      <w:r>
        <w:t>The local-channel identities give a+b=R⁻¹p, c=a−p, d+e=R⁻¹q, and f=d−q.</w:t>
      </w:r>
    </w:p>
    <w:p>
      <w:pPr>
        <w:pStyle w:val="ListBullet"/>
        <w:spacing w:after="40"/>
      </w:pPr>
      <w:r>
        <w:t>The selected r gives g+r=R⁻¹r.</w:t>
      </w:r>
    </w:p>
    <w:p>
      <w:pPr>
        <w:pStyle w:val="ListBullet"/>
        <w:spacing w:after="40"/>
      </w:pPr>
      <w:r>
        <w:t>The definitions give h+i=g.</w:t>
      </w:r>
    </w:p>
    <w:p>
      <w:pPr>
        <w:pStyle w:val="ListBullet"/>
        <w:spacing w:after="40"/>
      </w:pPr>
      <w:r>
        <w:t>Because s+t=1/2, direct componentwise addition gives b+f+h=0 and c+e+i=0.</w:t>
      </w:r>
    </w:p>
    <w:p>
      <w:r>
        <w:t>Thus all eight representative vertex equations hold. For every block shift j, assign Rʲ times the corresponding template to the shifted edge. Orthogonality preserves norms and the representative equations. Since Rᵏ=I, the assignment is consistent at the seam. This completes the proof of the Main Theorem.</w:t>
      </w:r>
    </w:p>
    <w:p>
      <w:pPr>
        <w:pStyle w:val="Heading1"/>
      </w:pPr>
      <w:r>
        <w:t>10. Reproducibility and independent checks</w:t>
      </w:r>
    </w:p>
    <w:p>
      <w:r>
        <w:t>The exact theorem does not depend on numerical experiments. The experiments provide regression protection for graph indexing, orbit expansion, orientation signs, and implementation errors.</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rPr>
                <w:b/>
              </w:rPr>
              <w:t>Check</w:t>
            </w:r>
          </w:p>
        </w:tc>
        <w:tc>
          <w:tcPr>
            <w:tcW w:type="dxa" w:w="4997"/>
            <w:shd w:fill="D9EAF7"/>
          </w:tcPr>
          <w:p>
            <w:r>
              <w:rPr>
                <w:b/>
              </w:rPr>
              <w:t>Observed result</w:t>
            </w:r>
          </w:p>
        </w:tc>
      </w:tr>
      <w:tr>
        <w:tc>
          <w:tcPr>
            <w:tcW w:type="dxa" w:w="4997"/>
          </w:tcPr>
          <w:p>
            <w:r>
              <w:t>Odd parameters</w:t>
            </w:r>
          </w:p>
        </w:tc>
        <w:tc>
          <w:tcPr>
            <w:tcW w:type="dxa" w:w="4997"/>
          </w:tcPr>
          <w:p>
            <w:r>
              <w:t>499 values, k=5,…,1001</w:t>
            </w:r>
          </w:p>
        </w:tc>
      </w:tr>
      <w:tr>
        <w:tc>
          <w:tcPr>
            <w:tcW w:type="dxa" w:w="4997"/>
          </w:tcPr>
          <w:p>
            <w:r>
              <w:t>Full graph expansions</w:t>
            </w:r>
          </w:p>
        </w:tc>
        <w:tc>
          <w:tcPr>
            <w:tcW w:type="dxa" w:w="4997"/>
          </w:tcPr>
          <w:p>
            <w:r>
              <w:t>149 graphs, k=5,…,301</w:t>
            </w:r>
          </w:p>
        </w:tc>
      </w:tr>
      <w:tr>
        <w:tc>
          <w:tcPr>
            <w:tcW w:type="dxa" w:w="4997"/>
          </w:tcPr>
          <w:p>
            <w:r>
              <w:t>Worst reduced Kirchhoff residual</w:t>
            </w:r>
          </w:p>
        </w:tc>
        <w:tc>
          <w:tcPr>
            <w:tcW w:type="dxa" w:w="4997"/>
          </w:tcPr>
          <w:p>
            <w:r>
              <w:t>3.036e-16</w:t>
            </w:r>
          </w:p>
        </w:tc>
      </w:tr>
      <w:tr>
        <w:tc>
          <w:tcPr>
            <w:tcW w:type="dxa" w:w="4997"/>
          </w:tcPr>
          <w:p>
            <w:r>
              <w:t>Worst reduced norm residual</w:t>
            </w:r>
          </w:p>
        </w:tc>
        <w:tc>
          <w:tcPr>
            <w:tcW w:type="dxa" w:w="4997"/>
          </w:tcPr>
          <w:p>
            <w:r>
              <w:t>2.220e-15</w:t>
            </w:r>
          </w:p>
        </w:tc>
      </w:tr>
      <w:tr>
        <w:tc>
          <w:tcPr>
            <w:tcW w:type="dxa" w:w="4997"/>
          </w:tcPr>
          <w:p>
            <w:r>
              <w:t>Worst full Kirchhoff residual</w:t>
            </w:r>
          </w:p>
        </w:tc>
        <w:tc>
          <w:tcPr>
            <w:tcW w:type="dxa" w:w="4997"/>
          </w:tcPr>
          <w:p>
            <w:r>
              <w:t>7.196e-14</w:t>
            </w:r>
          </w:p>
        </w:tc>
      </w:tr>
      <w:tr>
        <w:tc>
          <w:tcPr>
            <w:tcW w:type="dxa" w:w="4997"/>
          </w:tcPr>
          <w:p>
            <w:r>
              <w:t>Worst full norm residual</w:t>
            </w:r>
          </w:p>
        </w:tc>
        <w:tc>
          <w:tcPr>
            <w:tcW w:type="dxa" w:w="4997"/>
          </w:tcPr>
          <w:p>
            <w:r>
              <w:t>3.708e-14</w:t>
            </w:r>
          </w:p>
        </w:tc>
      </w:tr>
      <w:tr>
        <w:tc>
          <w:tcPr>
            <w:tcW w:type="dxa" w:w="4997"/>
          </w:tcPr>
          <w:p>
            <w:r>
              <w:t>Independent large instance</w:t>
            </w:r>
          </w:p>
        </w:tc>
        <w:tc>
          <w:tcPr>
            <w:tcW w:type="dxa" w:w="4997"/>
          </w:tcPr>
          <w:p>
            <w:r>
              <w:t>G₁₀₀₁: 8,008 vertices and 12,012 edges</w:t>
            </w:r>
          </w:p>
        </w:tc>
      </w:tr>
      <w:tr>
        <w:tc>
          <w:tcPr>
            <w:tcW w:type="dxa" w:w="4997"/>
          </w:tcPr>
          <w:p>
            <w:r>
              <w:t>Automated tests</w:t>
            </w:r>
          </w:p>
        </w:tc>
        <w:tc>
          <w:tcPr>
            <w:tcW w:type="dxa" w:w="4997"/>
          </w:tcPr>
          <w:p>
            <w:r>
              <w:t>10 tests passed</w:t>
            </w:r>
          </w:p>
        </w:tc>
      </w:tr>
    </w:tbl>
    <w:p>
      <w:pPr>
        <w:pStyle w:val="Heading2"/>
      </w:pPr>
      <w:r>
        <w:t>10.1 Commands</w:t>
      </w:r>
    </w:p>
    <w:tbl>
      <w:tblPr>
        <w:tblW w:type="auto" w:w="0"/>
        <w:jc w:val="center"/>
        <w:tblLayout w:type="autofit"/>
        <w:tblLook w:firstColumn="1" w:firstRow="1" w:lastColumn="0" w:lastRow="0" w:noHBand="0" w:noVBand="1" w:val="04A0"/>
      </w:tblPr>
      <w:tblGrid>
        <w:gridCol w:w="9994"/>
      </w:tblGrid>
      <w:tr>
        <w:tc>
          <w:tcPr>
            <w:tcW w:type="dxa" w:w="9994"/>
            <w:shd w:fill="F3F5F7"/>
          </w:tcPr>
          <w:p>
            <w:pPr>
              <w:spacing w:before="80" w:after="80"/>
            </w:pPr>
            <w:r>
              <w:rPr>
                <w:rFonts w:ascii="Consolas" w:hAnsi="Consolas"/>
                <w:sz w:val="18"/>
              </w:rPr>
              <w:t>python -m pip install -r requirements-dev.txt</w:t>
            </w:r>
            <w:r>
              <w:br/>
            </w:r>
            <w:r>
              <w:rPr>
                <w:rFonts w:ascii="Consolas" w:hAnsi="Consolas"/>
                <w:sz w:val="18"/>
              </w:rPr>
              <w:t>python -m pip install -e .</w:t>
            </w:r>
            <w:r>
              <w:br/>
            </w:r>
            <w:r>
              <w:rPr>
                <w:rFonts w:ascii="Consolas" w:hAnsi="Consolas"/>
                <w:sz w:val="18"/>
              </w:rPr>
              <w:t>python scripts/run_interval_proof.py</w:t>
            </w:r>
            <w:r>
              <w:br/>
            </w:r>
            <w:r>
              <w:rPr>
                <w:rFonts w:ascii="Consolas" w:hAnsi="Consolas"/>
                <w:sz w:val="18"/>
              </w:rPr>
              <w:t>python scripts/verify_interval_certificate.py</w:t>
            </w:r>
            <w:r>
              <w:br/>
            </w:r>
            <w:r>
              <w:rPr>
                <w:rFonts w:ascii="Consolas" w:hAnsi="Consolas"/>
                <w:sz w:val="18"/>
              </w:rPr>
              <w:t>python scripts/run_numerical_sweep.py --max-k 1001 --full-max-k 301</w:t>
            </w:r>
            <w:r>
              <w:br/>
            </w:r>
            <w:r>
              <w:rPr>
                <w:rFonts w:ascii="Consolas" w:hAnsi="Consolas"/>
                <w:sz w:val="18"/>
              </w:rPr>
              <w:t>python scripts/verify_one.py 1001</w:t>
            </w:r>
            <w:r>
              <w:br/>
            </w:r>
            <w:r>
              <w:rPr>
                <w:rFonts w:ascii="Consolas" w:hAnsi="Consolas"/>
                <w:sz w:val="18"/>
              </w:rPr>
              <w:t>python -m pytest</w:t>
            </w:r>
          </w:p>
        </w:tc>
      </w:tr>
    </w:tbl>
    <w:p>
      <w:pPr>
        <w:pStyle w:val="Heading1"/>
      </w:pPr>
      <w:r>
        <w:t>11. What has and has not been proved</w:t>
      </w:r>
    </w:p>
    <w:tbl>
      <w:tblPr>
        <w:tblStyle w:val="TableGrid"/>
        <w:tblW w:type="auto" w:w="0"/>
        <w:jc w:val="center"/>
        <w:tblLook w:firstColumn="1" w:firstRow="1" w:lastColumn="0" w:lastRow="0" w:noHBand="0" w:noVBand="1" w:val="04A0"/>
      </w:tblPr>
      <w:tblGrid>
        <w:gridCol w:w="4997"/>
        <w:gridCol w:w="4997"/>
      </w:tblGrid>
      <w:tr>
        <w:tc>
          <w:tcPr>
            <w:tcW w:type="dxa" w:w="4997"/>
            <w:shd w:fill="E2F0D9"/>
          </w:tcPr>
          <w:p>
            <w:r>
              <w:t>Proved</w:t>
            </w:r>
          </w:p>
        </w:tc>
        <w:tc>
          <w:tcPr>
            <w:tcW w:type="dxa" w:w="4997"/>
          </w:tcPr>
          <w:p>
            <w:r>
              <w:t>Every Goldberg snark Gₖ with odd k≥5 has an explicit Zₖ-equivariant S²-flow; the scalar solution is unique and real analytic in the continuous parameter x.</w:t>
            </w:r>
          </w:p>
        </w:tc>
      </w:tr>
      <w:tr>
        <w:tc>
          <w:tcPr>
            <w:tcW w:type="dxa" w:w="4997"/>
            <w:shd w:fill="FCE4D6"/>
          </w:tcPr>
          <w:p>
            <w:r>
              <w:t>Not proved</w:t>
            </w:r>
          </w:p>
        </w:tc>
        <w:tc>
          <w:tcPr>
            <w:tcW w:type="dxa" w:w="4997"/>
          </w:tcPr>
          <w:p>
            <w:r>
              <w:t>The universal S²-flow conjecture for all bridgeless cubic graphs. The result is a strong infinite-family theorem, not a universal proof.</w:t>
            </w:r>
          </w:p>
        </w:tc>
      </w:tr>
    </w:tbl>
    <w:p>
      <w:pPr>
        <w:pStyle w:val="Heading1"/>
      </w:pPr>
      <w:r>
        <w:t>Appendix A. Proof-certificate configuration</w:t>
      </w:r>
    </w:p>
    <w:p>
      <w:pPr>
        <w:pStyle w:val="ListBullet"/>
        <w:spacing w:after="40"/>
      </w:pPr>
      <w:r>
        <w:t>Certificate schema: goldberg-s2-interval-certificate-v1</w:t>
      </w:r>
    </w:p>
    <w:p>
      <w:pPr>
        <w:pStyle w:val="ListBullet"/>
        <w:spacing w:after="40"/>
      </w:pPr>
      <w:r>
        <w:t>Dyadic precision: 112 bits</w:t>
      </w:r>
    </w:p>
    <w:p>
      <w:pPr>
        <w:pStyle w:val="ListBullet"/>
        <w:spacing w:after="40"/>
      </w:pPr>
      <w:r>
        <w:t>Endpoint partition: 16 x-boxes</w:t>
      </w:r>
    </w:p>
    <w:p>
      <w:pPr>
        <w:pStyle w:val="ListBullet"/>
        <w:spacing w:after="40"/>
      </w:pPr>
      <w:r>
        <w:t>Derivative partition: 32×32 boxes</w:t>
      </w:r>
    </w:p>
    <w:p>
      <w:pPr>
        <w:pStyle w:val="ListBullet"/>
        <w:spacing w:after="40"/>
      </w:pPr>
      <w:r>
        <w:t>Arithmetic: Python integers, fractions.Fraction, integer square root, and outward dyadic enclosures</w:t>
      </w:r>
    </w:p>
    <w:p>
      <w:pPr>
        <w:pStyle w:val="ListBullet"/>
        <w:spacing w:after="40"/>
      </w:pPr>
      <w:r>
        <w:t>Certificate SHA-256: 0a55c601b8e1ea62c350a97da2cbb883cf8448e38f5f96918ba7c19206bfdf93</w:t>
      </w:r>
    </w:p>
    <w:p>
      <w:pPr>
        <w:pStyle w:val="Heading1"/>
      </w:pPr>
      <w:r>
        <w:t>References</w:t>
      </w:r>
    </w:p>
    <w:p>
      <w:pPr>
        <w:spacing w:after="20"/>
        <w:ind w:left="360" w:hanging="360"/>
      </w:pPr>
      <w:r>
        <w:rPr>
          <w:b/>
          <w:sz w:val="17"/>
        </w:rPr>
        <w:t xml:space="preserve">[1] </w:t>
      </w:r>
      <w:r>
        <w:rPr>
          <w:sz w:val="17"/>
        </w:rPr>
        <w:t>M. K. Goldberg, “Construction of Class 2 Graphs with Maximum Vertex Degree 3,” Journal of Combinatorial Theory, Series B 31 (1981), 282–291.</w:t>
      </w:r>
    </w:p>
    <w:p>
      <w:pPr>
        <w:spacing w:after="20"/>
        <w:ind w:left="360" w:hanging="360"/>
      </w:pPr>
      <w:r>
        <w:rPr>
          <w:b/>
          <w:sz w:val="17"/>
        </w:rPr>
        <w:t xml:space="preserve">[2] </w:t>
      </w:r>
      <w:r>
        <w:rPr>
          <w:sz w:val="17"/>
        </w:rPr>
        <w:t>C. Fiori and B. Ruini, “Infinite Classes of Dihedral Snarks,” Mediterranean Journal of Mathematics 5 (2008), 199–210. DOI: 10.1007/s00009-008-0144-3.</w:t>
      </w:r>
    </w:p>
    <w:p>
      <w:pPr>
        <w:spacing w:after="20"/>
        <w:ind w:left="360" w:hanging="360"/>
      </w:pPr>
      <w:r>
        <w:rPr>
          <w:b/>
          <w:sz w:val="17"/>
        </w:rPr>
        <w:t xml:space="preserve">[3] </w:t>
      </w:r>
      <w:r>
        <w:rPr>
          <w:sz w:val="17"/>
        </w:rPr>
        <w:t>X. Zhang, Y. Wang, and S. Zhang, “Feedback Numbers of Goldberg Snark, Twisted Goldberg Snarks and Related Graphs,” ITM Web of Conferences 25 (2019), 01012. DOI: 10.1051/itmconf/20192501012.</w:t>
      </w:r>
    </w:p>
    <w:p>
      <w:pPr>
        <w:spacing w:after="20"/>
        <w:ind w:left="360" w:hanging="360"/>
      </w:pPr>
      <w:r>
        <w:rPr>
          <w:b/>
          <w:sz w:val="17"/>
        </w:rPr>
        <w:t xml:space="preserve">[4] </w:t>
      </w:r>
      <w:r>
        <w:rPr>
          <w:sz w:val="17"/>
        </w:rPr>
        <w:t>D. Mattiolo et al., “On d-Dimensional Nowhere-Zero r-Flows on a Graph,” arXiv:2304.14231, 2023.</w:t>
      </w:r>
    </w:p>
    <w:p>
      <w:pPr>
        <w:spacing w:after="20"/>
        <w:ind w:left="360" w:hanging="360"/>
      </w:pPr>
      <w:r>
        <w:rPr>
          <w:b/>
          <w:sz w:val="17"/>
        </w:rPr>
        <w:t xml:space="preserve">[5] </w:t>
      </w:r>
      <w:r>
        <w:rPr>
          <w:sz w:val="17"/>
        </w:rPr>
        <w:t>H. Houdrouge et al., “2-Dimensional Unit Vector Flows,” arXiv:2602.21526, 2026.</w:t>
      </w:r>
    </w:p>
    <w:sectPr w:rsidR="00FC693F" w:rsidRPr="0006063C" w:rsidSect="00034616">
      <w:headerReference w:type="default" r:id="rId9"/>
      <w:footerReference w:type="default" r:id="rId10"/>
      <w:pgSz w:w="12240" w:h="15840"/>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S²-flows on Goldberg snarks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44A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4A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F5B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