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Maximum</w:t>
      </w:r>
      <w:r>
        <w:t xml:space="preserve"> </w:t>
      </w:r>
      <w:r>
        <w:t xml:space="preserve">Depth</w:t>
      </w:r>
      <w:r>
        <w:t xml:space="preserve"> </w:t>
      </w:r>
      <w:r>
        <w:t xml:space="preserve">for</w:t>
      </w:r>
      <w:r>
        <w:t xml:space="preserve"> </w:t>
      </w:r>
      <w:r>
        <w:t xml:space="preserve">all</w:t>
      </w:r>
      <w:r>
        <w:t xml:space="preserve"> </w:t>
      </w:r>
      <w:r>
        <w:t xml:space="preserve">Lakes</w:t>
      </w:r>
      <w:r>
        <w:t xml:space="preserve"> </w:t>
      </w:r>
      <w:r>
        <w:t xml:space="preserve">in</w:t>
      </w:r>
      <w:r>
        <w:t xml:space="preserve"> </w:t>
      </w:r>
      <w:r>
        <w:t xml:space="preserve">the</w:t>
      </w:r>
      <w:r>
        <w:t xml:space="preserve"> </w:t>
      </w:r>
      <w:r>
        <w:t xml:space="preserve">United</w:t>
      </w:r>
      <w:r>
        <w:t xml:space="preserve"> </w:t>
      </w:r>
      <w:r>
        <w:t xml:space="preserve">States</w:t>
      </w:r>
    </w:p>
    <w:p>
      <w:pPr>
        <w:pStyle w:val="Author"/>
      </w:pPr>
      <w:r>
        <w:t xml:space="preserve">Keenan</w:t>
      </w:r>
      <w:r>
        <w:t xml:space="preserve"> </w:t>
      </w:r>
      <w:r>
        <w:t xml:space="preserve">Ganz</w:t>
      </w:r>
    </w:p>
    <w:p>
      <w:pPr>
        <w:pStyle w:val="Author"/>
      </w:pPr>
      <w:r>
        <w:t xml:space="preserve">Max</w:t>
      </w:r>
      <w:r>
        <w:t xml:space="preserve"> </w:t>
      </w:r>
      <w:r>
        <w:t xml:space="preserve">Glines</w:t>
      </w:r>
    </w:p>
    <w:p>
      <w:pPr>
        <w:pStyle w:val="Author"/>
      </w:pPr>
      <w:r>
        <w:t xml:space="preserve">Kevin</w:t>
      </w:r>
      <w:r>
        <w:t xml:space="preserve"> </w:t>
      </w:r>
      <w:r>
        <w:t xml:space="preserve">Rose</w:t>
      </w:r>
    </w:p>
    <w:bookmarkStart w:id="20" w:name="introduction"/>
    <w:p>
      <w:pPr>
        <w:pStyle w:val="Heading1"/>
      </w:pPr>
      <w:r>
        <w:rPr>
          <w:rStyle w:val="SectionNumber"/>
        </w:rPr>
        <w:t xml:space="preserve">1</w:t>
      </w:r>
      <w:r>
        <w:tab/>
      </w:r>
      <w:r>
        <w:t xml:space="preserve">Introduction</w:t>
      </w:r>
    </w:p>
    <w:p>
      <w:pPr>
        <w:pStyle w:val="FirstParagraph"/>
      </w:pPr>
      <w:r>
        <w:t xml:space="preserve">A summary of prior models of maximum lake depth is given in Table</w:t>
      </w:r>
      <w:r>
        <w:t xml:space="preserve"> </w:t>
      </w:r>
      <w:r>
        <w:t xml:space="preserve">4.1</w:t>
      </w:r>
      <w:r>
        <w:t xml:space="preserve">.</w:t>
      </w:r>
    </w:p>
    <w:bookmarkEnd w:id="20"/>
    <w:bookmarkStart w:id="28" w:name="methods"/>
    <w:p>
      <w:pPr>
        <w:pStyle w:val="Heading1"/>
      </w:pPr>
      <w:r>
        <w:rPr>
          <w:rStyle w:val="SectionNumber"/>
        </w:rPr>
        <w:t xml:space="preserve">2</w:t>
      </w:r>
      <w:r>
        <w:tab/>
      </w:r>
      <w:r>
        <w:t xml:space="preserve">Methods</w:t>
      </w:r>
    </w:p>
    <w:bookmarkStart w:id="21" w:name="lake-data-sources"/>
    <w:p>
      <w:pPr>
        <w:pStyle w:val="Heading2"/>
      </w:pPr>
      <w:r>
        <w:rPr>
          <w:rStyle w:val="SectionNumber"/>
        </w:rPr>
        <w:t xml:space="preserve">2.1</w:t>
      </w:r>
      <w:r>
        <w:tab/>
      </w:r>
      <w:r>
        <w:t xml:space="preserve">Lake Data Sources</w:t>
      </w:r>
    </w:p>
    <w:p>
      <w:pPr>
        <w:pStyle w:val="FirstParagraph"/>
      </w:pPr>
      <w:r>
        <w:t xml:space="preserve">Lake polygons, depth measurements, and other lake attributes were derived from LAGOS-US LOCUS and DEPTH modules</w:t>
      </w:r>
      <w:r>
        <w:rPr>
          <w:vertAlign w:val="superscript"/>
        </w:rPr>
        <w:t xml:space="preserve">1,2</w:t>
      </w:r>
      <w:r>
        <w:t xml:space="preserve">. Candidate predictor variables were identified from the four tables included in the LOCUS module. Polygon attributes, including area, perimeter, shoreline development index, maximum distance from shoreline, and oriented bounding box length-width ratio, were calculated within QGIS</w:t>
      </w:r>
      <w:r>
        <w:rPr>
          <w:vertAlign w:val="superscript"/>
        </w:rPr>
        <w:t xml:space="preserve">3</w:t>
      </w:r>
      <w:r>
        <w:t xml:space="preserve">.</w:t>
      </w:r>
    </w:p>
    <w:bookmarkEnd w:id="21"/>
    <w:bookmarkStart w:id="22" w:name="terrain-analysis"/>
    <w:p>
      <w:pPr>
        <w:pStyle w:val="Heading2"/>
      </w:pPr>
      <w:r>
        <w:rPr>
          <w:rStyle w:val="SectionNumber"/>
        </w:rPr>
        <w:t xml:space="preserve">2.2</w:t>
      </w:r>
      <w:r>
        <w:tab/>
      </w:r>
      <w:r>
        <w:t xml:space="preserve">Terrain Analysis</w:t>
      </w:r>
    </w:p>
    <w:p>
      <w:pPr>
        <w:pStyle w:val="FirstParagraph"/>
      </w:pPr>
      <w:r>
        <w:t xml:space="preserve">Terrain metrics were derived from the Shuttle Radar Topography Mission 30m digital elevation model within 200m buffer zones around each lake polygon</w:t>
      </w:r>
      <w:r>
        <w:rPr>
          <w:vertAlign w:val="superscript"/>
        </w:rPr>
        <w:t xml:space="preserve">4</w:t>
      </w:r>
      <w:r>
        <w:t xml:space="preserve">. Although other digital elevation models offer finer resolution within the US, SRTM is available worldwide such that the depth model described here may be applied outside of the US.</w:t>
      </w:r>
    </w:p>
    <w:p>
      <w:pPr>
        <w:pStyle w:val="BodyText"/>
      </w:pPr>
      <w:r>
        <w:t xml:space="preserve">All terrain analysis was carried out with Google Earth Engine (GEE)</w:t>
      </w:r>
      <w:r>
        <w:rPr>
          <w:vertAlign w:val="superscript"/>
        </w:rPr>
        <w:t xml:space="preserve">5</w:t>
      </w:r>
      <w:r>
        <w:t xml:space="preserve">. Predictor variables from the four models summarized in were replicated as closely as possible within the GEE environment. Additional predictors, including buffer elevation, buffer slope, terrain roughness index, horizontal curvature, and kernel-based metrics were included to fully describe the topography of lake buffer zones</w:t>
      </w:r>
      <w:r>
        <w:rPr>
          <w:vertAlign w:val="superscript"/>
        </w:rPr>
        <w:t xml:space="preserve">6</w:t>
      </w:r>
      <w:r>
        <w:t xml:space="preserve">. Each metric was calculated for all SRTM pixels within a buffer zone and summarized as the minimum, maximum, mean, and standard deviation.</w:t>
      </w:r>
    </w:p>
    <w:p>
      <w:pPr>
        <w:pStyle w:val="BodyText"/>
      </w:pPr>
      <w:r>
        <w:t xml:space="preserve">Kernel-based metrics applied summary statistics to all pixels within a given distance of a central pixel. This captures terrain features at a variety of scales. Terrain relief was calculated as the maximum difference between the central pixel and all other pixels in the kernel. Terrain deviation was calculated as the difference between the central pixel and the mean elevation of all pixels in the kernel, normalized to the standard deviation of all pixels in the kernel.</w:t>
      </w:r>
    </w:p>
    <w:bookmarkEnd w:id="22"/>
    <w:bookmarkStart w:id="23" w:name="spatial-autocorrelation"/>
    <w:p>
      <w:pPr>
        <w:pStyle w:val="Heading2"/>
      </w:pPr>
      <w:r>
        <w:rPr>
          <w:rStyle w:val="SectionNumber"/>
        </w:rPr>
        <w:t xml:space="preserve">2.3</w:t>
      </w:r>
      <w:r>
        <w:tab/>
      </w:r>
      <w:r>
        <w:t xml:space="preserve">Spatial Autocorrelation</w:t>
      </w:r>
    </w:p>
    <w:p>
      <w:pPr>
        <w:pStyle w:val="FirstParagraph"/>
      </w:pPr>
      <w:r>
        <w:t xml:space="preserve">After Oliver et al. (2016), spatial autocorrelation was assumed at the HUC04 scale. Additional predictors were generated by summarizing terrain metrics, polygon attributes, and lake depth within each HUC04 unit.</w:t>
      </w:r>
    </w:p>
    <w:bookmarkEnd w:id="23"/>
    <w:bookmarkStart w:id="24" w:name="lake-surface-temperature"/>
    <w:p>
      <w:pPr>
        <w:pStyle w:val="Heading2"/>
      </w:pPr>
      <w:r>
        <w:rPr>
          <w:rStyle w:val="SectionNumber"/>
        </w:rPr>
        <w:t xml:space="preserve">2.4</w:t>
      </w:r>
      <w:r>
        <w:tab/>
      </w:r>
      <w:r>
        <w:t xml:space="preserve">Lake Surface Temperature</w:t>
      </w:r>
    </w:p>
    <w:p>
      <w:pPr>
        <w:pStyle w:val="FirstParagraph"/>
      </w:pPr>
      <w:r>
        <w:t xml:space="preserve">Lake morphology may be predicted through its relationship with lake heat budget</w:t>
      </w:r>
      <w:r>
        <w:rPr>
          <w:vertAlign w:val="superscript"/>
        </w:rPr>
        <w:t xml:space="preserve">7</w:t>
      </w:r>
      <w:r>
        <w:t xml:space="preserve">. When lake waters are well mixed, water temperature is consistent throughout the water column. Under this regime, deep lakes require a larger energy input to illicit a surface temperature change than shallower lakes. Lake surface temperature during turnover may therefore be indicative of maximum lake depth. A pilot study found that EOS ASTER nighttime water surface temperature explained roughly a third of the variance in maximum lake depth.</w:t>
      </w:r>
      <w:r>
        <w:rPr>
          <w:vertAlign w:val="superscript"/>
        </w:rPr>
        <w:t xml:space="preserve">8</w:t>
      </w:r>
    </w:p>
    <w:p>
      <w:pPr>
        <w:pStyle w:val="BodyText"/>
      </w:pPr>
      <w:r>
        <w:t xml:space="preserve">Expanding this workflow to all lakes in the United States is complicated by incomplete EOS ASTER nighttime ocverage over the contiguous US, atmospheric effects, cloudy imagery, and regional climate variation. It was hypothesized that lake surface temperature is most strongly correlated with regional climate. Therefore, deviation from a regional median land surface temperature would be indicative of lake heat budget.</w:t>
      </w:r>
    </w:p>
    <w:p>
      <w:pPr>
        <w:pStyle w:val="BodyText"/>
      </w:pPr>
      <w:r>
        <w:t xml:space="preserve">Within GEE, daytime 30m Landsat 8 Collection 1 Tier 1 imagery from 2013 to present was used as a source of high-resolution lake surface temperature</w:t>
      </w:r>
      <w:r>
        <w:rPr>
          <w:vertAlign w:val="superscript"/>
        </w:rPr>
        <w:t xml:space="preserve">9</w:t>
      </w:r>
      <w:r>
        <w:t xml:space="preserve">. Cloudy pixels were masked with the quality assurance band of each image. Radiance in bands 10 and 11 was converted to water surface temperature according to the procedure given in Vanhellmont (2020)</w:t>
      </w:r>
      <w:r>
        <w:rPr>
          <w:vertAlign w:val="superscript"/>
        </w:rPr>
        <w:t xml:space="preserve">10</w:t>
      </w:r>
      <w:r>
        <w:t xml:space="preserve">. First, radiance (</w:t>
      </w:r>
      <m:oMath>
        <m:r>
          <m:t>L</m:t>
        </m:r>
      </m:oMath>
      <w:r>
        <w:t xml:space="preserve">) was converted to brightness temperature (</w:t>
      </w:r>
      <m:oMath>
        <m:r>
          <m:t>B</m:t>
        </m:r>
        <m:r>
          <m:t>T</m:t>
        </m:r>
      </m:oMath>
      <w:r>
        <w:t xml:space="preserve">) according to Equation (4.1) and constants listed in Table</w:t>
      </w:r>
      <w:r>
        <w:t xml:space="preserve"> </w:t>
      </w:r>
      <w:r>
        <w:t xml:space="preserve">4.2</w:t>
      </w:r>
      <w:r>
        <w:t xml:space="preserve">.</w:t>
      </w:r>
    </w:p>
    <w:p>
      <w:pPr>
        <w:pStyle w:val="BodyText"/>
      </w:pPr>
      <w:r>
        <w:t xml:space="preserve">Brightness temperatures from bands B10 and B11 are then combined and atmospherically corrected according to constants given in Du et al. (2015) (Equation (4.2); Table</w:t>
      </w:r>
      <w:r>
        <w:t xml:space="preserve"> </w:t>
      </w:r>
      <w:r>
        <w:t xml:space="preserve">4.3</w:t>
      </w:r>
      <w:r>
        <w:t xml:space="preserve">). In Equation (4.2),</w:t>
      </w:r>
      <w:r>
        <w:t xml:space="preserve"> </w:t>
      </w:r>
      <m:oMath>
        <m:acc>
          <m:accPr>
            <m:chr m:val="‾"/>
          </m:accPr>
          <m:e>
            <m:r>
              <m:t>ϵ</m:t>
            </m:r>
          </m:e>
        </m:acc>
      </m:oMath>
      <w:r>
        <w:t xml:space="preserve"> </w:t>
      </w:r>
      <w:r>
        <w:t xml:space="preserve">and</w:t>
      </w:r>
      <w:r>
        <w:t xml:space="preserve"> </w:t>
      </w:r>
      <m:oMath>
        <m:r>
          <m:t>Δ</m:t>
        </m:r>
        <m:r>
          <m:t>ϵ</m:t>
        </m:r>
      </m:oMath>
      <w:r>
        <w:t xml:space="preserve"> </w:t>
      </w:r>
      <w:r>
        <w:t xml:space="preserve">refer to the average and difference between the two</w:t>
      </w:r>
      <w:r>
        <w:t xml:space="preserve"> </w:t>
      </w:r>
      <m:oMath>
        <m:sSub>
          <m:e>
            <m:r>
              <m:t>ϵ</m:t>
            </m:r>
          </m:e>
          <m:sub>
            <m:r>
              <m:t>w</m:t>
            </m:r>
            <m:r>
              <m:t>a</m:t>
            </m:r>
            <m:r>
              <m:t>t</m:t>
            </m:r>
            <m:r>
              <m:t>e</m:t>
            </m:r>
            <m:r>
              <m:t>r</m:t>
            </m:r>
          </m:sub>
        </m:sSub>
      </m:oMath>
      <w:r>
        <w:t xml:space="preserve"> </w:t>
      </w:r>
      <w:r>
        <w:t xml:space="preserve">values given in Table</w:t>
      </w:r>
      <w:r>
        <w:t xml:space="preserve"> </w:t>
      </w:r>
      <w:r>
        <w:t xml:space="preserve">4.2</w:t>
      </w:r>
      <w:r>
        <w:t xml:space="preserve">.</w:t>
      </w:r>
    </w:p>
    <w:p>
      <w:pPr>
        <w:pStyle w:val="BodyText"/>
      </w:pPr>
      <w:r>
        <w:t xml:space="preserve">Monthly median Landsat surface temperature was calculated at the center of each lake in March-May and September-November to capture periods where lake turnover was most likely.</w:t>
      </w:r>
    </w:p>
    <w:p>
      <w:pPr>
        <w:pStyle w:val="BodyText"/>
      </w:pPr>
      <w:r>
        <w:t xml:space="preserve">Monthly median 1km MODIS surface temperature from 2017 was used as representative of local climate</w:t>
      </w:r>
      <w:r>
        <w:rPr>
          <w:vertAlign w:val="superscript"/>
        </w:rPr>
        <w:t xml:space="preserve">11</w:t>
      </w:r>
      <w:r>
        <w:t xml:space="preserve">. A focal median filter was applied to the MODIS imagery with a 3-pixel radius circular kernel, effectively increasing the length scale of median surface temperature to 7km. The difference between lake Landsat surface temperature and MODIS regional surface temperature was calculated for each month and included as a separate candidate predictor of maximum lake depth.</w:t>
      </w:r>
    </w:p>
    <w:bookmarkEnd w:id="24"/>
    <w:bookmarkStart w:id="27" w:name="modeling-workflow"/>
    <w:p>
      <w:pPr>
        <w:pStyle w:val="Heading2"/>
      </w:pPr>
      <w:r>
        <w:rPr>
          <w:rStyle w:val="SectionNumber"/>
        </w:rPr>
        <w:t xml:space="preserve">2.5</w:t>
      </w:r>
      <w:r>
        <w:tab/>
      </w:r>
      <w:r>
        <w:t xml:space="preserve">Modeling Workflow</w:t>
      </w:r>
    </w:p>
    <w:bookmarkStart w:id="25" w:name="model-evaluation"/>
    <w:p>
      <w:pPr>
        <w:pStyle w:val="Heading3"/>
      </w:pPr>
      <w:r>
        <w:rPr>
          <w:rStyle w:val="SectionNumber"/>
        </w:rPr>
        <w:t xml:space="preserve">2.5.1</w:t>
      </w:r>
      <w:r>
        <w:tab/>
      </w:r>
      <w:r>
        <w:t xml:space="preserve">Model Evaluation</w:t>
      </w:r>
    </w:p>
    <w:p>
      <w:pPr>
        <w:pStyle w:val="FirstParagraph"/>
      </w:pPr>
      <w:r>
        <w:t xml:space="preserve">Comparison of existing lake depth models has been impeded by inconsistent source data and small study areas. All models in Table 1 were replicated on the LAGOS-US DEPTH data module. Oliver et al. excluded lakes larger than 1000ha from modeling since depth is known for over 80% of these lakes. A similar proportion (72.5%) of large lakes larger than 1000ha had known maximum depth in the LAGOS-US DEPTH module, so these were excluded from modeling (Figure</w:t>
      </w:r>
      <w:r>
        <w:t xml:space="preserve"> </w:t>
      </w:r>
      <w:r>
        <w:t xml:space="preserve">4.1</w:t>
      </w:r>
      <w:r>
        <w:t xml:space="preserve">). Model performance was evaluated on a stratified sample of 10% of lake depth measurements held out during model training. Evaluation metrics included</w:t>
      </w:r>
      <w:r>
        <w:t xml:space="preserve"> </w:t>
      </w:r>
      <m:oMath>
        <m:sSup>
          <m:e>
            <m:r>
              <m:t>R</m:t>
            </m:r>
          </m:e>
          <m:sup>
            <m:r>
              <m:t>2</m:t>
            </m:r>
          </m:sup>
        </m:sSup>
      </m:oMath>
      <w:r>
        <w:t xml:space="preserve">, root mean square error (RMSE), and mean absolute percent error (MAPE).</w:t>
      </w:r>
    </w:p>
    <w:bookmarkEnd w:id="25"/>
    <w:bookmarkStart w:id="26" w:name="random-forest-model"/>
    <w:p>
      <w:pPr>
        <w:pStyle w:val="Heading3"/>
      </w:pPr>
      <w:r>
        <w:rPr>
          <w:rStyle w:val="SectionNumber"/>
        </w:rPr>
        <w:t xml:space="preserve">2.5.2</w:t>
      </w:r>
      <w:r>
        <w:tab/>
      </w:r>
      <w:r>
        <w:t xml:space="preserve">Random Forest Model</w:t>
      </w:r>
    </w:p>
    <w:p>
      <w:pPr>
        <w:pStyle w:val="FirstParagraph"/>
      </w:pPr>
      <w:r>
        <w:t xml:space="preserve">Random forest modeling</w:t>
      </w:r>
      <w:r>
        <w:rPr>
          <w:vertAlign w:val="superscript"/>
        </w:rPr>
        <w:t xml:space="preserve">12,13</w:t>
      </w:r>
      <w:r>
        <w:t xml:space="preserve"> </w:t>
      </w:r>
      <w:r>
        <w:t xml:space="preserve">was used for its robustness to multicollinearity and ability to capture nonlinear relationships. Feature selection was performed with the R package</w:t>
      </w:r>
      <w:r>
        <w:t xml:space="preserve"> </w:t>
      </w:r>
      <w:r>
        <w:rPr>
          <w:rStyle w:val="VerbatimChar"/>
        </w:rPr>
        <w:t xml:space="preserve">Boruta</w:t>
      </w:r>
      <w:r>
        <w:t xml:space="preserve"> </w:t>
      </w:r>
      <w:r>
        <w:t xml:space="preserve">to screen out ineffective predictors. The Boruta algorithm proceeds by generating a random forest model for a regression problem and iteratively comparing the importance of a candidate predictor with random noise</w:t>
      </w:r>
      <w:r>
        <w:rPr>
          <w:vertAlign w:val="superscript"/>
        </w:rPr>
        <w:t xml:space="preserve">14</w:t>
      </w:r>
      <w:r>
        <w:t xml:space="preserve">. Candidate predictors that outperformed random noise were retained in the random forest model and all others were discarded.</w:t>
      </w:r>
    </w:p>
    <w:bookmarkEnd w:id="26"/>
    <w:bookmarkEnd w:id="27"/>
    <w:bookmarkEnd w:id="28"/>
    <w:bookmarkStart w:id="29" w:name="results"/>
    <w:p>
      <w:pPr>
        <w:pStyle w:val="Heading1"/>
      </w:pPr>
      <w:r>
        <w:rPr>
          <w:rStyle w:val="SectionNumber"/>
        </w:rPr>
        <w:t xml:space="preserve">3</w:t>
      </w:r>
      <w:r>
        <w:tab/>
      </w:r>
      <w:r>
        <w:t xml:space="preserve">Results</w:t>
      </w:r>
    </w:p>
    <w:p>
      <w:pPr>
        <w:pStyle w:val="FirstParagraph"/>
      </w:pPr>
      <w:r>
        <w:t xml:space="preserve">A summary of model performance statistics is given in Table</w:t>
      </w:r>
      <w:r>
        <w:t xml:space="preserve"> </w:t>
      </w:r>
      <w:r>
        <w:t xml:space="preserve">4.4</w:t>
      </w:r>
      <w:r>
        <w:t xml:space="preserve">.</w:t>
      </w:r>
    </w:p>
    <w:bookmarkEnd w:id="29"/>
    <w:bookmarkStart w:id="31" w:name="discussion"/>
    <w:p>
      <w:pPr>
        <w:pStyle w:val="Heading1"/>
      </w:pPr>
      <w:r>
        <w:rPr>
          <w:rStyle w:val="SectionNumber"/>
        </w:rPr>
        <w:t xml:space="preserve">4</w:t>
      </w:r>
      <w:r>
        <w:tab/>
      </w:r>
      <w:r>
        <w:t xml:space="preserve">Discussion</w:t>
      </w:r>
    </w:p>
    <w:p>
      <w:r>
        <w:br w:type="page"/>
      </w:r>
    </w:p>
    <w:p>
      <w:pPr>
        <w:pStyle w:val="TableCaption"/>
      </w:pPr>
      <w:r>
        <w:t xml:space="preserve">Table 4.1: Summary of existing models of maximum lake depth, using local topography and regional characteristics.</w:t>
      </w:r>
    </w:p>
    <w:tbl>
      <w:tblPr>
        <w:tblStyle w:val="Table"/>
        <w:tblW w:type="pct" w:w="5000"/>
        <w:tblLook w:firstRow="1" w:lastRow="0" w:firstColumn="0" w:lastColumn="0" w:noHBand="0" w:noVBand="0" w:val="0020"/>
        <w:tblCaption w:val="Table 4.1: Summary of existing models of maximum lake depth, using local topography and regional characteristics."/>
      </w:tblPr>
      <w:tblGrid>
        <w:gridCol w:w="1038"/>
        <w:gridCol w:w="692"/>
        <w:gridCol w:w="908"/>
        <w:gridCol w:w="3592"/>
        <w:gridCol w:w="865"/>
        <w:gridCol w:w="822"/>
      </w:tblGrid>
      <w:tr>
        <w:trPr>
          <w:tblHeader w:val="true"/>
        </w:trPr>
        <w:tc>
          <w:tcPr/>
          <w:p>
            <w:pPr>
              <w:pStyle w:val="Compact"/>
              <w:jc w:val="left"/>
            </w:pPr>
            <w:r>
              <w:t xml:space="preserve">Citation</w:t>
            </w:r>
          </w:p>
        </w:tc>
        <w:tc>
          <w:tcPr/>
          <w:p>
            <w:pPr>
              <w:pStyle w:val="Compact"/>
              <w:jc w:val="left"/>
            </w:pPr>
            <w:r>
              <w:t xml:space="preserve">Region</w:t>
            </w:r>
          </w:p>
        </w:tc>
        <w:tc>
          <w:tcPr/>
          <w:p>
            <w:pPr>
              <w:pStyle w:val="Compact"/>
              <w:jc w:val="left"/>
            </w:pPr>
            <w:r>
              <w:t xml:space="preserve">Model</w:t>
            </w:r>
          </w:p>
        </w:tc>
        <w:tc>
          <w:tcPr/>
          <w:p>
            <w:pPr>
              <w:pStyle w:val="Compact"/>
              <w:jc w:val="left"/>
            </w:pPr>
            <w:r>
              <w:t xml:space="preserve">Predictors</w:t>
            </w:r>
          </w:p>
        </w:tc>
        <w:tc>
          <w:tcPr/>
          <w:p>
            <w:pPr>
              <w:pStyle w:val="Compact"/>
              <w:jc w:val="left"/>
            </w:pPr>
            <w:r>
              <w:t xml:space="preserve">Maximum Depth</w:t>
            </w:r>
            <w:r>
              <w:t xml:space="preserve"> </w:t>
            </w:r>
            <m:oMath>
              <m:sSup>
                <m:e>
                  <m:r>
                    <m:t>R</m:t>
                  </m:r>
                </m:e>
                <m:sup>
                  <m:r>
                    <m:t>2</m:t>
                  </m:r>
                </m:sup>
              </m:sSup>
            </m:oMath>
          </w:p>
        </w:tc>
        <w:tc>
          <w:tcPr/>
          <w:p>
            <w:pPr>
              <w:pStyle w:val="Compact"/>
              <w:jc w:val="left"/>
            </w:pPr>
            <w:r>
              <w:t xml:space="preserve">RMSE</w:t>
            </w:r>
          </w:p>
        </w:tc>
      </w:tr>
      <w:tr>
        <w:tc>
          <w:tcPr/>
          <w:p>
            <w:pPr>
              <w:pStyle w:val="Compact"/>
              <w:jc w:val="left"/>
            </w:pPr>
            <w:r>
              <w:t xml:space="preserve">Oliver et al. (2016)</w:t>
            </w:r>
          </w:p>
        </w:tc>
        <w:tc>
          <w:tcPr/>
          <w:p>
            <w:pPr>
              <w:pStyle w:val="Compact"/>
              <w:jc w:val="left"/>
            </w:pPr>
            <w:r>
              <w:t xml:space="preserve">Northeastern US</w:t>
            </w:r>
          </w:p>
        </w:tc>
        <w:tc>
          <w:tcPr/>
          <w:p>
            <w:pPr>
              <w:pStyle w:val="Compact"/>
              <w:jc w:val="left"/>
            </w:pPr>
            <w:r>
              <w:t xml:space="preserve">Linear mixed effects</w:t>
            </w:r>
          </w:p>
        </w:tc>
        <w:tc>
          <w:tcPr/>
          <w:p>
            <w:pPr>
              <w:pStyle w:val="Compact"/>
              <w:jc w:val="left"/>
            </w:pPr>
            <w:r>
              <w:t xml:space="preserve">Lake area, shoreline development index, buffer slope, watershed to lake area ratio</w:t>
            </w:r>
          </w:p>
        </w:tc>
        <w:tc>
          <w:tcPr/>
          <w:p>
            <w:pPr>
              <w:pStyle w:val="Compact"/>
              <w:jc w:val="left"/>
            </w:pPr>
            <w:r>
              <w:t xml:space="preserve">0.29</w:t>
            </w:r>
          </w:p>
        </w:tc>
        <w:tc>
          <w:tcPr/>
          <w:p>
            <w:pPr>
              <w:pStyle w:val="Compact"/>
              <w:jc w:val="left"/>
            </w:pPr>
            <w:r>
              <w:t xml:space="preserve">7.1m</w:t>
            </w:r>
          </w:p>
        </w:tc>
      </w:tr>
      <w:tr>
        <w:tc>
          <w:tcPr/>
          <w:p>
            <w:pPr>
              <w:pStyle w:val="Compact"/>
              <w:jc w:val="left"/>
            </w:pPr>
            <w:r>
              <w:t xml:space="preserve">Hollister et al. (2011)</w:t>
            </w:r>
          </w:p>
        </w:tc>
        <w:tc>
          <w:tcPr/>
          <w:p>
            <w:pPr>
              <w:pStyle w:val="Compact"/>
              <w:jc w:val="left"/>
            </w:pPr>
            <w:r>
              <w:t xml:space="preserve">Eastern US</w:t>
            </w:r>
          </w:p>
        </w:tc>
        <w:tc>
          <w:tcPr/>
          <w:p>
            <w:pPr>
              <w:pStyle w:val="Compact"/>
              <w:jc w:val="left"/>
            </w:pPr>
            <w:r>
              <w:t xml:space="preserve">Linear regression</w:t>
            </w:r>
          </w:p>
        </w:tc>
        <w:tc>
          <w:tcPr/>
          <w:p>
            <w:pPr>
              <w:pStyle w:val="Compact"/>
              <w:jc w:val="left"/>
            </w:pPr>
            <w:r>
              <w:t xml:space="preserve">Buffer slope</w:t>
            </w:r>
          </w:p>
        </w:tc>
        <w:tc>
          <w:tcPr/>
          <w:p>
            <w:pPr>
              <w:pStyle w:val="Compact"/>
              <w:jc w:val="left"/>
            </w:pPr>
            <w:r>
              <w:t xml:space="preserve">0.48-0.67</w:t>
            </w:r>
          </w:p>
        </w:tc>
        <w:tc>
          <w:tcPr/>
          <w:p>
            <w:pPr>
              <w:pStyle w:val="Compact"/>
              <w:jc w:val="left"/>
            </w:pPr>
            <w:r>
              <w:t xml:space="preserve">5.09-5.95m</w:t>
            </w:r>
          </w:p>
        </w:tc>
      </w:tr>
      <w:tr>
        <w:tc>
          <w:tcPr/>
          <w:p>
            <w:pPr>
              <w:pStyle w:val="Compact"/>
              <w:jc w:val="left"/>
            </w:pPr>
            <w:r>
              <w:t xml:space="preserve">Heathcote et al. (2015)</w:t>
            </w:r>
          </w:p>
        </w:tc>
        <w:tc>
          <w:tcPr/>
          <w:p>
            <w:pPr>
              <w:pStyle w:val="Compact"/>
              <w:jc w:val="left"/>
            </w:pPr>
            <w:r>
              <w:t xml:space="preserve">Southern Quebec</w:t>
            </w:r>
          </w:p>
        </w:tc>
        <w:tc>
          <w:tcPr/>
          <w:p>
            <w:pPr>
              <w:pStyle w:val="Compact"/>
              <w:jc w:val="left"/>
            </w:pPr>
            <w:r>
              <w:t xml:space="preserve">Linear regression</w:t>
            </w:r>
          </w:p>
        </w:tc>
        <w:tc>
          <w:tcPr/>
          <w:p>
            <w:pPr>
              <w:pStyle w:val="Compact"/>
              <w:jc w:val="left"/>
            </w:pPr>
            <w:r>
              <w:t xml:space="preserve">Buffer elevation change</w:t>
            </w:r>
          </w:p>
        </w:tc>
        <w:tc>
          <w:tcPr/>
          <w:p>
            <w:pPr>
              <w:pStyle w:val="Compact"/>
              <w:jc w:val="left"/>
            </w:pPr>
            <w:r>
              <w:t xml:space="preserve">0.52</w:t>
            </w:r>
          </w:p>
        </w:tc>
        <w:tc>
          <w:tcPr/>
          <w:p>
            <w:pPr>
              <w:pStyle w:val="Compact"/>
              <w:jc w:val="left"/>
            </w:pPr>
            <w:r>
              <w:t xml:space="preserve">0.245</w:t>
            </w:r>
            <w:r>
              <w:t xml:space="preserve"> </w:t>
            </w:r>
            <m:oMath>
              <m:sSub>
                <m:e>
                  <m:r>
                    <m:rPr>
                      <m:nor/>
                      <m:sty m:val="p"/>
                    </m:rPr>
                    <m:t>log</m:t>
                  </m:r>
                </m:e>
                <m:sub>
                  <m:r>
                    <m:t>10</m:t>
                  </m:r>
                </m:sub>
              </m:sSub>
            </m:oMath>
            <w:r>
              <w:t xml:space="preserve">m</w:t>
            </w:r>
          </w:p>
        </w:tc>
      </w:tr>
      <w:tr>
        <w:tc>
          <w:tcPr/>
          <w:p>
            <w:pPr>
              <w:pStyle w:val="Compact"/>
              <w:jc w:val="left"/>
            </w:pPr>
            <w:r>
              <w:t xml:space="preserve">Sobek (2011)</w:t>
            </w:r>
          </w:p>
        </w:tc>
        <w:tc>
          <w:tcPr/>
          <w:p>
            <w:pPr>
              <w:pStyle w:val="Compact"/>
              <w:jc w:val="left"/>
            </w:pPr>
            <w:r>
              <w:t xml:space="preserve">Sweden</w:t>
            </w:r>
          </w:p>
        </w:tc>
        <w:tc>
          <w:tcPr/>
          <w:p>
            <w:pPr>
              <w:pStyle w:val="Compact"/>
              <w:jc w:val="left"/>
            </w:pPr>
            <w:r>
              <w:t xml:space="preserve">Linear regression</w:t>
            </w:r>
          </w:p>
        </w:tc>
        <w:tc>
          <w:tcPr/>
          <w:p>
            <w:pPr>
              <w:pStyle w:val="Compact"/>
              <w:jc w:val="left"/>
            </w:pPr>
            <w:r>
              <w:t xml:space="preserve">Lake area, perimeter, buffer slope</w:t>
            </w:r>
          </w:p>
        </w:tc>
        <w:tc>
          <w:tcPr/>
          <w:p>
            <w:pPr>
              <w:pStyle w:val="Compact"/>
              <w:jc w:val="left"/>
            </w:pPr>
            <w:r>
              <w:t xml:space="preserve">0.36</w:t>
            </w:r>
          </w:p>
        </w:tc>
        <w:tc>
          <w:tcPr/>
          <w:p>
            <w:pPr>
              <w:pStyle w:val="Compact"/>
              <w:jc w:val="left"/>
            </w:pPr>
            <w:r>
              <w:t xml:space="preserve">Not reported</w:t>
            </w:r>
          </w:p>
        </w:tc>
      </w:tr>
      <w:tr>
        <w:tc>
          <w:tcPr/>
          <w:p>
            <w:pPr>
              <w:pStyle w:val="Compact"/>
              <w:jc w:val="left"/>
            </w:pPr>
            <w:r>
              <w:t xml:space="preserve">Becker and Daw (2005)</w:t>
            </w:r>
          </w:p>
        </w:tc>
        <w:tc>
          <w:tcPr/>
          <w:p>
            <w:pPr>
              <w:pStyle w:val="Compact"/>
              <w:jc w:val="left"/>
            </w:pPr>
            <w:r>
              <w:t xml:space="preserve">Wisconsin, US</w:t>
            </w:r>
          </w:p>
        </w:tc>
        <w:tc>
          <w:tcPr/>
          <w:p>
            <w:pPr>
              <w:pStyle w:val="Compact"/>
              <w:jc w:val="left"/>
            </w:pPr>
            <w:r>
              <w:t xml:space="preserve">Linear regression</w:t>
            </w:r>
          </w:p>
        </w:tc>
        <w:tc>
          <w:tcPr/>
          <w:p>
            <w:pPr>
              <w:pStyle w:val="Compact"/>
              <w:jc w:val="left"/>
            </w:pPr>
            <w:r>
              <w:t xml:space="preserve">Nighttime water surface temperature</w:t>
            </w:r>
          </w:p>
        </w:tc>
        <w:tc>
          <w:tcPr/>
          <w:p>
            <w:pPr>
              <w:pStyle w:val="Compact"/>
              <w:jc w:val="left"/>
            </w:pPr>
            <w:r>
              <w:t xml:space="preserve">0.36</w:t>
            </w:r>
          </w:p>
        </w:tc>
        <w:tc>
          <w:tcPr/>
          <w:p>
            <w:pPr>
              <w:pStyle w:val="Compact"/>
              <w:jc w:val="left"/>
            </w:pPr>
            <w:r>
              <w:t xml:space="preserve">Not reported</w:t>
            </w:r>
          </w:p>
        </w:tc>
      </w:tr>
    </w:tbl>
    <w:p/>
    <w:p>
      <w:pPr>
        <w:pStyle w:val="TableCaption"/>
      </w:pPr>
      <w:r>
        <w:t xml:space="preserve">Table 4.2: Constants used in the calculation of brightness temperature from Landsat radiance. Reproduced from Vanhellmont (2020).</w:t>
      </w:r>
    </w:p>
    <w:tbl>
      <w:tblPr>
        <w:tblStyle w:val="Table"/>
        <w:tblW w:type="pct" w:w="5000"/>
        <w:tblLook w:firstRow="1" w:lastRow="0" w:firstColumn="0" w:lastColumn="0" w:noHBand="0" w:noVBand="0" w:val="0020"/>
        <w:tblCaption w:val="Table 4.2: Constants used in the calculation of brightness temperature from Landsat radiance. Reproduced from Vanhellmont (2020)."/>
      </w:tblPr>
      <w:tblGrid>
        <w:gridCol w:w="380"/>
        <w:gridCol w:w="1523"/>
        <w:gridCol w:w="1446"/>
        <w:gridCol w:w="1446"/>
        <w:gridCol w:w="2360"/>
        <w:gridCol w:w="761"/>
      </w:tblGrid>
      <w:tr>
        <w:trPr>
          <w:tblHeader w:val="true"/>
        </w:trPr>
        <w:tc>
          <w:tcPr/>
          <w:p>
            <w:pPr>
              <w:pStyle w:val="Compact"/>
              <w:jc w:val="left"/>
            </w:pPr>
            <w:r>
              <w:t xml:space="preserve">Band</w:t>
            </w:r>
          </w:p>
        </w:tc>
        <w:tc>
          <w:tcPr/>
          <w:p>
            <w:pPr>
              <w:pStyle w:val="Compact"/>
              <w:jc w:val="right"/>
            </w:pPr>
            <w:r>
              <w:t xml:space="preserve">Wavelength (</w:t>
            </w:r>
            <m:oMath>
              <m:r>
                <m:t>μ</m:t>
              </m:r>
            </m:oMath>
            <w:r>
              <w:t xml:space="preserve">m)</w:t>
            </w:r>
          </w:p>
        </w:tc>
        <w:tc>
          <w:tcPr/>
          <w:p>
            <w:pPr>
              <w:pStyle w:val="Compact"/>
              <w:jc w:val="left"/>
            </w:pPr>
            <w:r>
              <w:t xml:space="preserve">Bandwidth (</w:t>
            </w:r>
            <m:oMath>
              <m:r>
                <m:t>μ</m:t>
              </m:r>
            </m:oMath>
            <w:r>
              <w:t xml:space="preserve">m)</w:t>
            </w:r>
          </w:p>
        </w:tc>
        <w:tc>
          <w:tcPr/>
          <w:p>
            <w:pPr>
              <w:pStyle w:val="Compact"/>
              <w:jc w:val="right"/>
            </w:pPr>
            <m:oMath>
              <m:sSub>
                <m:e>
                  <m:r>
                    <m:t>ϵ</m:t>
                  </m:r>
                </m:e>
                <m:sub>
                  <m:r>
                    <m:t>w</m:t>
                  </m:r>
                  <m:r>
                    <m:t>a</m:t>
                  </m:r>
                  <m:r>
                    <m:t>t</m:t>
                  </m:r>
                  <m:r>
                    <m:t>e</m:t>
                  </m:r>
                  <m:r>
                    <m:t>r</m:t>
                  </m:r>
                </m:sub>
              </m:sSub>
            </m:oMath>
          </w:p>
        </w:tc>
        <w:tc>
          <w:tcPr/>
          <w:p>
            <w:pPr>
              <w:pStyle w:val="Compact"/>
              <w:jc w:val="right"/>
            </w:pPr>
            <m:oMath>
              <m:sSub>
                <m:e>
                  <m:r>
                    <m:t>K</m:t>
                  </m:r>
                </m:e>
                <m:sub>
                  <m:r>
                    <m:t>1</m:t>
                  </m:r>
                </m:sub>
              </m:sSub>
            </m:oMath>
            <w:r>
              <w:t xml:space="preserve"> </w:t>
            </w:r>
            <w:r>
              <w:t xml:space="preserve">(Wm</w:t>
            </w:r>
            <m:oMath>
              <m:sSup>
                <m:e>
                  <m:r>
                    <m:t>​</m:t>
                  </m:r>
                </m:e>
                <m:sup>
                  <m:r>
                    <m:rPr>
                      <m:sty m:val="p"/>
                    </m:rPr>
                    <m:t>−</m:t>
                  </m:r>
                  <m:r>
                    <m:t>2</m:t>
                  </m:r>
                </m:sup>
              </m:sSup>
            </m:oMath>
            <w:r>
              <w:t xml:space="preserve">sr</w:t>
            </w:r>
            <m:oMath>
              <m:sSup>
                <m:e>
                  <m:r>
                    <m:t>​</m:t>
                  </m:r>
                </m:e>
                <m:sup>
                  <m:r>
                    <m:rPr>
                      <m:sty m:val="p"/>
                    </m:rPr>
                    <m:t>−</m:t>
                  </m:r>
                  <m:r>
                    <m:t>1</m:t>
                  </m:r>
                </m:sup>
              </m:sSup>
              <m:r>
                <m:t>μ</m:t>
              </m:r>
            </m:oMath>
            <w:r>
              <w:t xml:space="preserve">m)</w:t>
            </w:r>
          </w:p>
        </w:tc>
        <w:tc>
          <w:tcPr/>
          <w:p>
            <w:pPr>
              <w:pStyle w:val="Compact"/>
              <w:jc w:val="right"/>
            </w:pPr>
            <m:oMath>
              <m:sSub>
                <m:e>
                  <m:r>
                    <m:t>K</m:t>
                  </m:r>
                </m:e>
                <m:sub>
                  <m:r>
                    <m:t>2</m:t>
                  </m:r>
                </m:sub>
              </m:sSub>
            </m:oMath>
            <w:r>
              <w:t xml:space="preserve"> </w:t>
            </w:r>
            <w:r>
              <w:t xml:space="preserve">(K)</w:t>
            </w:r>
          </w:p>
        </w:tc>
      </w:tr>
      <w:tr>
        <w:tc>
          <w:tcPr/>
          <w:p>
            <w:pPr>
              <w:pStyle w:val="Compact"/>
              <w:jc w:val="left"/>
            </w:pPr>
            <w:r>
              <w:t xml:space="preserve">B10</w:t>
            </w:r>
          </w:p>
        </w:tc>
        <w:tc>
          <w:tcPr/>
          <w:p>
            <w:pPr>
              <w:pStyle w:val="Compact"/>
              <w:jc w:val="right"/>
            </w:pPr>
            <w:r>
              <w:t xml:space="preserve">10.9</w:t>
            </w:r>
          </w:p>
        </w:tc>
        <w:tc>
          <w:tcPr/>
          <w:p>
            <w:pPr>
              <w:pStyle w:val="Compact"/>
              <w:jc w:val="left"/>
            </w:pPr>
            <w:r>
              <w:t xml:space="preserve">10.6 - 11.2</w:t>
            </w:r>
          </w:p>
        </w:tc>
        <w:tc>
          <w:tcPr/>
          <w:p>
            <w:pPr>
              <w:pStyle w:val="Compact"/>
              <w:jc w:val="right"/>
            </w:pPr>
            <w:r>
              <w:t xml:space="preserve">0.9926</w:t>
            </w:r>
          </w:p>
        </w:tc>
        <w:tc>
          <w:tcPr/>
          <w:p>
            <w:pPr>
              <w:pStyle w:val="Compact"/>
              <w:jc w:val="right"/>
            </w:pPr>
            <w:r>
              <w:t xml:space="preserve">774.8853</w:t>
            </w:r>
          </w:p>
        </w:tc>
        <w:tc>
          <w:tcPr/>
          <w:p>
            <w:pPr>
              <w:pStyle w:val="Compact"/>
              <w:jc w:val="right"/>
            </w:pPr>
            <w:r>
              <w:t xml:space="preserve">1321.079</w:t>
            </w:r>
          </w:p>
        </w:tc>
      </w:tr>
      <w:tr>
        <w:tc>
          <w:tcPr/>
          <w:p>
            <w:pPr>
              <w:pStyle w:val="Compact"/>
              <w:jc w:val="left"/>
            </w:pPr>
            <w:r>
              <w:t xml:space="preserve">B11</w:t>
            </w:r>
          </w:p>
        </w:tc>
        <w:tc>
          <w:tcPr/>
          <w:p>
            <w:pPr>
              <w:pStyle w:val="Compact"/>
              <w:jc w:val="right"/>
            </w:pPr>
            <w:r>
              <w:t xml:space="preserve">12.0</w:t>
            </w:r>
          </w:p>
        </w:tc>
        <w:tc>
          <w:tcPr/>
          <w:p>
            <w:pPr>
              <w:pStyle w:val="Compact"/>
              <w:jc w:val="left"/>
            </w:pPr>
            <w:r>
              <w:t xml:space="preserve">11.5 - 12.5</w:t>
            </w:r>
          </w:p>
        </w:tc>
        <w:tc>
          <w:tcPr/>
          <w:p>
            <w:pPr>
              <w:pStyle w:val="Compact"/>
              <w:jc w:val="right"/>
            </w:pPr>
            <w:r>
              <w:t xml:space="preserve">0.9877</w:t>
            </w:r>
          </w:p>
        </w:tc>
        <w:tc>
          <w:tcPr/>
          <w:p>
            <w:pPr>
              <w:pStyle w:val="Compact"/>
              <w:jc w:val="right"/>
            </w:pPr>
            <w:r>
              <w:t xml:space="preserve">480.8883</w:t>
            </w:r>
          </w:p>
        </w:tc>
        <w:tc>
          <w:tcPr/>
          <w:p>
            <w:pPr>
              <w:pStyle w:val="Compact"/>
              <w:jc w:val="right"/>
            </w:pPr>
            <w:r>
              <w:t xml:space="preserve">1201.144</w:t>
            </w:r>
          </w:p>
        </w:tc>
      </w:tr>
    </w:tbl>
    <w:p/>
    <w:p>
      <w:pPr>
        <w:pStyle w:val="TableCaption"/>
      </w:pPr>
      <w:r>
        <w:t xml:space="preserve">Table 4.3: Values of constants used to apply atmospheric correction to Landsat brightness temperature from Du et al. (2015)</w:t>
      </w:r>
    </w:p>
    <w:tbl>
      <w:tblPr>
        <w:tblStyle w:val="Table"/>
        <w:tblW w:type="auto" w:w="0"/>
        <w:tblLook w:firstRow="1" w:lastRow="0" w:firstColumn="0" w:lastColumn="0" w:noHBand="0" w:noVBand="0" w:val="0020"/>
        <w:tblCaption w:val="Table 4.3: Values of constants used to apply atmospheric correction to Landsat brightness temperature from Du et al. (2015)"/>
      </w:tblPr>
      <w:tblGrid>
        <w:gridCol w:w="990"/>
        <w:gridCol w:w="990"/>
        <w:gridCol w:w="990"/>
        <w:gridCol w:w="990"/>
        <w:gridCol w:w="990"/>
        <w:gridCol w:w="990"/>
        <w:gridCol w:w="990"/>
        <w:gridCol w:w="990"/>
      </w:tblGrid>
      <w:tr>
        <w:trPr>
          <w:tblHeader w:val="true"/>
        </w:trPr>
        <w:tc>
          <w:tcPr/>
          <w:p>
            <w:pPr>
              <w:pStyle w:val="Compact"/>
              <w:jc w:val="left"/>
            </w:pPr>
            <m:oMath>
              <m:sSub>
                <m:e>
                  <m:r>
                    <m:t>b</m:t>
                  </m:r>
                </m:e>
                <m:sub>
                  <m:r>
                    <m:t>0</m:t>
                  </m:r>
                </m:sub>
              </m:sSub>
            </m:oMath>
          </w:p>
        </w:tc>
        <w:tc>
          <w:tcPr/>
          <w:p>
            <w:pPr>
              <w:pStyle w:val="Compact"/>
              <w:jc w:val="left"/>
            </w:pPr>
            <m:oMath>
              <m:sSub>
                <m:e>
                  <m:r>
                    <m:t>b</m:t>
                  </m:r>
                </m:e>
                <m:sub>
                  <m:r>
                    <m:t>1</m:t>
                  </m:r>
                </m:sub>
              </m:sSub>
            </m:oMath>
          </w:p>
        </w:tc>
        <w:tc>
          <w:tcPr/>
          <w:p>
            <w:pPr>
              <w:pStyle w:val="Compact"/>
              <w:jc w:val="left"/>
            </w:pPr>
            <m:oMath>
              <m:sSub>
                <m:e>
                  <m:r>
                    <m:t>b</m:t>
                  </m:r>
                </m:e>
                <m:sub>
                  <m:r>
                    <m:t>2</m:t>
                  </m:r>
                </m:sub>
              </m:sSub>
            </m:oMath>
          </w:p>
        </w:tc>
        <w:tc>
          <w:tcPr/>
          <w:p>
            <w:pPr>
              <w:pStyle w:val="Compact"/>
              <w:jc w:val="left"/>
            </w:pPr>
            <m:oMath>
              <m:sSub>
                <m:e>
                  <m:r>
                    <m:t>b</m:t>
                  </m:r>
                </m:e>
                <m:sub>
                  <m:r>
                    <m:t>3</m:t>
                  </m:r>
                </m:sub>
              </m:sSub>
            </m:oMath>
          </w:p>
        </w:tc>
        <w:tc>
          <w:tcPr/>
          <w:p>
            <w:pPr>
              <w:pStyle w:val="Compact"/>
              <w:jc w:val="left"/>
            </w:pPr>
            <m:oMath>
              <m:sSub>
                <m:e>
                  <m:r>
                    <m:t>b</m:t>
                  </m:r>
                </m:e>
                <m:sub>
                  <m:r>
                    <m:t>4</m:t>
                  </m:r>
                </m:sub>
              </m:sSub>
            </m:oMath>
          </w:p>
        </w:tc>
        <w:tc>
          <w:tcPr/>
          <w:p>
            <w:pPr>
              <w:pStyle w:val="Compact"/>
              <w:jc w:val="left"/>
            </w:pPr>
            <m:oMath>
              <m:sSub>
                <m:e>
                  <m:r>
                    <m:t>b</m:t>
                  </m:r>
                </m:e>
                <m:sub>
                  <m:r>
                    <m:t>5</m:t>
                  </m:r>
                </m:sub>
              </m:sSub>
            </m:oMath>
          </w:p>
        </w:tc>
        <w:tc>
          <w:tcPr/>
          <w:p>
            <w:pPr>
              <w:pStyle w:val="Compact"/>
              <w:jc w:val="left"/>
            </w:pPr>
            <m:oMath>
              <m:sSub>
                <m:e>
                  <m:r>
                    <m:t>b</m:t>
                  </m:r>
                </m:e>
                <m:sub>
                  <m:r>
                    <m:t>6</m:t>
                  </m:r>
                </m:sub>
              </m:sSub>
            </m:oMath>
          </w:p>
        </w:tc>
        <w:tc>
          <w:tcPr/>
          <w:p>
            <w:pPr>
              <w:pStyle w:val="Compact"/>
              <w:jc w:val="left"/>
            </w:pPr>
            <m:oMath>
              <m:sSub>
                <m:e>
                  <m:r>
                    <m:t>b</m:t>
                  </m:r>
                </m:e>
                <m:sub>
                  <m:r>
                    <m:t>7</m:t>
                  </m:r>
                </m:sub>
              </m:sSub>
            </m:oMath>
          </w:p>
        </w:tc>
      </w:tr>
      <w:tr>
        <w:tc>
          <w:tcPr/>
          <w:p>
            <w:pPr>
              <w:pStyle w:val="Compact"/>
              <w:jc w:val="left"/>
            </w:pPr>
            <w:r>
              <w:t xml:space="preserve">-0.41165</w:t>
            </w:r>
          </w:p>
        </w:tc>
        <w:tc>
          <w:tcPr/>
          <w:p>
            <w:pPr>
              <w:pStyle w:val="Compact"/>
              <w:jc w:val="left"/>
            </w:pPr>
            <w:r>
              <w:t xml:space="preserve">1.00522</w:t>
            </w:r>
          </w:p>
        </w:tc>
        <w:tc>
          <w:tcPr/>
          <w:p>
            <w:pPr>
              <w:pStyle w:val="Compact"/>
              <w:jc w:val="left"/>
            </w:pPr>
            <w:r>
              <w:t xml:space="preserve">0.14543</w:t>
            </w:r>
          </w:p>
        </w:tc>
        <w:tc>
          <w:tcPr/>
          <w:p>
            <w:pPr>
              <w:pStyle w:val="Compact"/>
              <w:jc w:val="left"/>
            </w:pPr>
            <w:r>
              <w:t xml:space="preserve">-0.27297</w:t>
            </w:r>
          </w:p>
        </w:tc>
        <w:tc>
          <w:tcPr/>
          <w:p>
            <w:pPr>
              <w:pStyle w:val="Compact"/>
              <w:jc w:val="left"/>
            </w:pPr>
            <w:r>
              <w:t xml:space="preserve">4.06655</w:t>
            </w:r>
          </w:p>
        </w:tc>
        <w:tc>
          <w:tcPr/>
          <w:p>
            <w:pPr>
              <w:pStyle w:val="Compact"/>
              <w:jc w:val="left"/>
            </w:pPr>
            <w:r>
              <w:t xml:space="preserve">-6.92512</w:t>
            </w:r>
          </w:p>
        </w:tc>
        <w:tc>
          <w:tcPr/>
          <w:p>
            <w:pPr>
              <w:pStyle w:val="Compact"/>
              <w:jc w:val="left"/>
            </w:pPr>
            <w:r>
              <w:t xml:space="preserve">-18.27461</w:t>
            </w:r>
          </w:p>
        </w:tc>
        <w:tc>
          <w:tcPr/>
          <w:p>
            <w:pPr>
              <w:pStyle w:val="Compact"/>
              <w:jc w:val="left"/>
            </w:pPr>
            <w:r>
              <w:t xml:space="preserve">0.24468</w:t>
            </w:r>
          </w:p>
        </w:tc>
      </w:tr>
    </w:tbl>
    <w:p/>
    <w:p>
      <w:pPr>
        <w:pStyle w:val="TableCaption"/>
      </w:pPr>
      <w:r>
        <w:t xml:space="preserve">Table 4.4: Model validation statistics for the random forest model introduced in this study and selected prior models trained on the LAGOS US DEPTH module. RMSE: root mean square error; MAE: mean absolute error; MAPE: mean absolute percent error;</w:t>
      </w:r>
      <w:r>
        <w:t xml:space="preserve"> </w:t>
      </w:r>
      <m:oMath>
        <m:sSup>
          <m:e>
            <m:r>
              <m:t>R</m:t>
            </m:r>
          </m:e>
          <m:sup>
            <m:r>
              <m:t>2</m:t>
            </m:r>
          </m:sup>
        </m:sSup>
      </m:oMath>
      <w:r>
        <w:t xml:space="preserve">: proportion of variance explained.</w:t>
      </w:r>
    </w:p>
    <w:tbl>
      <w:tblPr>
        <w:tblStyle w:val="Table"/>
        <w:tblW w:type="auto" w:w="0"/>
        <w:tblLook w:firstRow="1" w:lastRow="0" w:firstColumn="0" w:lastColumn="0" w:noHBand="0" w:noVBand="0" w:val="0020"/>
        <w:tblCaption w:val="Table 4.4: Model validation statistics for the random forest model introduced in this study and selected prior models trained on the LAGOS US DEPTH module. RMSE: root mean square error; MAE: mean absolute error; MAPE: mean absolute percent error; R^2: proportion of variance explained."/>
      </w:tblPr>
      <w:tblGrid>
        <w:gridCol w:w="1584"/>
        <w:gridCol w:w="1584"/>
        <w:gridCol w:w="1584"/>
        <w:gridCol w:w="1584"/>
        <w:gridCol w:w="1584"/>
      </w:tblGrid>
      <w:tr>
        <w:trPr>
          <w:tblHeader w:val="true"/>
        </w:trPr>
        <w:tc>
          <w:tcPr/>
          <w:p>
            <w:pPr>
              <w:pStyle w:val="Compact"/>
              <w:jc w:val="left"/>
            </w:pPr>
            <w:r>
              <w:t xml:space="preserve">Model</w:t>
            </w:r>
          </w:p>
        </w:tc>
        <w:tc>
          <w:tcPr/>
          <w:p>
            <w:pPr>
              <w:pStyle w:val="Compact"/>
              <w:jc w:val="right"/>
            </w:pPr>
            <w:r>
              <w:t xml:space="preserve">RMSE (m)</w:t>
            </w:r>
          </w:p>
        </w:tc>
        <w:tc>
          <w:tcPr/>
          <w:p>
            <w:pPr>
              <w:pStyle w:val="Compact"/>
              <w:jc w:val="right"/>
            </w:pPr>
            <w:r>
              <w:t xml:space="preserve">MAE (m)</w:t>
            </w:r>
          </w:p>
        </w:tc>
        <w:tc>
          <w:tcPr/>
          <w:p>
            <w:pPr>
              <w:pStyle w:val="Compact"/>
              <w:jc w:val="right"/>
            </w:pPr>
            <w:r>
              <w:t xml:space="preserve">MAPE (%)</w:t>
            </w:r>
          </w:p>
        </w:tc>
        <w:tc>
          <w:tcPr/>
          <w:p>
            <w:pPr>
              <w:pStyle w:val="Compact"/>
              <w:jc w:val="right"/>
            </w:pPr>
            <m:oMath>
              <m:sSup>
                <m:e>
                  <m:r>
                    <m:t>R</m:t>
                  </m:r>
                </m:e>
                <m:sup>
                  <m:r>
                    <m:t>2</m:t>
                  </m:r>
                </m:sup>
              </m:sSup>
            </m:oMath>
          </w:p>
        </w:tc>
      </w:tr>
      <w:tr>
        <w:tc>
          <w:tcPr/>
          <w:p>
            <w:pPr>
              <w:pStyle w:val="Compact"/>
              <w:jc w:val="left"/>
            </w:pPr>
            <w:r>
              <w:t xml:space="preserve">Random Forest</w:t>
            </w:r>
          </w:p>
        </w:tc>
        <w:tc>
          <w:tcPr/>
          <w:p>
            <w:pPr>
              <w:pStyle w:val="Compact"/>
              <w:jc w:val="right"/>
            </w:pPr>
            <w:r>
              <w:t xml:space="preserve">6.732</w:t>
            </w:r>
          </w:p>
        </w:tc>
        <w:tc>
          <w:tcPr/>
          <w:p>
            <w:pPr>
              <w:pStyle w:val="Compact"/>
              <w:jc w:val="right"/>
            </w:pPr>
            <w:r>
              <w:t xml:space="preserve">4.415</w:t>
            </w:r>
          </w:p>
        </w:tc>
        <w:tc>
          <w:tcPr/>
          <w:p>
            <w:pPr>
              <w:pStyle w:val="Compact"/>
              <w:jc w:val="right"/>
            </w:pPr>
            <w:r>
              <w:t xml:space="preserve">89.509</w:t>
            </w:r>
          </w:p>
        </w:tc>
        <w:tc>
          <w:tcPr/>
          <w:p>
            <w:pPr>
              <w:pStyle w:val="Compact"/>
              <w:jc w:val="right"/>
            </w:pPr>
            <w:r>
              <w:t xml:space="preserve">0.417</w:t>
            </w:r>
          </w:p>
        </w:tc>
      </w:tr>
      <w:tr>
        <w:tc>
          <w:tcPr/>
          <w:p>
            <w:pPr>
              <w:pStyle w:val="Compact"/>
              <w:jc w:val="left"/>
            </w:pPr>
            <w:r>
              <w:t xml:space="preserve">Oliver et al. (2016)</w:t>
            </w:r>
          </w:p>
        </w:tc>
        <w:tc>
          <w:tcPr/>
          <w:p>
            <w:pPr>
              <w:pStyle w:val="Compact"/>
              <w:jc w:val="right"/>
            </w:pPr>
            <w:r>
              <w:t xml:space="preserve">7.387</w:t>
            </w:r>
          </w:p>
        </w:tc>
        <w:tc>
          <w:tcPr/>
          <w:p>
            <w:pPr>
              <w:pStyle w:val="Compact"/>
              <w:jc w:val="right"/>
            </w:pPr>
            <w:r>
              <w:t xml:space="preserve">4.401</w:t>
            </w:r>
          </w:p>
        </w:tc>
        <w:tc>
          <w:tcPr/>
          <w:p>
            <w:pPr>
              <w:pStyle w:val="Compact"/>
              <w:jc w:val="right"/>
            </w:pPr>
            <w:r>
              <w:t xml:space="preserve">68.926</w:t>
            </w:r>
          </w:p>
        </w:tc>
        <w:tc>
          <w:tcPr/>
          <w:p>
            <w:pPr>
              <w:pStyle w:val="Compact"/>
              <w:jc w:val="right"/>
            </w:pPr>
            <w:r>
              <w:t xml:space="preserve">0.359</w:t>
            </w:r>
          </w:p>
        </w:tc>
      </w:tr>
      <w:tr>
        <w:tc>
          <w:tcPr/>
          <w:p>
            <w:pPr>
              <w:pStyle w:val="Compact"/>
              <w:jc w:val="left"/>
            </w:pPr>
            <w:r>
              <w:t xml:space="preserve">Sobek (2011)</w:t>
            </w:r>
          </w:p>
        </w:tc>
        <w:tc>
          <w:tcPr/>
          <w:p>
            <w:pPr>
              <w:pStyle w:val="Compact"/>
              <w:jc w:val="right"/>
            </w:pPr>
            <w:r>
              <w:t xml:space="preserve">7.622</w:t>
            </w:r>
          </w:p>
        </w:tc>
        <w:tc>
          <w:tcPr/>
          <w:p>
            <w:pPr>
              <w:pStyle w:val="Compact"/>
              <w:jc w:val="right"/>
            </w:pPr>
            <w:r>
              <w:t xml:space="preserve">5.098</w:t>
            </w:r>
          </w:p>
        </w:tc>
        <w:tc>
          <w:tcPr/>
          <w:p>
            <w:pPr>
              <w:pStyle w:val="Compact"/>
              <w:jc w:val="right"/>
            </w:pPr>
            <w:r>
              <w:t xml:space="preserve">104.290</w:t>
            </w:r>
          </w:p>
        </w:tc>
        <w:tc>
          <w:tcPr/>
          <w:p>
            <w:pPr>
              <w:pStyle w:val="Compact"/>
              <w:jc w:val="right"/>
            </w:pPr>
            <w:r>
              <w:t xml:space="preserve">0.246</w:t>
            </w:r>
          </w:p>
        </w:tc>
      </w:tr>
      <w:tr>
        <w:tc>
          <w:tcPr/>
          <w:p>
            <w:pPr>
              <w:pStyle w:val="Compact"/>
              <w:jc w:val="left"/>
            </w:pPr>
            <w:r>
              <w:t xml:space="preserve">Hollister et al. (2011)</w:t>
            </w:r>
          </w:p>
        </w:tc>
        <w:tc>
          <w:tcPr/>
          <w:p>
            <w:pPr>
              <w:pStyle w:val="Compact"/>
              <w:jc w:val="right"/>
            </w:pPr>
            <w:r>
              <w:t xml:space="preserve">7.804</w:t>
            </w:r>
          </w:p>
        </w:tc>
        <w:tc>
          <w:tcPr/>
          <w:p>
            <w:pPr>
              <w:pStyle w:val="Compact"/>
              <w:jc w:val="right"/>
            </w:pPr>
            <w:r>
              <w:t xml:space="preserve">4.762</w:t>
            </w:r>
          </w:p>
        </w:tc>
        <w:tc>
          <w:tcPr/>
          <w:p>
            <w:pPr>
              <w:pStyle w:val="Compact"/>
              <w:jc w:val="right"/>
            </w:pPr>
            <w:r>
              <w:t xml:space="preserve">82.438</w:t>
            </w:r>
          </w:p>
        </w:tc>
        <w:tc>
          <w:tcPr/>
          <w:p>
            <w:pPr>
              <w:pStyle w:val="Compact"/>
              <w:jc w:val="right"/>
            </w:pPr>
            <w:r>
              <w:t xml:space="preserve">0.247</w:t>
            </w:r>
          </w:p>
        </w:tc>
      </w:tr>
      <w:tr>
        <w:tc>
          <w:tcPr/>
          <w:p>
            <w:pPr>
              <w:pStyle w:val="Compact"/>
              <w:jc w:val="left"/>
            </w:pPr>
            <w:r>
              <w:t xml:space="preserve">Heathcote et al. (2015)</w:t>
            </w:r>
          </w:p>
        </w:tc>
        <w:tc>
          <w:tcPr/>
          <w:p>
            <w:pPr>
              <w:pStyle w:val="Compact"/>
              <w:jc w:val="right"/>
            </w:pPr>
            <w:r>
              <w:t xml:space="preserve">8.629</w:t>
            </w:r>
          </w:p>
        </w:tc>
        <w:tc>
          <w:tcPr/>
          <w:p>
            <w:pPr>
              <w:pStyle w:val="Compact"/>
              <w:jc w:val="right"/>
            </w:pPr>
            <w:r>
              <w:t xml:space="preserve">5.126</w:t>
            </w:r>
          </w:p>
        </w:tc>
        <w:tc>
          <w:tcPr/>
          <w:p>
            <w:pPr>
              <w:pStyle w:val="Compact"/>
              <w:jc w:val="right"/>
            </w:pPr>
            <w:r>
              <w:t xml:space="preserve">85.201</w:t>
            </w:r>
          </w:p>
        </w:tc>
        <w:tc>
          <w:tcPr/>
          <w:p>
            <w:pPr>
              <w:pStyle w:val="Compact"/>
              <w:jc w:val="right"/>
            </w:pPr>
            <w:r>
              <w:t xml:space="preserve">0.119</w:t>
            </w:r>
          </w:p>
        </w:tc>
      </w:tr>
    </w:tbl>
    <w:p>
      <w:r>
        <w:br w:type="page"/>
      </w:r>
    </w:p>
    <w:p>
      <w:pPr>
        <w:pStyle w:val="BodyText"/>
      </w:pPr>
      <m:oMathPara>
        <m:oMathParaPr>
          <m:jc m:val="center"/>
        </m:oMathParaPr>
        <m:oMath>
          <m:m>
            <m:mPr>
              <m:baseJc m:val="center"/>
              <m:plcHide m:val="1"/>
              <m:mcs>
                <m:mc>
                  <m:mcPr>
                    <m:mcJc m:val="right"/>
                    <m:count m:val="1"/>
                  </m:mcPr>
                </m:mc>
                <m:mc>
                  <m:mcPr>
                    <m:mcJc m:val="left"/>
                    <m:count m:val="1"/>
                  </m:mcPr>
                </m:mc>
              </m:mcs>
            </m:mPr>
            <m:mr>
              <m:e>
                <m:r>
                  <m:t>B</m:t>
                </m:r>
                <m:r>
                  <m:t>T</m:t>
                </m:r>
              </m:e>
              <m:e>
                <m:r>
                  <m:rPr>
                    <m:sty m:val="p"/>
                  </m:rPr>
                  <m:t>=</m:t>
                </m:r>
                <m:f>
                  <m:fPr>
                    <m:type m:val="bar"/>
                  </m:fPr>
                  <m:num>
                    <m:sSub>
                      <m:e>
                        <m:r>
                          <m:t>K</m:t>
                        </m:r>
                      </m:e>
                      <m:sub>
                        <m:r>
                          <m:t>2</m:t>
                        </m:r>
                      </m:sub>
                    </m:sSub>
                  </m:num>
                  <m:den>
                    <m:r>
                      <m:rPr>
                        <m:nor/>
                        <m:sty m:val="p"/>
                      </m:rPr>
                      <m:t>ln</m:t>
                    </m:r>
                    <m:f>
                      <m:fPr>
                        <m:type m:val="bar"/>
                      </m:fPr>
                      <m:num>
                        <m:sSub>
                          <m:e>
                            <m:r>
                              <m:t>K</m:t>
                            </m:r>
                          </m:e>
                          <m:sub>
                            <m:r>
                              <m:t>1</m:t>
                            </m:r>
                          </m:sub>
                        </m:sSub>
                      </m:num>
                      <m:den>
                        <m:r>
                          <m:t>L</m:t>
                        </m:r>
                      </m:den>
                    </m:f>
                    <m:r>
                      <m:rPr>
                        <m:sty m:val="p"/>
                      </m:rPr>
                      <m:t>+</m:t>
                    </m:r>
                    <m:r>
                      <m:t>1</m:t>
                    </m:r>
                  </m:den>
                </m:f>
              </m:e>
            </m:mr>
          </m:m>
          <m:r>
            <m:t>  </m:t>
          </m:r>
          <m:d>
            <m:dPr>
              <m:begChr m:val="("/>
              <m:endChr m:val=")"/>
              <m:sepChr m:val=""/>
              <m:grow/>
            </m:dPr>
            <m:e>
              <m:r>
                <m:t>4.1</m:t>
              </m:r>
            </m:e>
          </m:d>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L</m:t>
                </m:r>
                <m:r>
                  <m:t>S</m:t>
                </m:r>
                <m:r>
                  <m:t>T</m:t>
                </m:r>
              </m:e>
              <m:e>
                <m:r>
                  <m:rPr>
                    <m:sty m:val="p"/>
                  </m:rPr>
                  <m:t>=</m:t>
                </m:r>
                <m:sSub>
                  <m:e>
                    <m:r>
                      <m:t>b</m:t>
                    </m:r>
                  </m:e>
                  <m:sub>
                    <m:r>
                      <m:t>0</m:t>
                    </m:r>
                  </m:sub>
                </m:sSub>
                <m:r>
                  <m:rPr>
                    <m:sty m:val="p"/>
                  </m:rPr>
                  <m:t>+</m:t>
                </m:r>
                <m:d>
                  <m:dPr>
                    <m:begChr m:val="("/>
                    <m:endChr m:val=")"/>
                    <m:sepChr m:val=""/>
                    <m:grow/>
                  </m:dPr>
                  <m:e>
                    <m:sSub>
                      <m:e>
                        <m:r>
                          <m:t>b</m:t>
                        </m:r>
                      </m:e>
                      <m:sub>
                        <m:r>
                          <m:t>1</m:t>
                        </m:r>
                      </m:sub>
                    </m:sSub>
                    <m:r>
                      <m:rPr>
                        <m:sty m:val="p"/>
                      </m:rPr>
                      <m:t>+</m:t>
                    </m:r>
                    <m:sSub>
                      <m:e>
                        <m:r>
                          <m:t>b</m:t>
                        </m:r>
                      </m:e>
                      <m:sub>
                        <m:r>
                          <m:t>2</m:t>
                        </m:r>
                      </m:sub>
                    </m:sSub>
                    <m:f>
                      <m:fPr>
                        <m:type m:val="bar"/>
                      </m:fPr>
                      <m:num>
                        <m:r>
                          <m:t>1</m:t>
                        </m:r>
                        <m:r>
                          <m:rPr>
                            <m:sty m:val="p"/>
                          </m:rPr>
                          <m:t>−</m:t>
                        </m:r>
                        <m:acc>
                          <m:accPr>
                            <m:chr m:val="‾"/>
                          </m:accPr>
                          <m:e>
                            <m:r>
                              <m:t>ϵ</m:t>
                            </m:r>
                          </m:e>
                        </m:acc>
                      </m:num>
                      <m:den>
                        <m:acc>
                          <m:accPr>
                            <m:chr m:val="‾"/>
                          </m:accPr>
                          <m:e>
                            <m:r>
                              <m:t>ϵ</m:t>
                            </m:r>
                          </m:e>
                        </m:acc>
                      </m:den>
                    </m:f>
                    <m:r>
                      <m:rPr>
                        <m:sty m:val="p"/>
                      </m:rPr>
                      <m:t>+</m:t>
                    </m:r>
                    <m:sSub>
                      <m:e>
                        <m:r>
                          <m:t>b</m:t>
                        </m:r>
                      </m:e>
                      <m:sub>
                        <m:r>
                          <m:t>3</m:t>
                        </m:r>
                      </m:sub>
                    </m:sSub>
                    <m:f>
                      <m:fPr>
                        <m:type m:val="bar"/>
                      </m:fPr>
                      <m:num>
                        <m:r>
                          <m:t>Δ</m:t>
                        </m:r>
                        <m:r>
                          <m:t>ϵ</m:t>
                        </m:r>
                      </m:num>
                      <m:den>
                        <m:sSup>
                          <m:e>
                            <m:acc>
                              <m:accPr>
                                <m:chr m:val="‾"/>
                              </m:accPr>
                              <m:e>
                                <m:r>
                                  <m:t>ϵ</m:t>
                                </m:r>
                              </m:e>
                            </m:acc>
                          </m:e>
                          <m:sup>
                            <m:r>
                              <m:t>2</m:t>
                            </m:r>
                          </m:sup>
                        </m:sSup>
                      </m:den>
                    </m:f>
                  </m:e>
                </m:d>
                <m:f>
                  <m:fPr>
                    <m:type m:val="bar"/>
                  </m:fPr>
                  <m:num>
                    <m:r>
                      <m:t>B</m:t>
                    </m:r>
                    <m:sSub>
                      <m:e>
                        <m:r>
                          <m:t>T</m:t>
                        </m:r>
                      </m:e>
                      <m:sub>
                        <m:r>
                          <m:t>10</m:t>
                        </m:r>
                      </m:sub>
                    </m:sSub>
                    <m:r>
                      <m:rPr>
                        <m:sty m:val="p"/>
                      </m:rPr>
                      <m:t>+</m:t>
                    </m:r>
                    <m:r>
                      <m:t>B</m:t>
                    </m:r>
                    <m:sSub>
                      <m:e>
                        <m:r>
                          <m:t>T</m:t>
                        </m:r>
                      </m:e>
                      <m:sub>
                        <m:r>
                          <m:t>11</m:t>
                        </m:r>
                      </m:sub>
                    </m:sSub>
                  </m:num>
                  <m:den>
                    <m:r>
                      <m:t>2</m:t>
                    </m:r>
                  </m:den>
                </m:f>
                <m:r>
                  <m:rPr>
                    <m:sty m:val="p"/>
                  </m:rPr>
                  <m:t>+</m:t>
                </m:r>
              </m:e>
            </m:mr>
            <m:mr>
              <m:e>
                <m:d>
                  <m:dPr>
                    <m:begChr m:val="("/>
                    <m:endChr m:val=")"/>
                    <m:sepChr m:val=""/>
                    <m:grow/>
                  </m:dPr>
                  <m:e>
                    <m:sSub>
                      <m:e>
                        <m:r>
                          <m:t>b</m:t>
                        </m:r>
                      </m:e>
                      <m:sub>
                        <m:r>
                          <m:t>4</m:t>
                        </m:r>
                      </m:sub>
                    </m:sSub>
                    <m:r>
                      <m:rPr>
                        <m:sty m:val="p"/>
                      </m:rPr>
                      <m:t>+</m:t>
                    </m:r>
                    <m:sSub>
                      <m:e>
                        <m:r>
                          <m:t>b</m:t>
                        </m:r>
                      </m:e>
                      <m:sub>
                        <m:r>
                          <m:t>5</m:t>
                        </m:r>
                      </m:sub>
                    </m:sSub>
                    <m:f>
                      <m:fPr>
                        <m:type m:val="bar"/>
                      </m:fPr>
                      <m:num>
                        <m:r>
                          <m:t>1</m:t>
                        </m:r>
                        <m:r>
                          <m:rPr>
                            <m:sty m:val="p"/>
                          </m:rPr>
                          <m:t>−</m:t>
                        </m:r>
                        <m:acc>
                          <m:accPr>
                            <m:chr m:val="‾"/>
                          </m:accPr>
                          <m:e>
                            <m:r>
                              <m:t>ϵ</m:t>
                            </m:r>
                          </m:e>
                        </m:acc>
                      </m:num>
                      <m:den>
                        <m:acc>
                          <m:accPr>
                            <m:chr m:val="‾"/>
                          </m:accPr>
                          <m:e>
                            <m:r>
                              <m:t>ϵ</m:t>
                            </m:r>
                          </m:e>
                        </m:acc>
                      </m:den>
                    </m:f>
                    <m:r>
                      <m:rPr>
                        <m:sty m:val="p"/>
                      </m:rPr>
                      <m:t>+</m:t>
                    </m:r>
                    <m:sSub>
                      <m:e>
                        <m:r>
                          <m:t>b</m:t>
                        </m:r>
                      </m:e>
                      <m:sub>
                        <m:r>
                          <m:t>6</m:t>
                        </m:r>
                      </m:sub>
                    </m:sSub>
                    <m:f>
                      <m:fPr>
                        <m:type m:val="bar"/>
                      </m:fPr>
                      <m:num>
                        <m:r>
                          <m:t>Δ</m:t>
                        </m:r>
                        <m:r>
                          <m:t>ϵ</m:t>
                        </m:r>
                      </m:num>
                      <m:den>
                        <m:sSup>
                          <m:e>
                            <m:acc>
                              <m:accPr>
                                <m:chr m:val="‾"/>
                              </m:accPr>
                              <m:e>
                                <m:r>
                                  <m:t>ϵ</m:t>
                                </m:r>
                              </m:e>
                            </m:acc>
                          </m:e>
                          <m:sup>
                            <m:r>
                              <m:t>2</m:t>
                            </m:r>
                          </m:sup>
                        </m:sSup>
                      </m:den>
                    </m:f>
                  </m:e>
                </m:d>
                <m:f>
                  <m:fPr>
                    <m:type m:val="bar"/>
                  </m:fPr>
                  <m:num>
                    <m:r>
                      <m:t>B</m:t>
                    </m:r>
                    <m:sSub>
                      <m:e>
                        <m:r>
                          <m:t>T</m:t>
                        </m:r>
                      </m:e>
                      <m:sub>
                        <m:r>
                          <m:t>10</m:t>
                        </m:r>
                      </m:sub>
                    </m:sSub>
                    <m:r>
                      <m:rPr>
                        <m:sty m:val="p"/>
                      </m:rPr>
                      <m:t>−</m:t>
                    </m:r>
                    <m:r>
                      <m:t>B</m:t>
                    </m:r>
                    <m:sSub>
                      <m:e>
                        <m:r>
                          <m:t>T</m:t>
                        </m:r>
                      </m:e>
                      <m:sub>
                        <m:r>
                          <m:t>11</m:t>
                        </m:r>
                      </m:sub>
                    </m:sSub>
                  </m:num>
                  <m:den>
                    <m:r>
                      <m:t>2</m:t>
                    </m:r>
                  </m:den>
                </m:f>
                <m:r>
                  <m:rPr>
                    <m:sty m:val="p"/>
                  </m:rPr>
                  <m:t>+</m:t>
                </m:r>
              </m:e>
            </m:mr>
            <m:mr>
              <m:e>
                <m:sSub>
                  <m:e>
                    <m:r>
                      <m:t>b</m:t>
                    </m:r>
                  </m:e>
                  <m:sub>
                    <m:r>
                      <m:t>7</m:t>
                    </m:r>
                  </m:sub>
                </m:sSub>
                <m:sSup>
                  <m:e>
                    <m:d>
                      <m:dPr>
                        <m:begChr m:val="("/>
                        <m:endChr m:val=")"/>
                        <m:sepChr m:val=""/>
                        <m:grow/>
                      </m:dPr>
                      <m:e>
                        <m:r>
                          <m:t>B</m:t>
                        </m:r>
                        <m:sSub>
                          <m:e>
                            <m:r>
                              <m:t>T</m:t>
                            </m:r>
                          </m:e>
                          <m:sub>
                            <m:r>
                              <m:t>10</m:t>
                            </m:r>
                          </m:sub>
                        </m:sSub>
                        <m:r>
                          <m:rPr>
                            <m:sty m:val="p"/>
                          </m:rPr>
                          <m:t>−</m:t>
                        </m:r>
                        <m:r>
                          <m:t>B</m:t>
                        </m:r>
                        <m:sSub>
                          <m:e>
                            <m:r>
                              <m:t>T</m:t>
                            </m:r>
                          </m:e>
                          <m:sub>
                            <m:r>
                              <m:t>11</m:t>
                            </m:r>
                          </m:sub>
                        </m:sSub>
                      </m:e>
                    </m:d>
                  </m:e>
                  <m:sup>
                    <m:r>
                      <m:t>2</m:t>
                    </m:r>
                  </m:sup>
                </m:sSup>
              </m:e>
            </m:mr>
          </m:m>
          <m:r>
            <m:t>  </m:t>
          </m:r>
          <m:d>
            <m:dPr>
              <m:begChr m:val="("/>
              <m:endChr m:val=")"/>
              <m:sepChr m:val=""/>
              <m:grow/>
            </m:dPr>
            <m:e>
              <m:r>
                <m:t>4.2</m:t>
              </m:r>
            </m:e>
          </m:d>
        </m:oMath>
      </m:oMathPara>
    </w:p>
    <w:p>
      <w:r>
        <w:br w:type="page"/>
      </w:r>
    </w:p>
    <w:p>
      <w:pPr>
        <w:pStyle w:val="CaptionedFigure"/>
      </w:pPr>
      <w:r>
        <w:drawing>
          <wp:inline>
            <wp:extent cx="5334000" cy="4319809"/>
            <wp:effectExtent b="0" l="0" r="0" t="0"/>
            <wp:docPr descr="Figure 4.1: Proportion of lakes in LAGOS US with known maximum depth. Vertical dotted line: maximum lake area included in lake depth modeling." title="" id="1" name="Picture"/>
            <a:graphic>
              <a:graphicData uri="http://schemas.openxmlformats.org/drawingml/2006/picture">
                <pic:pic>
                  <pic:nvPicPr>
                    <pic:cNvPr descr="C:\Users\ganzk\Desktop\lakes\notebooks\paper\figures\depth_proportion.png" id="0" name="Picture"/>
                    <pic:cNvPicPr>
                      <a:picLocks noChangeArrowheads="1" noChangeAspect="1"/>
                    </pic:cNvPicPr>
                  </pic:nvPicPr>
                  <pic:blipFill>
                    <a:blip r:embed="rId30"/>
                    <a:stretch>
                      <a:fillRect/>
                    </a:stretch>
                  </pic:blipFill>
                  <pic:spPr bwMode="auto">
                    <a:xfrm>
                      <a:off x="0" y="0"/>
                      <a:ext cx="5334000" cy="4319809"/>
                    </a:xfrm>
                    <a:prstGeom prst="rect">
                      <a:avLst/>
                    </a:prstGeom>
                    <a:noFill/>
                    <a:ln w="9525">
                      <a:noFill/>
                      <a:headEnd/>
                      <a:tailEnd/>
                    </a:ln>
                  </pic:spPr>
                </pic:pic>
              </a:graphicData>
            </a:graphic>
          </wp:inline>
        </w:drawing>
      </w:r>
    </w:p>
    <w:p>
      <w:pPr>
        <w:pStyle w:val="ImageCaption"/>
      </w:pPr>
      <w:r>
        <w:t xml:space="preserve">Figure 4.1: Proportion of lakes in LAGOS US with known maximum depth. Vertical dotted line: maximum lake area included in lake depth modeling.</w:t>
      </w:r>
    </w:p>
    <w:p>
      <w:r>
        <w:br w:type="page"/>
      </w:r>
    </w:p>
    <w:bookmarkEnd w:id="31"/>
    <w:bookmarkStart w:id="52" w:name="references"/>
    <w:p>
      <w:pPr>
        <w:pStyle w:val="Heading1"/>
      </w:pPr>
      <w:r>
        <w:rPr>
          <w:rStyle w:val="SectionNumber"/>
        </w:rPr>
        <w:t xml:space="preserve">5</w:t>
      </w:r>
      <w:r>
        <w:tab/>
      </w:r>
      <w:r>
        <w:t xml:space="preserve">References</w:t>
      </w:r>
    </w:p>
    <w:bookmarkStart w:id="51" w:name="refs"/>
    <w:bookmarkStart w:id="32" w:name="ref-cheruvelilLAGOSUSLOCUSV12021"/>
    <w:p>
      <w:pPr>
        <w:pStyle w:val="Bibliography"/>
      </w:pPr>
      <w:r>
        <w:rPr>
          <w:vertAlign w:val="superscript"/>
        </w:rPr>
        <w:t xml:space="preserve">1</w:t>
      </w:r>
      <w:r>
        <w:t xml:space="preserve"> </w:t>
      </w:r>
      <w:r>
        <w:t xml:space="preserve">K.S. Cheruvelil, P.A. Soranno, I.M. McCullough, K.E. Webster, L.K. Rodriguez, and N.J. Smith, Limnology and Oceanography Letters</w:t>
      </w:r>
      <w:r>
        <w:t xml:space="preserve"> </w:t>
      </w:r>
      <w:r>
        <w:rPr>
          <w:bCs/>
          <w:b/>
        </w:rPr>
        <w:t xml:space="preserve">6</w:t>
      </w:r>
      <w:r>
        <w:t xml:space="preserve">, 270 (2021).</w:t>
      </w:r>
    </w:p>
    <w:bookmarkEnd w:id="32"/>
    <w:bookmarkStart w:id="33" w:name="ref-stachelekLAGOSUSDEPTHV12021"/>
    <w:p>
      <w:pPr>
        <w:pStyle w:val="Bibliography"/>
      </w:pPr>
      <w:r>
        <w:rPr>
          <w:vertAlign w:val="superscript"/>
        </w:rPr>
        <w:t xml:space="preserve">2</w:t>
      </w:r>
      <w:r>
        <w:t xml:space="preserve"> </w:t>
      </w:r>
      <w:r>
        <w:t xml:space="preserve">J. Stachelek, L.K. Rodriguez, J. Díaz Vázquez, A. Hawkins, E. Phillips, A. Shoffner, I.M. McCullough, K.B. King, J. Namovich, L.A. Egedy, M. Haite, P.J. Hanly, K.E. Webster, K.S. Cheruvelil, and P.A. Soranno, (2021).</w:t>
      </w:r>
    </w:p>
    <w:bookmarkEnd w:id="33"/>
    <w:bookmarkStart w:id="34" w:name="X8b4beb3bceb779dfa7635db6882fd38eb370f5f"/>
    <w:p>
      <w:pPr>
        <w:pStyle w:val="Bibliography"/>
      </w:pPr>
      <w:r>
        <w:rPr>
          <w:vertAlign w:val="superscript"/>
        </w:rPr>
        <w:t xml:space="preserve">3</w:t>
      </w:r>
      <w:r>
        <w:t xml:space="preserve"> </w:t>
      </w:r>
      <w:r>
        <w:t xml:space="preserve">Q.D. Team, (2021).</w:t>
      </w:r>
    </w:p>
    <w:bookmarkEnd w:id="34"/>
    <w:bookmarkStart w:id="35" w:name="ref-farrShuttleRadarTopography2007"/>
    <w:p>
      <w:pPr>
        <w:pStyle w:val="Bibliography"/>
      </w:pPr>
      <w:r>
        <w:rPr>
          <w:vertAlign w:val="superscript"/>
        </w:rPr>
        <w:t xml:space="preserve">4</w:t>
      </w:r>
      <w:r>
        <w:t xml:space="preserve"> </w:t>
      </w:r>
      <w:r>
        <w:t xml:space="preserve">T.G. Farr, P.A. Rosen, E. Caro, R. Crippen, R. Duren, S. Hensley, M. Kobrick, M. Paller, E. Rodriguez, L. Roth, D. Seal, S. Shaffer, J. Shimada, J. Umland, M. Werner, M. Oskin, D. Burbank, and D. Alsdorf, Reviews of Geophysics</w:t>
      </w:r>
      <w:r>
        <w:t xml:space="preserve"> </w:t>
      </w:r>
      <w:r>
        <w:rPr>
          <w:bCs/>
          <w:b/>
        </w:rPr>
        <w:t xml:space="preserve">45</w:t>
      </w:r>
      <w:r>
        <w:t xml:space="preserve">, RG2004 (2007).</w:t>
      </w:r>
    </w:p>
    <w:bookmarkEnd w:id="35"/>
    <w:bookmarkStart w:id="36" w:name="ref-gorelickGoogleEarthEngine2017a"/>
    <w:p>
      <w:pPr>
        <w:pStyle w:val="Bibliography"/>
      </w:pPr>
      <w:r>
        <w:rPr>
          <w:vertAlign w:val="superscript"/>
        </w:rPr>
        <w:t xml:space="preserve">5</w:t>
      </w:r>
      <w:r>
        <w:t xml:space="preserve"> </w:t>
      </w:r>
      <w:r>
        <w:t xml:space="preserve">N. Gorelick, M. Hancher, M. Dixon, S. Ilyushchenko, D. Thau, and R. Moore, Remote Sensing of Environment</w:t>
      </w:r>
      <w:r>
        <w:t xml:space="preserve"> </w:t>
      </w:r>
      <w:r>
        <w:rPr>
          <w:bCs/>
          <w:b/>
        </w:rPr>
        <w:t xml:space="preserve">202</w:t>
      </w:r>
      <w:r>
        <w:t xml:space="preserve">, 18 (2017).</w:t>
      </w:r>
    </w:p>
    <w:bookmarkEnd w:id="36"/>
    <w:bookmarkStart w:id="37" w:name="ref-safanelliTerrainAnalysisGoogle2020"/>
    <w:p>
      <w:pPr>
        <w:pStyle w:val="Bibliography"/>
      </w:pPr>
      <w:r>
        <w:rPr>
          <w:vertAlign w:val="superscript"/>
        </w:rPr>
        <w:t xml:space="preserve">6</w:t>
      </w:r>
      <w:r>
        <w:t xml:space="preserve"> </w:t>
      </w:r>
      <w:r>
        <w:t xml:space="preserve">J.L. Safanelli, R.R. Poppiel, L.F.C. Ruiz, B.R. Bonfatti, F.A. de O. Mello, R. Rizzo, and J.A.M. Demattê, ISPRS International Journal of Geo-Information</w:t>
      </w:r>
      <w:r>
        <w:t xml:space="preserve"> </w:t>
      </w:r>
      <w:r>
        <w:rPr>
          <w:bCs/>
          <w:b/>
        </w:rPr>
        <w:t xml:space="preserve">9</w:t>
      </w:r>
      <w:r>
        <w:t xml:space="preserve">, 400 (2020).</w:t>
      </w:r>
    </w:p>
    <w:bookmarkEnd w:id="37"/>
    <w:bookmarkStart w:id="38" w:name="ref-birgeHeatBudgetsAmerican1915"/>
    <w:p>
      <w:pPr>
        <w:pStyle w:val="Bibliography"/>
      </w:pPr>
      <w:r>
        <w:rPr>
          <w:vertAlign w:val="superscript"/>
        </w:rPr>
        <w:t xml:space="preserve">7</w:t>
      </w:r>
      <w:r>
        <w:t xml:space="preserve"> </w:t>
      </w:r>
      <w:r>
        <w:t xml:space="preserve">E.A. Birge,</w:t>
      </w:r>
      <w:r>
        <w:t xml:space="preserve"> </w:t>
      </w:r>
      <w:r>
        <w:rPr>
          <w:iCs/>
          <w:i/>
        </w:rPr>
        <w:t xml:space="preserve">The Heat Budgets of</w:t>
      </w:r>
      <w:r>
        <w:rPr>
          <w:iCs/>
          <w:i/>
        </w:rPr>
        <w:t xml:space="preserve"> </w:t>
      </w:r>
      <w:r>
        <w:rPr>
          <w:iCs/>
          <w:i/>
        </w:rPr>
        <w:t xml:space="preserve">American</w:t>
      </w:r>
      <w:r>
        <w:rPr>
          <w:iCs/>
          <w:i/>
        </w:rPr>
        <w:t xml:space="preserve"> </w:t>
      </w:r>
      <w:r>
        <w:rPr>
          <w:iCs/>
          <w:i/>
        </w:rPr>
        <w:t xml:space="preserve">and</w:t>
      </w:r>
      <w:r>
        <w:rPr>
          <w:iCs/>
          <w:i/>
        </w:rPr>
        <w:t xml:space="preserve"> </w:t>
      </w:r>
      <w:r>
        <w:rPr>
          <w:iCs/>
          <w:i/>
        </w:rPr>
        <w:t xml:space="preserve">European</w:t>
      </w:r>
      <w:r>
        <w:rPr>
          <w:iCs/>
          <w:i/>
        </w:rPr>
        <w:t xml:space="preserve"> </w:t>
      </w:r>
      <w:r>
        <w:rPr>
          <w:iCs/>
          <w:i/>
        </w:rPr>
        <w:t xml:space="preserve">Lakes</w:t>
      </w:r>
      <w:r>
        <w:t xml:space="preserve"> </w:t>
      </w:r>
      <w:r>
        <w:t xml:space="preserve">(1915).</w:t>
      </w:r>
    </w:p>
    <w:bookmarkEnd w:id="38"/>
    <w:bookmarkStart w:id="39" w:name="ref-beckerInfluenceLakeMorphology2005"/>
    <w:p>
      <w:pPr>
        <w:pStyle w:val="Bibliography"/>
      </w:pPr>
      <w:r>
        <w:rPr>
          <w:vertAlign w:val="superscript"/>
        </w:rPr>
        <w:t xml:space="preserve">8</w:t>
      </w:r>
      <w:r>
        <w:t xml:space="preserve"> </w:t>
      </w:r>
      <w:r>
        <w:t xml:space="preserve">M.W. Becker and A. Daw, Remote Sensing of Environment</w:t>
      </w:r>
      <w:r>
        <w:t xml:space="preserve"> </w:t>
      </w:r>
      <w:r>
        <w:rPr>
          <w:bCs/>
          <w:b/>
        </w:rPr>
        <w:t xml:space="preserve">99</w:t>
      </w:r>
      <w:r>
        <w:t xml:space="preserve">, 288 (2005).</w:t>
      </w:r>
    </w:p>
    <w:bookmarkEnd w:id="39"/>
    <w:bookmarkStart w:id="40" w:name="X8dcaf8dbfd78153eb46bee3ad01e7f6dcefbd27"/>
    <w:p>
      <w:pPr>
        <w:pStyle w:val="Bibliography"/>
      </w:pPr>
      <w:r>
        <w:rPr>
          <w:vertAlign w:val="superscript"/>
        </w:rPr>
        <w:t xml:space="preserve">9</w:t>
      </w:r>
      <w:r>
        <w:t xml:space="preserve"> </w:t>
      </w:r>
      <w:r>
        <w:t xml:space="preserve">U.G. Survey,</w:t>
      </w:r>
      <w:r>
        <w:t xml:space="preserve"> </w:t>
      </w:r>
      <w:r>
        <w:rPr>
          <w:iCs/>
          <w:i/>
        </w:rPr>
        <w:t xml:space="preserve">Landsat 8</w:t>
      </w:r>
      <w:r>
        <w:rPr>
          <w:iCs/>
          <w:i/>
        </w:rPr>
        <w:t xml:space="preserve"> </w:t>
      </w:r>
      <w:r>
        <w:rPr>
          <w:iCs/>
          <w:i/>
        </w:rPr>
        <w:t xml:space="preserve">Collection</w:t>
      </w:r>
      <w:r>
        <w:rPr>
          <w:iCs/>
          <w:i/>
        </w:rPr>
        <w:t xml:space="preserve"> </w:t>
      </w:r>
      <w:r>
        <w:rPr>
          <w:iCs/>
          <w:i/>
        </w:rPr>
        <w:t xml:space="preserve">1</w:t>
      </w:r>
      <w:r>
        <w:rPr>
          <w:iCs/>
          <w:i/>
        </w:rPr>
        <w:t xml:space="preserve"> </w:t>
      </w:r>
      <w:r>
        <w:rPr>
          <w:iCs/>
          <w:i/>
        </w:rPr>
        <w:t xml:space="preserve">Tier</w:t>
      </w:r>
      <w:r>
        <w:rPr>
          <w:iCs/>
          <w:i/>
        </w:rPr>
        <w:t xml:space="preserve"> </w:t>
      </w:r>
      <w:r>
        <w:rPr>
          <w:iCs/>
          <w:i/>
        </w:rPr>
        <w:t xml:space="preserve">1</w:t>
      </w:r>
      <w:r>
        <w:t xml:space="preserve"> </w:t>
      </w:r>
      <w:r>
        <w:t xml:space="preserve">(n.d.).</w:t>
      </w:r>
    </w:p>
    <w:bookmarkEnd w:id="40"/>
    <w:bookmarkStart w:id="41" w:name="Xb61ee0dfad9b3065a25238a37fb0f83805d6289"/>
    <w:p>
      <w:pPr>
        <w:pStyle w:val="Bibliography"/>
      </w:pPr>
      <w:r>
        <w:rPr>
          <w:vertAlign w:val="superscript"/>
        </w:rPr>
        <w:t xml:space="preserve">10</w:t>
      </w:r>
      <w:r>
        <w:t xml:space="preserve"> </w:t>
      </w:r>
      <w:r>
        <w:t xml:space="preserve">Q. Vanhellemont, Remote Sensing of Environment</w:t>
      </w:r>
      <w:r>
        <w:t xml:space="preserve"> </w:t>
      </w:r>
      <w:r>
        <w:rPr>
          <w:bCs/>
          <w:b/>
        </w:rPr>
        <w:t xml:space="preserve">237</w:t>
      </w:r>
      <w:r>
        <w:t xml:space="preserve">, 111518 (2020).</w:t>
      </w:r>
    </w:p>
    <w:bookmarkEnd w:id="41"/>
    <w:bookmarkStart w:id="42" w:name="ref-henglLongtermMODISLST2018"/>
    <w:p>
      <w:pPr>
        <w:pStyle w:val="Bibliography"/>
      </w:pPr>
      <w:r>
        <w:rPr>
          <w:vertAlign w:val="superscript"/>
        </w:rPr>
        <w:t xml:space="preserve">11</w:t>
      </w:r>
      <w:r>
        <w:t xml:space="preserve"> </w:t>
      </w:r>
      <w:r>
        <w:t xml:space="preserve">T. Hengl, (2018).</w:t>
      </w:r>
    </w:p>
    <w:bookmarkEnd w:id="42"/>
    <w:bookmarkStart w:id="43" w:name="ref-breimanRandomForests2001"/>
    <w:p>
      <w:pPr>
        <w:pStyle w:val="Bibliography"/>
      </w:pPr>
      <w:r>
        <w:rPr>
          <w:vertAlign w:val="superscript"/>
        </w:rPr>
        <w:t xml:space="preserve">12</w:t>
      </w:r>
      <w:r>
        <w:t xml:space="preserve"> </w:t>
      </w:r>
      <w:r>
        <w:t xml:space="preserve">L. Breiman, Machine Learning</w:t>
      </w:r>
      <w:r>
        <w:t xml:space="preserve"> </w:t>
      </w:r>
      <w:r>
        <w:rPr>
          <w:bCs/>
          <w:b/>
        </w:rPr>
        <w:t xml:space="preserve">45</w:t>
      </w:r>
      <w:r>
        <w:t xml:space="preserve">, 5 (2001).</w:t>
      </w:r>
    </w:p>
    <w:bookmarkEnd w:id="43"/>
    <w:bookmarkStart w:id="44" w:name="ref-wrightRangerFastImplementation2017"/>
    <w:p>
      <w:pPr>
        <w:pStyle w:val="Bibliography"/>
      </w:pPr>
      <w:r>
        <w:rPr>
          <w:vertAlign w:val="superscript"/>
        </w:rPr>
        <w:t xml:space="preserve">13</w:t>
      </w:r>
      <w:r>
        <w:t xml:space="preserve"> </w:t>
      </w:r>
      <w:r>
        <w:t xml:space="preserve">M.N. Wright and A. Ziegler, Journal of Statistical Software</w:t>
      </w:r>
      <w:r>
        <w:t xml:space="preserve"> </w:t>
      </w:r>
      <w:r>
        <w:rPr>
          <w:bCs/>
          <w:b/>
        </w:rPr>
        <w:t xml:space="preserve">77</w:t>
      </w:r>
      <w:r>
        <w:t xml:space="preserve">, 1 (2017).</w:t>
      </w:r>
    </w:p>
    <w:bookmarkEnd w:id="44"/>
    <w:bookmarkStart w:id="45" w:name="ref-kursaFeatureSelectionBoruta2010"/>
    <w:p>
      <w:pPr>
        <w:pStyle w:val="Bibliography"/>
      </w:pPr>
      <w:r>
        <w:rPr>
          <w:vertAlign w:val="superscript"/>
        </w:rPr>
        <w:t xml:space="preserve">14</w:t>
      </w:r>
      <w:r>
        <w:t xml:space="preserve"> </w:t>
      </w:r>
      <w:r>
        <w:t xml:space="preserve">M.B. Kursa and W.R. Rudnicki, Journal of Statistical Software</w:t>
      </w:r>
      <w:r>
        <w:t xml:space="preserve"> </w:t>
      </w:r>
      <w:r>
        <w:rPr>
          <w:bCs/>
          <w:b/>
        </w:rPr>
        <w:t xml:space="preserve">36</w:t>
      </w:r>
      <w:r>
        <w:t xml:space="preserve">, 1 (2010).</w:t>
      </w:r>
    </w:p>
    <w:bookmarkEnd w:id="45"/>
    <w:bookmarkStart w:id="46" w:name="ref-hollisterPredictingMaximumLake2011a"/>
    <w:p>
      <w:pPr>
        <w:pStyle w:val="Bibliography"/>
      </w:pPr>
      <w:r>
        <w:rPr>
          <w:vertAlign w:val="superscript"/>
        </w:rPr>
        <w:t xml:space="preserve">15</w:t>
      </w:r>
      <w:r>
        <w:t xml:space="preserve"> </w:t>
      </w:r>
      <w:r>
        <w:t xml:space="preserve">J.W. Hollister, W.B. Milstead, and M.A. Urrutia, PLoS ONE</w:t>
      </w:r>
      <w:r>
        <w:t xml:space="preserve"> </w:t>
      </w:r>
      <w:r>
        <w:rPr>
          <w:bCs/>
          <w:b/>
        </w:rPr>
        <w:t xml:space="preserve">6</w:t>
      </w:r>
      <w:r>
        <w:t xml:space="preserve">, e25764 (2011).</w:t>
      </w:r>
    </w:p>
    <w:bookmarkEnd w:id="46"/>
    <w:bookmarkStart w:id="47" w:name="ref-sobekPredictingDepthVolume2011"/>
    <w:p>
      <w:pPr>
        <w:pStyle w:val="Bibliography"/>
      </w:pPr>
      <w:r>
        <w:rPr>
          <w:vertAlign w:val="superscript"/>
        </w:rPr>
        <w:t xml:space="preserve">16</w:t>
      </w:r>
      <w:r>
        <w:t xml:space="preserve"> </w:t>
      </w:r>
      <w:r>
        <w:t xml:space="preserve">S. Sobek, Inland Waters</w:t>
      </w:r>
      <w:r>
        <w:t xml:space="preserve"> </w:t>
      </w:r>
      <w:r>
        <w:rPr>
          <w:bCs/>
          <w:b/>
        </w:rPr>
        <w:t xml:space="preserve">1</w:t>
      </w:r>
      <w:r>
        <w:t xml:space="preserve">, 177 (2011).</w:t>
      </w:r>
    </w:p>
    <w:bookmarkEnd w:id="47"/>
    <w:bookmarkStart w:id="48" w:name="Xe7b8eecf683d4d45fe8947b49234e745045e42b"/>
    <w:p>
      <w:pPr>
        <w:pStyle w:val="Bibliography"/>
      </w:pPr>
      <w:r>
        <w:rPr>
          <w:vertAlign w:val="superscript"/>
        </w:rPr>
        <w:t xml:space="preserve">17</w:t>
      </w:r>
      <w:r>
        <w:t xml:space="preserve"> </w:t>
      </w:r>
      <w:r>
        <w:t xml:space="preserve">A.J. Heathcote, P.A. del Giorgio, and Y.T. Prairie, Canadian Journal of Fisheries and Aquatic Sciences</w:t>
      </w:r>
      <w:r>
        <w:t xml:space="preserve"> </w:t>
      </w:r>
      <w:r>
        <w:rPr>
          <w:bCs/>
          <w:b/>
        </w:rPr>
        <w:t xml:space="preserve">72</w:t>
      </w:r>
      <w:r>
        <w:t xml:space="preserve">, 643 (2015).</w:t>
      </w:r>
    </w:p>
    <w:bookmarkEnd w:id="48"/>
    <w:bookmarkStart w:id="49" w:name="ref-oliverPredictionLakeDepth2016"/>
    <w:p>
      <w:pPr>
        <w:pStyle w:val="Bibliography"/>
      </w:pPr>
      <w:r>
        <w:rPr>
          <w:vertAlign w:val="superscript"/>
        </w:rPr>
        <w:t xml:space="preserve">18</w:t>
      </w:r>
      <w:r>
        <w:t xml:space="preserve"> </w:t>
      </w:r>
      <w:r>
        <w:t xml:space="preserve">S.K. Oliver, P.A. Soranno, C.E. Fergus, T. Wagner, L.A. Winslow, C.E. Scott, K.E. Webster, J.A. Downing, and E.H. Stanley, Inland Waters</w:t>
      </w:r>
      <w:r>
        <w:t xml:space="preserve"> </w:t>
      </w:r>
      <w:r>
        <w:rPr>
          <w:bCs/>
          <w:b/>
        </w:rPr>
        <w:t xml:space="preserve">6</w:t>
      </w:r>
      <w:r>
        <w:t xml:space="preserve">, 314 (2016).</w:t>
      </w:r>
    </w:p>
    <w:bookmarkEnd w:id="49"/>
    <w:bookmarkStart w:id="50" w:name="ref-duPracticalSplitWindowAlgorithm2015"/>
    <w:p>
      <w:pPr>
        <w:pStyle w:val="Bibliography"/>
      </w:pPr>
      <w:r>
        <w:rPr>
          <w:vertAlign w:val="superscript"/>
        </w:rPr>
        <w:t xml:space="preserve">19</w:t>
      </w:r>
      <w:r>
        <w:t xml:space="preserve"> </w:t>
      </w:r>
      <w:r>
        <w:t xml:space="preserve">C. Du, H. Ren, Q. Qin, J. Meng, and S. Zhao, Remote Sensing</w:t>
      </w:r>
      <w:r>
        <w:t xml:space="preserve"> </w:t>
      </w:r>
      <w:r>
        <w:rPr>
          <w:bCs/>
          <w:b/>
        </w:rPr>
        <w:t xml:space="preserve">7</w:t>
      </w:r>
      <w:r>
        <w:t xml:space="preserve">, 647 (2015).</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Maximum Depth for all Lakes in the United States</dc:title>
  <dc:creator>Keenan Ganz; Max Glines; Kevin Rose</dc:creator>
  <cp:keywords/>
  <dcterms:created xsi:type="dcterms:W3CDTF">2022-01-26T16:13:25Z</dcterms:created>
  <dcterms:modified xsi:type="dcterms:W3CDTF">2022-01-26T16:13:25Z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C:\users\ganzk\desktop\lakes\notebooks\bibliography.bib</vt:lpwstr>
  </property>
  <property fmtid="{D5CDD505-2E9C-101B-9397-08002B2CF9AE}" pid="3" name="csl">
    <vt:lpwstr>C:\users\ganzk\desktop\lakes\notebooks\american-institute-of-physics.csl</vt:lpwstr>
  </property>
  <property fmtid="{D5CDD505-2E9C-101B-9397-08002B2CF9AE}" pid="4" name="nocite">
    <vt:lpwstr>@oliverPredictionLakeDepth2016, @heathcotePredictingBathymetricFeatures2015 | @sobekPredictingDepthVolume2011, @hollisterPredictingMaximumLake2011a | @duPracticalSplitWindowAlgorithm2015, @vanhellemontAutomatedWaterSurface2020</vt:lpwstr>
  </property>
  <property fmtid="{D5CDD505-2E9C-101B-9397-08002B2CF9AE}" pid="5" name="output">
    <vt:lpwstr/>
  </property>
</Properties>
</file>