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58481" w14:textId="77777777" w:rsidR="0035583B" w:rsidRPr="0035583B" w:rsidRDefault="0035583B" w:rsidP="0035583B">
      <w:pPr>
        <w:shd w:val="clear" w:color="auto" w:fill="F9F9F9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IN"/>
        </w:rPr>
        <w:t>Assignment 1</w:t>
      </w:r>
      <w:bookmarkStart w:id="0" w:name="_GoBack"/>
      <w:bookmarkEnd w:id="0"/>
    </w:p>
    <w:p w14:paraId="2999107F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  <w:t>The due date for submitting this assignment has passed.</w:t>
      </w:r>
    </w:p>
    <w:p w14:paraId="701AA47C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FF0000"/>
          <w:sz w:val="27"/>
          <w:szCs w:val="27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FF0000"/>
          <w:sz w:val="27"/>
          <w:szCs w:val="27"/>
          <w:lang w:eastAsia="en-IN"/>
        </w:rPr>
        <w:t>Due on 2018-08-15, 23:59 IST.</w:t>
      </w:r>
    </w:p>
    <w:p w14:paraId="49252CC5" w14:textId="77777777" w:rsidR="0035583B" w:rsidRPr="0035583B" w:rsidRDefault="0035583B" w:rsidP="0035583B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444444"/>
          <w:sz w:val="27"/>
          <w:szCs w:val="27"/>
          <w:lang w:eastAsia="en-IN"/>
        </w:rPr>
        <w:t>Assignment submitted on 2018-08-15, 22:45 IST</w:t>
      </w:r>
    </w:p>
    <w:p w14:paraId="323367FF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792960B9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A GSM900 cell tower antenna has 15 dBi gain and it is transmitting 20 W of power at 950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MHz.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 The power density at a distance of 50m in the direction of maximum radiation is:</w:t>
      </w:r>
    </w:p>
    <w:p w14:paraId="43709729" w14:textId="0CBFE52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60044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20.25pt;height:18pt" o:ole="">
            <v:imagedata r:id="rId4" o:title=""/>
          </v:shape>
          <w:control r:id="rId5" w:name="DefaultOcxName" w:shapeid="_x0000_i1144"/>
        </w:object>
      </w:r>
    </w:p>
    <w:p w14:paraId="5163E6C5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100.6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mW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/</w:t>
      </w:r>
      <w:r w:rsidRPr="0035583B">
        <w:rPr>
          <w:rFonts w:ascii="MathJax_Math-italic" w:eastAsia="Times New Roman" w:hAnsi="MathJax_Math-italic" w:cs="Arial"/>
          <w:color w:val="444444"/>
          <w:sz w:val="23"/>
          <w:szCs w:val="23"/>
          <w:bdr w:val="none" w:sz="0" w:space="0" w:color="auto" w:frame="1"/>
          <w:lang w:eastAsia="en-IN"/>
        </w:rPr>
        <w:t>m</w:t>
      </w:r>
      <w:r w:rsidRPr="0035583B">
        <w:rPr>
          <w:rFonts w:ascii="MathJax_Main" w:eastAsia="Times New Roman" w:hAnsi="MathJax_Main" w:cs="Arial"/>
          <w:color w:val="444444"/>
          <w:sz w:val="16"/>
          <w:szCs w:val="16"/>
          <w:bdr w:val="none" w:sz="0" w:space="0" w:color="auto" w:frame="1"/>
          <w:lang w:eastAsia="en-IN"/>
        </w:rPr>
        <w:t>2</w:t>
      </w:r>
      <w:r w:rsidRPr="0035583B">
        <w:rPr>
          <w:rFonts w:ascii="Arial" w:eastAsia="Times New Roman" w:hAnsi="Arial" w:cs="Arial"/>
          <w:color w:val="444444"/>
          <w:sz w:val="19"/>
          <w:szCs w:val="19"/>
          <w:bdr w:val="none" w:sz="0" w:space="0" w:color="auto" w:frame="1"/>
          <w:lang w:eastAsia="en-IN"/>
        </w:rPr>
        <w:t>m2</w:t>
      </w:r>
    </w:p>
    <w:p w14:paraId="0098FC78" w14:textId="25B198CB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1F64D896">
          <v:shape id="_x0000_i1143" type="#_x0000_t75" style="width:20.25pt;height:18pt" o:ole="">
            <v:imagedata r:id="rId4" o:title=""/>
          </v:shape>
          <w:control r:id="rId6" w:name="DefaultOcxName1" w:shapeid="_x0000_i1143"/>
        </w:object>
      </w:r>
    </w:p>
    <w:p w14:paraId="081A4676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20.1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mW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/</w:t>
      </w:r>
      <w:r w:rsidRPr="0035583B">
        <w:rPr>
          <w:rFonts w:ascii="MathJax_Math-italic" w:eastAsia="Times New Roman" w:hAnsi="MathJax_Math-italic" w:cs="Arial"/>
          <w:color w:val="444444"/>
          <w:sz w:val="23"/>
          <w:szCs w:val="23"/>
          <w:bdr w:val="none" w:sz="0" w:space="0" w:color="auto" w:frame="1"/>
          <w:lang w:eastAsia="en-IN"/>
        </w:rPr>
        <w:t>m</w:t>
      </w:r>
      <w:r w:rsidRPr="0035583B">
        <w:rPr>
          <w:rFonts w:ascii="MathJax_Main" w:eastAsia="Times New Roman" w:hAnsi="MathJax_Main" w:cs="Arial"/>
          <w:color w:val="444444"/>
          <w:sz w:val="16"/>
          <w:szCs w:val="16"/>
          <w:bdr w:val="none" w:sz="0" w:space="0" w:color="auto" w:frame="1"/>
          <w:lang w:eastAsia="en-IN"/>
        </w:rPr>
        <w:t>2</w:t>
      </w:r>
      <w:r w:rsidRPr="0035583B">
        <w:rPr>
          <w:rFonts w:ascii="Arial" w:eastAsia="Times New Roman" w:hAnsi="Arial" w:cs="Arial"/>
          <w:color w:val="444444"/>
          <w:sz w:val="19"/>
          <w:szCs w:val="19"/>
          <w:bdr w:val="none" w:sz="0" w:space="0" w:color="auto" w:frame="1"/>
          <w:lang w:eastAsia="en-IN"/>
        </w:rPr>
        <w:t>m2</w:t>
      </w:r>
    </w:p>
    <w:p w14:paraId="730DDF8D" w14:textId="2280B733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AD5ADC2">
          <v:shape id="_x0000_i1142" type="#_x0000_t75" style="width:20.25pt;height:18pt" o:ole="">
            <v:imagedata r:id="rId4" o:title=""/>
          </v:shape>
          <w:control r:id="rId7" w:name="DefaultOcxName2" w:shapeid="_x0000_i1142"/>
        </w:object>
      </w:r>
    </w:p>
    <w:p w14:paraId="764622E3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9.6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mW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/</w:t>
      </w:r>
      <w:r w:rsidRPr="0035583B">
        <w:rPr>
          <w:rFonts w:ascii="MathJax_Math-italic" w:eastAsia="Times New Roman" w:hAnsi="MathJax_Math-italic" w:cs="Arial"/>
          <w:color w:val="444444"/>
          <w:sz w:val="23"/>
          <w:szCs w:val="23"/>
          <w:bdr w:val="none" w:sz="0" w:space="0" w:color="auto" w:frame="1"/>
          <w:lang w:eastAsia="en-IN"/>
        </w:rPr>
        <w:t>m</w:t>
      </w:r>
      <w:r w:rsidRPr="0035583B">
        <w:rPr>
          <w:rFonts w:ascii="MathJax_Main" w:eastAsia="Times New Roman" w:hAnsi="MathJax_Main" w:cs="Arial"/>
          <w:color w:val="444444"/>
          <w:sz w:val="16"/>
          <w:szCs w:val="16"/>
          <w:bdr w:val="none" w:sz="0" w:space="0" w:color="auto" w:frame="1"/>
          <w:lang w:eastAsia="en-IN"/>
        </w:rPr>
        <w:t>2</w:t>
      </w:r>
      <w:r w:rsidRPr="0035583B">
        <w:rPr>
          <w:rFonts w:ascii="Arial" w:eastAsia="Times New Roman" w:hAnsi="Arial" w:cs="Arial"/>
          <w:color w:val="444444"/>
          <w:sz w:val="19"/>
          <w:szCs w:val="19"/>
          <w:bdr w:val="none" w:sz="0" w:space="0" w:color="auto" w:frame="1"/>
          <w:lang w:eastAsia="en-IN"/>
        </w:rPr>
        <w:t>m2</w:t>
      </w:r>
    </w:p>
    <w:p w14:paraId="7BB54E08" w14:textId="6D31172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277DF50">
          <v:shape id="_x0000_i1141" type="#_x0000_t75" style="width:20.25pt;height:18pt" o:ole="">
            <v:imagedata r:id="rId4" o:title=""/>
          </v:shape>
          <w:control r:id="rId8" w:name="DefaultOcxName3" w:shapeid="_x0000_i1141"/>
        </w:object>
      </w:r>
    </w:p>
    <w:p w14:paraId="757F7493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3.6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mW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/</w:t>
      </w:r>
      <w:r w:rsidRPr="0035583B">
        <w:rPr>
          <w:rFonts w:ascii="MathJax_Math-italic" w:eastAsia="Times New Roman" w:hAnsi="MathJax_Math-italic" w:cs="Arial"/>
          <w:color w:val="444444"/>
          <w:sz w:val="23"/>
          <w:szCs w:val="23"/>
          <w:bdr w:val="none" w:sz="0" w:space="0" w:color="auto" w:frame="1"/>
          <w:lang w:eastAsia="en-IN"/>
        </w:rPr>
        <w:t>m</w:t>
      </w:r>
      <w:r w:rsidRPr="0035583B">
        <w:rPr>
          <w:rFonts w:ascii="MathJax_Main" w:eastAsia="Times New Roman" w:hAnsi="MathJax_Main" w:cs="Arial"/>
          <w:color w:val="444444"/>
          <w:sz w:val="16"/>
          <w:szCs w:val="16"/>
          <w:bdr w:val="none" w:sz="0" w:space="0" w:color="auto" w:frame="1"/>
          <w:lang w:eastAsia="en-IN"/>
        </w:rPr>
        <w:t>2</w:t>
      </w:r>
      <w:r w:rsidRPr="0035583B">
        <w:rPr>
          <w:rFonts w:ascii="Arial" w:eastAsia="Times New Roman" w:hAnsi="Arial" w:cs="Arial"/>
          <w:color w:val="444444"/>
          <w:sz w:val="19"/>
          <w:szCs w:val="19"/>
          <w:bdr w:val="none" w:sz="0" w:space="0" w:color="auto" w:frame="1"/>
          <w:lang w:eastAsia="en-IN"/>
        </w:rPr>
        <w:t>m2</w:t>
      </w:r>
    </w:p>
    <w:p w14:paraId="35A82C5B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FF0000"/>
          <w:sz w:val="19"/>
          <w:szCs w:val="19"/>
          <w:lang w:eastAsia="en-IN"/>
        </w:rPr>
        <w:t>No, the answer is incorrect.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FF0000"/>
          <w:sz w:val="19"/>
          <w:szCs w:val="19"/>
          <w:lang w:eastAsia="en-IN"/>
        </w:rPr>
        <w:t>Score: 0</w:t>
      </w:r>
    </w:p>
    <w:p w14:paraId="0FBA69C4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7D783B59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 xml:space="preserve">20.1 </w:t>
      </w:r>
      <w:proofErr w:type="spellStart"/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mW</w:t>
      </w:r>
      <w:proofErr w:type="spellEnd"/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/</w:t>
      </w:r>
      <w:r w:rsidRPr="0035583B">
        <w:rPr>
          <w:rFonts w:ascii="MathJax_Math-italic" w:eastAsia="Times New Roman" w:hAnsi="MathJax_Math-italic" w:cs="Arial"/>
          <w:color w:val="008000"/>
          <w:sz w:val="23"/>
          <w:szCs w:val="23"/>
          <w:bdr w:val="none" w:sz="0" w:space="0" w:color="auto" w:frame="1"/>
          <w:lang w:eastAsia="en-IN"/>
        </w:rPr>
        <w:t>m</w:t>
      </w:r>
      <w:r w:rsidRPr="0035583B">
        <w:rPr>
          <w:rFonts w:ascii="MathJax_Main" w:eastAsia="Times New Roman" w:hAnsi="MathJax_Main" w:cs="Arial"/>
          <w:color w:val="008000"/>
          <w:sz w:val="16"/>
          <w:szCs w:val="16"/>
          <w:bdr w:val="none" w:sz="0" w:space="0" w:color="auto" w:frame="1"/>
          <w:lang w:eastAsia="en-IN"/>
        </w:rPr>
        <w:t>2</w:t>
      </w:r>
      <w:r w:rsidRPr="0035583B">
        <w:rPr>
          <w:rFonts w:ascii="Arial" w:eastAsia="Times New Roman" w:hAnsi="Arial" w:cs="Arial"/>
          <w:color w:val="008000"/>
          <w:sz w:val="19"/>
          <w:szCs w:val="19"/>
          <w:bdr w:val="none" w:sz="0" w:space="0" w:color="auto" w:frame="1"/>
          <w:lang w:eastAsia="en-IN"/>
        </w:rPr>
        <w:t>m2</w:t>
      </w:r>
    </w:p>
    <w:p w14:paraId="0889B98D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269FFF36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Transmitting and receiving antennas operating at 5.8 GHz with gains of 18 dBi and 15 dBi, respectively, are separated by a distance of 2 km. If the transmitted power is 20W, then the received power is:</w:t>
      </w:r>
    </w:p>
    <w:p w14:paraId="630E7BCE" w14:textId="0D76ED98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BBEF95E">
          <v:shape id="_x0000_i1140" type="#_x0000_t75" style="width:20.25pt;height:18pt" o:ole="">
            <v:imagedata r:id="rId4" o:title=""/>
          </v:shape>
          <w:control r:id="rId9" w:name="DefaultOcxName4" w:shapeid="_x0000_i1140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-67.7 dBm</w:t>
      </w:r>
    </w:p>
    <w:p w14:paraId="3DB068B9" w14:textId="2F6916ED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68718E59">
          <v:shape id="_x0000_i1139" type="#_x0000_t75" style="width:20.25pt;height:18pt" o:ole="">
            <v:imagedata r:id="rId4" o:title=""/>
          </v:shape>
          <w:control r:id="rId10" w:name="DefaultOcxName5" w:shapeid="_x0000_i1139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-46.4 dBm</w:t>
      </w:r>
    </w:p>
    <w:p w14:paraId="33AE67B6" w14:textId="3DF89B00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676EC844">
          <v:shape id="_x0000_i1138" type="#_x0000_t75" style="width:20.25pt;height:18pt" o:ole="">
            <v:imagedata r:id="rId4" o:title=""/>
          </v:shape>
          <w:control r:id="rId11" w:name="DefaultOcxName6" w:shapeid="_x0000_i1138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-37.7 dBm</w:t>
      </w:r>
    </w:p>
    <w:p w14:paraId="44CD772D" w14:textId="0F896A5B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005D40A">
          <v:shape id="_x0000_i1137" type="#_x0000_t75" style="width:20.25pt;height:18pt" o:ole="">
            <v:imagedata r:id="rId4" o:title=""/>
          </v:shape>
          <w:control r:id="rId12" w:name="DefaultOcxName7" w:shapeid="_x0000_i1137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-19.1 dBm</w:t>
      </w:r>
    </w:p>
    <w:p w14:paraId="1961CCD2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57FB551A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5FFCA4DA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-37.7 dBm</w:t>
      </w:r>
    </w:p>
    <w:p w14:paraId="7A4D3A4D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7FC28684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The output power of low noise amplifiers is:</w:t>
      </w:r>
    </w:p>
    <w:p w14:paraId="64AF818B" w14:textId="0A339782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1AA4365D">
          <v:shape id="_x0000_i1136" type="#_x0000_t75" style="width:20.25pt;height:18pt" o:ole="">
            <v:imagedata r:id="rId4" o:title=""/>
          </v:shape>
          <w:control r:id="rId13" w:name="DefaultOcxName8" w:shapeid="_x0000_i1136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&gt; 40 dBm</w:t>
      </w:r>
    </w:p>
    <w:p w14:paraId="3C099A9F" w14:textId="44706075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8C64024">
          <v:shape id="_x0000_i1135" type="#_x0000_t75" style="width:20.25pt;height:18pt" o:ole="">
            <v:imagedata r:id="rId4" o:title=""/>
          </v:shape>
          <w:control r:id="rId14" w:name="DefaultOcxName9" w:shapeid="_x0000_i1135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30 dBm to 40 dBm</w:t>
      </w:r>
    </w:p>
    <w:p w14:paraId="577D9988" w14:textId="069EFF2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8975AF3">
          <v:shape id="_x0000_i1134" type="#_x0000_t75" style="width:20.25pt;height:18pt" o:ole="">
            <v:imagedata r:id="rId4" o:title=""/>
          </v:shape>
          <w:control r:id="rId15" w:name="DefaultOcxName10" w:shapeid="_x0000_i1134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10 dBm to 30 dBm</w:t>
      </w:r>
    </w:p>
    <w:p w14:paraId="0877D319" w14:textId="00179FB8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41890D1F">
          <v:shape id="_x0000_i1133" type="#_x0000_t75" style="width:20.25pt;height:18pt" o:ole="">
            <v:imagedata r:id="rId4" o:title=""/>
          </v:shape>
          <w:control r:id="rId16" w:name="DefaultOcxName11" w:shapeid="_x0000_i1133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&lt; 10 dBm</w:t>
      </w:r>
    </w:p>
    <w:p w14:paraId="77EA0DA4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691A492F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30766C9D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&lt; 10 dBm</w:t>
      </w:r>
    </w:p>
    <w:p w14:paraId="4A318306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lastRenderedPageBreak/>
        <w:t>2 points</w:t>
      </w:r>
    </w:p>
    <w:p w14:paraId="687C5BAA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The carrier frequency of GPS receiver module is:</w:t>
      </w:r>
    </w:p>
    <w:p w14:paraId="05D56479" w14:textId="0A9CBCC5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41C926DE">
          <v:shape id="_x0000_i1132" type="#_x0000_t75" style="width:20.25pt;height:18pt" o:ole="">
            <v:imagedata r:id="rId4" o:title=""/>
          </v:shape>
          <w:control r:id="rId17" w:name="DefaultOcxName12" w:shapeid="_x0000_i1132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915 MHz</w:t>
      </w:r>
    </w:p>
    <w:p w14:paraId="667C3605" w14:textId="3EB601EC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CE4ECDC">
          <v:shape id="_x0000_i1131" type="#_x0000_t75" style="width:20.25pt;height:18pt" o:ole="">
            <v:imagedata r:id="rId4" o:title=""/>
          </v:shape>
          <w:control r:id="rId18" w:name="DefaultOcxName13" w:shapeid="_x0000_i1131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1575 MHz</w:t>
      </w:r>
    </w:p>
    <w:p w14:paraId="46314345" w14:textId="30C7FC2C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55FA86F">
          <v:shape id="_x0000_i1130" type="#_x0000_t75" style="width:20.25pt;height:18pt" o:ole="">
            <v:imagedata r:id="rId4" o:title=""/>
          </v:shape>
          <w:control r:id="rId19" w:name="DefaultOcxName14" w:shapeid="_x0000_i1130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1875 MHz</w:t>
      </w:r>
    </w:p>
    <w:p w14:paraId="6AEE85A8" w14:textId="0752C566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1CD9579">
          <v:shape id="_x0000_i1129" type="#_x0000_t75" style="width:20.25pt;height:18pt" o:ole="">
            <v:imagedata r:id="rId4" o:title=""/>
          </v:shape>
          <w:control r:id="rId20" w:name="DefaultOcxName15" w:shapeid="_x0000_i1129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1915 MHz</w:t>
      </w:r>
    </w:p>
    <w:p w14:paraId="5B8A64D5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674B214F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4849BD0C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1575 MHz</w:t>
      </w:r>
    </w:p>
    <w:p w14:paraId="4FE65E09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53B24F97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GPS module can be used in:</w:t>
      </w:r>
    </w:p>
    <w:p w14:paraId="7AA44944" w14:textId="6F149230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6EC130E">
          <v:shape id="_x0000_i1128" type="#_x0000_t75" style="width:20.25pt;height:18pt" o:ole="">
            <v:imagedata r:id="rId4" o:title=""/>
          </v:shape>
          <w:control r:id="rId21" w:name="DefaultOcxName16" w:shapeid="_x0000_i1128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Vehicle Tracking</w:t>
      </w:r>
    </w:p>
    <w:p w14:paraId="0B9BA7BF" w14:textId="21452162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39A3E098">
          <v:shape id="_x0000_i1127" type="#_x0000_t75" style="width:20.25pt;height:18pt" o:ole="">
            <v:imagedata r:id="rId4" o:title=""/>
          </v:shape>
          <w:control r:id="rId22" w:name="DefaultOcxName17" w:shapeid="_x0000_i1127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Remote Monitoring</w:t>
      </w:r>
    </w:p>
    <w:p w14:paraId="6D7F0F8B" w14:textId="504769BC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EEBFF42">
          <v:shape id="_x0000_i1126" type="#_x0000_t75" style="width:20.25pt;height:18pt" o:ole="">
            <v:imagedata r:id="rId4" o:title=""/>
          </v:shape>
          <w:control r:id="rId23" w:name="DefaultOcxName18" w:shapeid="_x0000_i1126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Location Identification</w:t>
      </w:r>
    </w:p>
    <w:p w14:paraId="3E843A70" w14:textId="5935C228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1EAC713A">
          <v:shape id="_x0000_i1125" type="#_x0000_t75" style="width:20.25pt;height:18pt" o:ole="">
            <v:imagedata r:id="rId4" o:title=""/>
          </v:shape>
          <w:control r:id="rId24" w:name="DefaultOcxName19" w:shapeid="_x0000_i1125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All of these</w:t>
      </w:r>
    </w:p>
    <w:p w14:paraId="71C2A6BD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53838883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7818DA22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All of these</w:t>
      </w:r>
    </w:p>
    <w:p w14:paraId="6C7554AB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6C3E09F2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The frequency range of AM radio is:</w:t>
      </w:r>
    </w:p>
    <w:p w14:paraId="2310836D" w14:textId="0F7D201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8808746">
          <v:shape id="_x0000_i1124" type="#_x0000_t75" style="width:20.25pt;height:18pt" o:ole="">
            <v:imagedata r:id="rId4" o:title=""/>
          </v:shape>
          <w:control r:id="rId25" w:name="DefaultOcxName20" w:shapeid="_x0000_i1124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 530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KHz</w:t>
      </w:r>
      <w:proofErr w:type="spellEnd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 xml:space="preserve"> – 1620 </w:t>
      </w:r>
      <w:proofErr w:type="spellStart"/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KHz</w:t>
      </w:r>
      <w:proofErr w:type="spellEnd"/>
    </w:p>
    <w:p w14:paraId="4B8E9F79" w14:textId="74C6F306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5D27407">
          <v:shape id="_x0000_i1123" type="#_x0000_t75" style="width:20.25pt;height:18pt" o:ole="">
            <v:imagedata r:id="rId4" o:title=""/>
          </v:shape>
          <w:control r:id="rId26" w:name="DefaultOcxName21" w:shapeid="_x0000_i1123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88 MHz – 108 MHz</w:t>
      </w:r>
    </w:p>
    <w:p w14:paraId="3988CB9C" w14:textId="4207C3A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05BA0418">
          <v:shape id="_x0000_i1122" type="#_x0000_t75" style="width:20.25pt;height:18pt" o:ole="">
            <v:imagedata r:id="rId4" o:title=""/>
          </v:shape>
          <w:control r:id="rId27" w:name="DefaultOcxName22" w:shapeid="_x0000_i1122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180 MHz – 220 MHz</w:t>
      </w:r>
    </w:p>
    <w:p w14:paraId="4FF7F3AA" w14:textId="024C439B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4C3BAE23">
          <v:shape id="_x0000_i1121" type="#_x0000_t75" style="width:20.25pt;height:18pt" o:ole="">
            <v:imagedata r:id="rId4" o:title=""/>
          </v:shape>
          <w:control r:id="rId28" w:name="DefaultOcxName23" w:shapeid="_x0000_i1121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2.4 GHz – 2.5 GHz </w:t>
      </w:r>
    </w:p>
    <w:p w14:paraId="764BB259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5105E842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6AAC036A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 xml:space="preserve">530 </w:t>
      </w:r>
      <w:proofErr w:type="spellStart"/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KHz</w:t>
      </w:r>
      <w:proofErr w:type="spellEnd"/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 xml:space="preserve"> – 1620 </w:t>
      </w:r>
      <w:proofErr w:type="spellStart"/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KHz</w:t>
      </w:r>
      <w:proofErr w:type="spellEnd"/>
    </w:p>
    <w:p w14:paraId="640BF8BC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3A522E79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In USA, the maximum allowed SAR limit for 6 minutes of usage is:</w:t>
      </w:r>
    </w:p>
    <w:p w14:paraId="7DCD9A31" w14:textId="5BEA980A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8944F01">
          <v:shape id="_x0000_i1120" type="#_x0000_t75" style="width:20.25pt;height:18pt" o:ole="">
            <v:imagedata r:id="rId4" o:title=""/>
          </v:shape>
          <w:control r:id="rId29" w:name="DefaultOcxName24" w:shapeid="_x0000_i1120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 W/Kg</w:t>
      </w:r>
    </w:p>
    <w:p w14:paraId="53A13985" w14:textId="24B8E2ED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CA7AE7B">
          <v:shape id="_x0000_i1119" type="#_x0000_t75" style="width:20.25pt;height:18pt" o:ole="">
            <v:imagedata r:id="rId4" o:title=""/>
          </v:shape>
          <w:control r:id="rId30" w:name="DefaultOcxName25" w:shapeid="_x0000_i1119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1.6 W/Kg</w:t>
      </w:r>
    </w:p>
    <w:p w14:paraId="6B28768F" w14:textId="2C1D7156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7DD8BB6">
          <v:shape id="_x0000_i1118" type="#_x0000_t75" style="width:20.25pt;height:18pt" o:ole="">
            <v:imagedata r:id="rId4" o:title=""/>
          </v:shape>
          <w:control r:id="rId31" w:name="DefaultOcxName26" w:shapeid="_x0000_i1118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2 W/kg</w:t>
      </w:r>
    </w:p>
    <w:p w14:paraId="0A594496" w14:textId="0AEA56B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9459596">
          <v:shape id="_x0000_i1117" type="#_x0000_t75" style="width:20.25pt;height:18pt" o:ole="">
            <v:imagedata r:id="rId4" o:title=""/>
          </v:shape>
          <w:control r:id="rId32" w:name="DefaultOcxName27" w:shapeid="_x0000_i1117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2.4 W/Kg</w:t>
      </w:r>
    </w:p>
    <w:p w14:paraId="1DA8F30E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75811B47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75005FA9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1.6 W/Kg</w:t>
      </w:r>
    </w:p>
    <w:p w14:paraId="2A62D3C0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lastRenderedPageBreak/>
        <w:t>2 points</w:t>
      </w:r>
    </w:p>
    <w:p w14:paraId="2C62423F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The extremely high radiation zone of a cell tower is at a distance:</w:t>
      </w:r>
    </w:p>
    <w:p w14:paraId="50942807" w14:textId="0E81EC3A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D889ED7">
          <v:shape id="_x0000_i1116" type="#_x0000_t75" style="width:20.25pt;height:18pt" o:ole="">
            <v:imagedata r:id="rId4" o:title=""/>
          </v:shape>
          <w:control r:id="rId33" w:name="DefaultOcxName28" w:shapeid="_x0000_i1116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&lt; 50 m</w:t>
      </w:r>
    </w:p>
    <w:p w14:paraId="5ED076C6" w14:textId="7EAB254D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D4287FA">
          <v:shape id="_x0000_i1115" type="#_x0000_t75" style="width:20.25pt;height:18pt" o:ole="">
            <v:imagedata r:id="rId4" o:title=""/>
          </v:shape>
          <w:control r:id="rId34" w:name="DefaultOcxName29" w:shapeid="_x0000_i1115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50 m to 300 m </w:t>
      </w:r>
    </w:p>
    <w:p w14:paraId="7E6968C9" w14:textId="24397721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7C6774FB">
          <v:shape id="_x0000_i1114" type="#_x0000_t75" style="width:20.25pt;height:18pt" o:ole="">
            <v:imagedata r:id="rId4" o:title=""/>
          </v:shape>
          <w:control r:id="rId35" w:name="DefaultOcxName30" w:shapeid="_x0000_i1114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300 m</w:t>
      </w:r>
    </w:p>
    <w:p w14:paraId="2CE5E593" w14:textId="268B2F4F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7FFC86E">
          <v:shape id="_x0000_i1113" type="#_x0000_t75" style="width:20.25pt;height:18pt" o:ole="">
            <v:imagedata r:id="rId4" o:title=""/>
          </v:shape>
          <w:control r:id="rId36" w:name="DefaultOcxName31" w:shapeid="_x0000_i1113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None of these</w:t>
      </w:r>
    </w:p>
    <w:p w14:paraId="0AA50A4D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FF0000"/>
          <w:sz w:val="19"/>
          <w:szCs w:val="19"/>
          <w:lang w:eastAsia="en-IN"/>
        </w:rPr>
        <w:t>No, the answer is incorrect.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FF0000"/>
          <w:sz w:val="19"/>
          <w:szCs w:val="19"/>
          <w:lang w:eastAsia="en-IN"/>
        </w:rPr>
        <w:t>Score: 0</w:t>
      </w:r>
    </w:p>
    <w:p w14:paraId="7888F3E7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3901CD25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&lt; 50 m</w:t>
      </w:r>
    </w:p>
    <w:p w14:paraId="1527D165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3398D813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In 2011, WHO has classified cell phone radiation as:</w:t>
      </w:r>
    </w:p>
    <w:p w14:paraId="09A61637" w14:textId="49E6BEE6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1AB8F88F">
          <v:shape id="_x0000_i1112" type="#_x0000_t75" style="width:20.25pt;height:18pt" o:ole="">
            <v:imagedata r:id="rId4" o:title=""/>
          </v:shape>
          <w:control r:id="rId37" w:name="DefaultOcxName32" w:shapeid="_x0000_i1112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Class 1- carcinogen to human</w:t>
      </w:r>
    </w:p>
    <w:p w14:paraId="43AEF021" w14:textId="29D885F4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45243C33">
          <v:shape id="_x0000_i1111" type="#_x0000_t75" style="width:20.25pt;height:18pt" o:ole="">
            <v:imagedata r:id="rId4" o:title=""/>
          </v:shape>
          <w:control r:id="rId38" w:name="DefaultOcxName33" w:shapeid="_x0000_i1111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Class 2A- probable carcinogen to human</w:t>
      </w:r>
    </w:p>
    <w:p w14:paraId="293F0C03" w14:textId="0AFB73C8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1A26377D">
          <v:shape id="_x0000_i1110" type="#_x0000_t75" style="width:20.25pt;height:18pt" o:ole="">
            <v:imagedata r:id="rId4" o:title=""/>
          </v:shape>
          <w:control r:id="rId39" w:name="DefaultOcxName34" w:shapeid="_x0000_i1110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Class 2B- possible carcinogen to human</w:t>
      </w:r>
    </w:p>
    <w:p w14:paraId="72BCA9C0" w14:textId="382C7CE3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472B6A69">
          <v:shape id="_x0000_i1109" type="#_x0000_t75" style="width:20.25pt;height:18pt" o:ole="">
            <v:imagedata r:id="rId4" o:title=""/>
          </v:shape>
          <w:control r:id="rId40" w:name="DefaultOcxName35" w:shapeid="_x0000_i1109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Class 3- not classifiable as to its carcinogenicity to human</w:t>
      </w:r>
    </w:p>
    <w:p w14:paraId="4AC922B6" w14:textId="77777777" w:rsidR="0035583B" w:rsidRPr="0035583B" w:rsidRDefault="0035583B" w:rsidP="0035583B">
      <w:pP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Yes, the answer is correct. </w:t>
      </w:r>
      <w:r w:rsidRPr="0035583B">
        <w:rPr>
          <w:rFonts w:ascii="Arial" w:eastAsia="Times New Roman" w:hAnsi="Arial" w:cs="Arial"/>
          <w:b/>
          <w:bCs/>
          <w:color w:val="666666"/>
          <w:sz w:val="19"/>
          <w:szCs w:val="19"/>
          <w:lang w:eastAsia="en-IN"/>
        </w:rPr>
        <w:br/>
      </w: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Score: 2</w:t>
      </w:r>
    </w:p>
    <w:p w14:paraId="2145729E" w14:textId="77777777" w:rsidR="0035583B" w:rsidRPr="0035583B" w:rsidRDefault="0035583B" w:rsidP="0035583B">
      <w:pPr>
        <w:shd w:val="clear" w:color="auto" w:fill="F9F9F9"/>
        <w:spacing w:before="75" w:after="0" w:line="240" w:lineRule="auto"/>
        <w:outlineLvl w:val="2"/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color w:val="008000"/>
          <w:sz w:val="19"/>
          <w:szCs w:val="19"/>
          <w:lang w:eastAsia="en-IN"/>
        </w:rPr>
        <w:t>Accepted Answers:</w:t>
      </w:r>
    </w:p>
    <w:p w14:paraId="004ACA5B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i/>
          <w:iCs/>
          <w:color w:val="008000"/>
          <w:sz w:val="19"/>
          <w:szCs w:val="19"/>
          <w:lang w:eastAsia="en-IN"/>
        </w:rPr>
        <w:t>Class 2B- possible carcinogen to human</w:t>
      </w:r>
    </w:p>
    <w:p w14:paraId="5041A5F4" w14:textId="77777777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b/>
          <w:bCs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b/>
          <w:bCs/>
          <w:i/>
          <w:iCs/>
          <w:color w:val="444444"/>
          <w:sz w:val="19"/>
          <w:szCs w:val="19"/>
          <w:lang w:eastAsia="en-IN"/>
        </w:rPr>
        <w:t>2 points</w:t>
      </w:r>
    </w:p>
    <w:p w14:paraId="01885185" w14:textId="77777777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The Excessive use of cell phone over long period of time may cause:</w:t>
      </w:r>
    </w:p>
    <w:p w14:paraId="65AC0EF1" w14:textId="493783F5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679E1A3B">
          <v:shape id="_x0000_i1108" type="#_x0000_t75" style="width:20.25pt;height:18pt" o:ole="">
            <v:imagedata r:id="rId4" o:title=""/>
          </v:shape>
          <w:control r:id="rId41" w:name="DefaultOcxName36" w:shapeid="_x0000_i1108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Hearing problem</w:t>
      </w:r>
    </w:p>
    <w:p w14:paraId="14C6132A" w14:textId="1E6DB68C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37612C57">
          <v:shape id="_x0000_i1107" type="#_x0000_t75" style="width:20.25pt;height:18pt" o:ole="">
            <v:imagedata r:id="rId4" o:title=""/>
          </v:shape>
          <w:control r:id="rId42" w:name="DefaultOcxName37" w:shapeid="_x0000_i1107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Increase in cancer risk</w:t>
      </w:r>
    </w:p>
    <w:p w14:paraId="0DD9E882" w14:textId="65BE47EE" w:rsidR="0035583B" w:rsidRPr="0035583B" w:rsidRDefault="0035583B" w:rsidP="0035583B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25EED674">
          <v:shape id="_x0000_i1106" type="#_x0000_t75" style="width:20.25pt;height:18pt" o:ole="">
            <v:imagedata r:id="rId4" o:title=""/>
          </v:shape>
          <w:control r:id="rId43" w:name="DefaultOcxName38" w:shapeid="_x0000_i1106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Irreversible infertility</w:t>
      </w:r>
    </w:p>
    <w:p w14:paraId="7BB98A2E" w14:textId="21CCBB21" w:rsidR="0035583B" w:rsidRPr="0035583B" w:rsidRDefault="0035583B" w:rsidP="0035583B">
      <w:pPr>
        <w:shd w:val="clear" w:color="auto" w:fill="F9F9F9"/>
        <w:spacing w:after="150" w:line="240" w:lineRule="auto"/>
        <w:rPr>
          <w:rFonts w:ascii="Arial" w:eastAsia="Times New Roman" w:hAnsi="Arial" w:cs="Arial"/>
          <w:color w:val="444444"/>
          <w:sz w:val="19"/>
          <w:szCs w:val="19"/>
          <w:lang w:eastAsia="en-IN"/>
        </w:rPr>
      </w:pP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object w:dxaOrig="225" w:dyaOrig="225" w14:anchorId="56A5F99B">
          <v:shape id="_x0000_i1105" type="#_x0000_t75" style="width:20.25pt;height:18pt" o:ole="">
            <v:imagedata r:id="rId4" o:title=""/>
          </v:shape>
          <w:control r:id="rId44" w:name="DefaultOcxName39" w:shapeid="_x0000_i1105"/>
        </w:object>
      </w:r>
      <w:r w:rsidRPr="0035583B">
        <w:rPr>
          <w:rFonts w:ascii="Arial" w:eastAsia="Times New Roman" w:hAnsi="Arial" w:cs="Arial"/>
          <w:color w:val="444444"/>
          <w:sz w:val="19"/>
          <w:szCs w:val="19"/>
          <w:lang w:eastAsia="en-IN"/>
        </w:rPr>
        <w:t> All of these</w:t>
      </w:r>
    </w:p>
    <w:p w14:paraId="1CEC0B05" w14:textId="77777777" w:rsidR="00802135" w:rsidRDefault="00802135"/>
    <w:sectPr w:rsidR="0080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3B"/>
    <w:rsid w:val="00245634"/>
    <w:rsid w:val="0035583B"/>
    <w:rsid w:val="00802135"/>
    <w:rsid w:val="009334CF"/>
    <w:rsid w:val="00AC6552"/>
    <w:rsid w:val="00FB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06F2"/>
  <w15:chartTrackingRefBased/>
  <w15:docId w15:val="{DCE97020-8A7B-4158-ABA5-333B131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8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58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5583B"/>
    <w:rPr>
      <w:b/>
      <w:bCs/>
    </w:rPr>
  </w:style>
  <w:style w:type="character" w:customStyle="1" w:styleId="submission-date">
    <w:name w:val="submission-date"/>
    <w:basedOn w:val="DefaultParagraphFont"/>
    <w:rsid w:val="0035583B"/>
  </w:style>
  <w:style w:type="character" w:styleId="Emphasis">
    <w:name w:val="Emphasis"/>
    <w:basedOn w:val="DefaultParagraphFont"/>
    <w:uiPriority w:val="20"/>
    <w:qFormat/>
    <w:rsid w:val="0035583B"/>
    <w:rPr>
      <w:i/>
      <w:iCs/>
    </w:rPr>
  </w:style>
  <w:style w:type="character" w:customStyle="1" w:styleId="mi">
    <w:name w:val="mi"/>
    <w:basedOn w:val="DefaultParagraphFont"/>
    <w:rsid w:val="0035583B"/>
  </w:style>
  <w:style w:type="character" w:customStyle="1" w:styleId="mn">
    <w:name w:val="mn"/>
    <w:basedOn w:val="DefaultParagraphFont"/>
    <w:rsid w:val="0035583B"/>
  </w:style>
  <w:style w:type="character" w:customStyle="1" w:styleId="mjxassistivemathml">
    <w:name w:val="mjx_assistive_mathml"/>
    <w:basedOn w:val="DefaultParagraphFont"/>
    <w:rsid w:val="0035583B"/>
  </w:style>
  <w:style w:type="character" w:customStyle="1" w:styleId="incorrect">
    <w:name w:val="incorrect"/>
    <w:basedOn w:val="DefaultParagraphFont"/>
    <w:rsid w:val="0035583B"/>
  </w:style>
  <w:style w:type="character" w:customStyle="1" w:styleId="correct">
    <w:name w:val="correct"/>
    <w:basedOn w:val="DefaultParagraphFont"/>
    <w:rsid w:val="00355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3788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59617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2304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538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37696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74232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0040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327897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328234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9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16075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909494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4853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94835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14852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609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185803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0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020956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0718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27286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34119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845393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61478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482994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870267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3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6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739308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823402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12764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678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595070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95232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35532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582020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5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895510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1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789843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77064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515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5290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68386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602806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315267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8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6944214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279092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81432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605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09942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230634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4942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413452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6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9960346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73152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6246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7660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247813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22901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250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436832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7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3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8102823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0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12186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50038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435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321429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599574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94238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283057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5757188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25255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31407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1157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747297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40820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31246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93052">
                                  <w:marLeft w:val="225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8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33758">
                          <w:marLeft w:val="-210"/>
                          <w:marRight w:val="-21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0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680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04778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68375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172516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7396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383526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5.xml"/><Relationship Id="rId41" Type="http://schemas.openxmlformats.org/officeDocument/2006/relationships/control" Target="activeX/activeX37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1</cp:revision>
  <dcterms:created xsi:type="dcterms:W3CDTF">2019-03-11T10:12:00Z</dcterms:created>
  <dcterms:modified xsi:type="dcterms:W3CDTF">2019-03-11T10:14:00Z</dcterms:modified>
</cp:coreProperties>
</file>