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:rsidR="0261016A" w:rsidRDefault="0261016A">
      <w:pPr>
        <w:keepLines/>
        <w:spacing w:after="40" w:line="240" w:lineRule="auto"/>
        <w:jc w:val="center"/>
      </w:pPr>
      <w:r>
        <w:rPr>
          <w:rFonts w:ascii="Arial" w:hAnsi="Arial" w:eastAsia="微软雅黑"/>
          <w:sz w:val="29"/>
          <w:szCs w:val="29"/>
          <w:color w:val="17212B"/>
          <w:b/>
          <w:bCs/>
        </w:rPr>
        <w:t xml:space="preserve">《大模型通识》实验六实验报告</w:t>
      </w:r>
    </w:p>
    <w:p w:rsidR="0261016A" w:rsidRDefault="0261016A">
      <w:pPr>
        <w:keepLines/>
        <w:spacing w:after="65" w:line="240" w:lineRule="auto"/>
        <w:jc w:val="center"/>
      </w:pPr>
      <w:r>
        <w:rPr>
          <w:rFonts w:ascii="Arial" w:hAnsi="Arial" w:eastAsia="微软雅黑"/>
          <w:sz w:val="19"/>
          <w:szCs w:val="19"/>
          <w:color w:val="17212B"/>
        </w:rPr>
        <w:t xml:space="preserve">SmolVLM 精准定位与 RSI 改进验证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1800"/>
        <w:gridCol w:w="7200"/>
      </w:tblGrid>
      <w:tr>
        <w:trPr>
          <w:cantSplit/>
          <w:tblHeader/>
        </w:trPr>
        <w:tc>
          <w:tcPr>
            <w:tcW w:w="18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  <w:b/>
                <w:bCs/>
              </w:rPr>
              <w:t xml:space="preserve">项目</w:t>
            </w:r>
          </w:p>
        </w:tc>
        <w:tc>
          <w:tcPr>
            <w:tcW w:w="72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  <w:b/>
                <w:bCs/>
              </w:rPr>
              <w:t xml:space="preserve">实际信息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姓名／学号／班级</w:t>
            </w:r>
          </w:p>
        </w:tc>
        <w:tc>
          <w:tcPr>
            <w:tcW w:w="7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孙驰／2024311281／计算机10班</w:t>
            </w:r>
          </w:p>
        </w:tc>
      </w:tr>
      <w:tr>
        <w:trPr>
          <w:cantSplit/>
        </w:trPr>
        <w:tc>
          <w:tcPr>
            <w:tcW w:w="18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日期／环境</w:t>
            </w:r>
          </w:p>
        </w:tc>
        <w:tc>
          <w:tcPr>
            <w:tcW w:w="7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2026年10月22日；HPC NVIDIA A30 24GB；NF4 QLoRA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代码与证据</w:t>
            </w:r>
          </w:p>
        </w:tc>
        <w:tc>
          <w:tcPr>
            <w:tcW w:w="7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github.com/s-max-oss/llm-course-labs/tree/main/lab06</w:t>
            </w:r>
          </w:p>
        </w:tc>
      </w:tr>
    </w:tbl>
    <w:p w:rsidR="0261016A" w:rsidRDefault="0261016A">
      <w:pPr>
        <w:pStyle w:val="1"/>
        <w:keepNext/>
        <w:keepLines/>
        <w:spacing w:after="5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一、实验目的与任务概述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完成256×256合成图的4×4定位、计数和存在性判断，运行高亮自查、像素核验、纠错入池和两轮再训练。保留指南默认10步参照，随后诊断定位失败并连续优化。改进模型在同一份全新368题上比上一版多答对30题；模型与工具收益分开统计。</w:t>
      </w:r>
    </w:p>
    <w:p w:rsidR="0261016A" w:rsidRDefault="0261016A">
      <w:pPr>
        <w:pStyle w:val="1"/>
        <w:keepNext/>
        <w:keepLines/>
        <w:spacing w:after="5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二、实验环境与复现步骤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Python 3.10.20；torch 2.6.0+cu124；transformers 4.57.6；peft 0.17.1；bitsandbytes 0.48.1。SmolVLM-256M离线基座，NF4双重量化、BF16计算，512px单视图；原图为指南256px，修正样板480px笔误。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3300"/>
        <w:gridCol w:w="5700"/>
      </w:tblGrid>
      <w:tr>
        <w:trPr>
          <w:cantSplit/>
          <w:tblHeader/>
        </w:trPr>
        <w:tc>
          <w:tcPr>
            <w:tcW w:w="33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脚本／阶段</w:t>
            </w:r>
          </w:p>
        </w:tc>
        <w:tc>
          <w:tcPr>
            <w:tcW w:w="57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实际配置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run_hpc.slurm（默认）</w:t>
            </w:r>
          </w:p>
        </w:tc>
        <w:tc>
          <w:tcPr>
            <w:tcW w:w="5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40训练图、15评测图、15种子；SFT 10步；RSI 2×10步</w:t>
            </w:r>
          </w:p>
        </w:tc>
      </w:tr>
      <w:tr>
        <w:trPr>
          <w:cantSplit/>
        </w:trPr>
        <w:tc>
          <w:tcPr>
            <w:tcW w:w="33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视觉与变化图适配（V1）</w:t>
            </w:r>
          </w:p>
        </w:tc>
        <w:tc>
          <w:tcPr>
            <w:tcW w:w="5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视觉+连接层+语言LoRA；1200固定图更新、4000变化图更新及联合SFT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run_optimize_v2.slurm（V2）</w:t>
            </w:r>
          </w:p>
        </w:tc>
        <w:tc>
          <w:tcPr>
            <w:tcW w:w="5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3840张新训练图；1600次优化器更新×2累积；RSI 2×200次更新</w:t>
            </w:r>
          </w:p>
        </w:tc>
      </w:tr>
      <w:tr>
        <w:trPr>
          <w:cantSplit/>
        </w:trPr>
        <w:tc>
          <w:tcPr>
            <w:tcW w:w="33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run_v2_evaluation.slurm</w:t>
            </w:r>
          </w:p>
        </w:tc>
        <w:tc>
          <w:tcPr>
            <w:tcW w:w="5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从已保存选择记录续评，不重训、不更换模型或测试题</w:t>
            </w:r>
          </w:p>
        </w:tc>
      </w:tr>
    </w:tbl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HPC训练作业15408达到1小时限时，全部训练及选择已完成；作业15427仅续评，COMPLETED、退出码0:0。两作业累计77.5GPU分钟，分配已释放。CPU/FP32默认六阶段另行验证，8线程耗时690.6秒、6/6成功。</w:t>
      </w:r>
    </w:p>
    <w:p w:rsidR="0261016A" w:rsidRDefault="0261016A">
      <w:pPr>
        <w:pStyle w:val="1"/>
        <w:keepNext/>
        <w:keepLines/>
        <w:spacing w:after="5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三、方法与关键实现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框中心(cx,cy)映射为1起始r=floor(cy/64)+1、c=floor(cx/64)+1。模型输出rXcY，严格解析后映射中文坐标；IoU比较预测格框与目标框，格位正确时也通常小于1。问题token标签为−100，只学习答案。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默认语言LoRA参数921600；扩展视觉注意力、连接层与语言层后为1614336（0.6255%）。非重入检查点、三模块非零梯度、累积梯度除2及范数裁剪1保证训练有效。V2用3840新图，SFT实际3200微步：定位1920、计数960、存在320；半数定位图强化同色异形等干扰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V2从V1 SFT继续，学习率3e−5余弦降至3e−6；开发集仍为128定位+40计数+16存在。比较400/800/1600更新，再从开发最优SFT做两轮RSI；每轮184张新反馈图另加15历史题。仅像素核验通过的模型纠错回答入池，3e−6训练，每8微步重放1次，其余抽常规池；不采用穷举候选纠错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全部新图逐张核验并排除历史及跨集RGB重复。按开发定位率、再总正确率选择，平分取早阶段；选择落盘后才生成新368题。V1与V2同图、同量化、同提示、同解码比较。旧最终184题已公开，仅留作历史；本次是累计改进，不能把收益归于某个单独改动。</w:t>
      </w:r>
    </w:p>
    <w:p w:rsidR="0261016A" w:rsidRDefault="0261016A">
      <w:pPr>
        <w:keepLines/>
        <w:spacing w:after="20" w:line="240" w:lineRule="auto"/>
      </w:pPr>
      <w:r>
        <w:rPr>
          <w:rFonts w:ascii="Arial" w:hAnsi="Arial" w:eastAsia="微软雅黑"/>
          <w:sz w:val="13"/>
          <w:szCs w:val="13"/>
          <w:color w:val="17212B"/>
        </w:rPr>
        <w:t xml:space="preserve">真实日志节选（截取定位字段，完整输出见provenance）：</w:t>
        <w:br/>
        <w:t xml:space="preserve">[eval] v1_fresh_test {'loc': {'correct': 201, 'n': 256, 'valid': 256} …</w:t>
        <w:br/>
        <w:t xml:space="preserve">[eval] v2_fresh_test {'loc': {'correct': 215, 'n': 256, 'valid': 256} …</w:t>
      </w:r>
    </w:p>
    <w:p w:rsidR="0261016A" w:rsidRDefault="0261016A">
      <w:pPr>
        <w:pStyle w:val="1"/>
        <w:keepNext/>
        <w:pageBreakBefore/>
        <w:keepLines/>
        <w:spacing w:after="5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四、实验结果</w:t>
      </w:r>
    </w:p>
    <w:p w:rsidR="0261016A" w:rsidRDefault="0261016A">
      <w:pPr>
        <w:keepNext/>
        <w:keepLines/>
        <w:spacing w:after="25" w:line="240" w:lineRule="auto"/>
      </w:pPr>
      <w:r>
        <w:rPr>
          <w:rFonts w:ascii="Arial" w:hAnsi="Arial" w:eastAsia="微软雅黑"/>
          <w:sz w:val="17"/>
          <w:szCs w:val="17"/>
          <w:color w:val="17212B"/>
          <w:b/>
          <w:bCs/>
        </w:rPr>
        <w:t xml:space="preserve">表6  指南15题默认五阶段及扩展对照（定位8／计数4／存在3）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00"/>
        <w:gridCol w:w="1000"/>
        <w:gridCol w:w="1000"/>
        <w:gridCol w:w="1000"/>
        <w:gridCol w:w="1200"/>
        <w:gridCol w:w="2100"/>
      </w:tblGrid>
      <w:tr>
        <w:trPr>
          <w:cantSplit/>
          <w:tblHeader/>
        </w:trPr>
        <w:tc>
          <w:tcPr>
            <w:tcW w:w="27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阶段</w:t>
            </w:r>
          </w:p>
        </w:tc>
        <w:tc>
          <w:tcPr>
            <w:tcW w:w="10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定位</w:t>
            </w:r>
          </w:p>
        </w:tc>
        <w:tc>
          <w:tcPr>
            <w:tcW w:w="10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计数</w:t>
            </w:r>
          </w:p>
        </w:tc>
        <w:tc>
          <w:tcPr>
            <w:tcW w:w="10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存在</w:t>
            </w:r>
          </w:p>
        </w:tc>
        <w:tc>
          <w:tcPr>
            <w:tcW w:w="12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总计</w:t>
            </w:r>
          </w:p>
        </w:tc>
        <w:tc>
          <w:tcPr>
            <w:tcW w:w="21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IoU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原基线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0/4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0/3</w:t>
            </w:r>
          </w:p>
        </w:tc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0/15</w:t>
            </w:r>
          </w:p>
        </w:tc>
        <w:tc>
          <w:tcPr>
            <w:tcW w:w="2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原10步SFT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2/4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2/3</w:t>
            </w:r>
          </w:p>
        </w:tc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4/15</w:t>
            </w:r>
          </w:p>
        </w:tc>
        <w:tc>
          <w:tcPr>
            <w:tcW w:w="2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原SFT+验证器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4/4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7/15</w:t>
            </w:r>
          </w:p>
        </w:tc>
        <w:tc>
          <w:tcPr>
            <w:tcW w:w="2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原RSI第1轮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4/4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7/15</w:t>
            </w:r>
          </w:p>
        </w:tc>
        <w:tc>
          <w:tcPr>
            <w:tcW w:w="2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原RSI第2轮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3/4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1/3</w:t>
            </w:r>
          </w:p>
        </w:tc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4/15</w:t>
            </w:r>
          </w:p>
        </w:tc>
        <w:tc>
          <w:tcPr>
            <w:tcW w:w="2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V2+弱提示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8/8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2/4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13/15</w:t>
            </w:r>
          </w:p>
        </w:tc>
        <w:tc>
          <w:tcPr>
            <w:tcW w:w="2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0.393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V2+检测框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8/8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2/4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13/15</w:t>
            </w:r>
          </w:p>
        </w:tc>
        <w:tc>
          <w:tcPr>
            <w:tcW w:w="2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0.393</w:t>
            </w:r>
          </w:p>
        </w:tc>
      </w:tr>
      <w:tr>
        <w:trPr>
          <w:cantSplit/>
        </w:trPr>
        <w:tc>
          <w:tcPr>
            <w:tcW w:w="2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V2 RSI第1轮*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8/8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2/4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13/15</w:t>
            </w:r>
          </w:p>
        </w:tc>
        <w:tc>
          <w:tcPr>
            <w:tcW w:w="2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0.393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V2 RSI第2轮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8/8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2/4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13/15</w:t>
            </w:r>
          </w:p>
        </w:tc>
        <w:tc>
          <w:tcPr>
            <w:tcW w:w="2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0.393</w:t>
            </w:r>
          </w:p>
        </w:tc>
      </w:tr>
    </w:tbl>
    <w:p w:rsidR="0261016A" w:rsidRDefault="0261016A">
      <w:pPr>
        <w:keepLines/>
        <w:spacing w:after="20" w:line="240" w:lineRule="auto"/>
      </w:pPr>
      <w:r>
        <w:rPr>
          <w:rFonts w:ascii="Arial" w:hAnsi="Arial" w:eastAsia="微软雅黑"/>
          <w:sz w:val="16"/>
          <w:szCs w:val="16"/>
          <w:color w:val="17212B"/>
        </w:rPr>
        <w:t xml:space="preserve">* 第一轮RSI即开发集已选模型；独立13/15，8道定位全对。</w:t>
      </w:r>
    </w:p>
    <w:p w:rsidR="0261016A" w:rsidRDefault="0261016A">
      <w:pPr>
        <w:keepNext/>
        <w:keepLines/>
        <w:spacing w:after="25" w:line="240" w:lineRule="auto"/>
      </w:pPr>
      <w:r>
        <w:rPr>
          <w:rFonts w:ascii="Arial" w:hAnsi="Arial" w:eastAsia="微软雅黑"/>
          <w:sz w:val="17"/>
          <w:szCs w:val="17"/>
          <w:color w:val="17212B"/>
          <w:b/>
          <w:bCs/>
        </w:rPr>
        <w:t xml:space="preserve">表7  默认与V2两轮反馈（自查／工具列为重答尝试次数）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1200"/>
        <w:gridCol w:w="1400"/>
        <w:gridCol w:w="1150"/>
        <w:gridCol w:w="1900"/>
        <w:gridCol w:w="1300"/>
        <w:gridCol w:w="650"/>
        <w:gridCol w:w="1400"/>
      </w:tblGrid>
      <w:tr>
        <w:trPr>
          <w:cantSplit/>
          <w:tblHeader/>
        </w:trPr>
        <w:tc>
          <w:tcPr>
            <w:tcW w:w="12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轮次</w:t>
            </w:r>
          </w:p>
        </w:tc>
        <w:tc>
          <w:tcPr>
            <w:tcW w:w="14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池规模</w:t>
            </w:r>
          </w:p>
        </w:tc>
        <w:tc>
          <w:tcPr>
            <w:tcW w:w="115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直接对</w:t>
            </w:r>
          </w:p>
        </w:tc>
        <w:tc>
          <w:tcPr>
            <w:tcW w:w="19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自查／工具次数</w:t>
            </w:r>
          </w:p>
        </w:tc>
        <w:tc>
          <w:tcPr>
            <w:tcW w:w="13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纠错后对</w:t>
            </w:r>
          </w:p>
        </w:tc>
        <w:tc>
          <w:tcPr>
            <w:tcW w:w="65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新增</w:t>
            </w:r>
          </w:p>
        </w:tc>
        <w:tc>
          <w:tcPr>
            <w:tcW w:w="14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轮末独立</w:t>
            </w:r>
          </w:p>
        </w:tc>
      </w:tr>
      <w:tr>
        <w:trPr>
          <w:cantSplit/>
        </w:trPr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默认1</w:t>
            </w:r>
          </w:p>
        </w:tc>
        <w:tc>
          <w:tcPr>
            <w:tcW w:w="14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17</w:t>
            </w:r>
          </w:p>
        </w:tc>
        <w:tc>
          <w:tcPr>
            <w:tcW w:w="11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5/15</w:t>
            </w:r>
          </w:p>
        </w:tc>
        <w:tc>
          <w:tcPr>
            <w:tcW w:w="19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0／10</w:t>
            </w:r>
          </w:p>
        </w:tc>
        <w:tc>
          <w:tcPr>
            <w:tcW w:w="1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7/15</w:t>
            </w:r>
          </w:p>
        </w:tc>
        <w:tc>
          <w:tcPr>
            <w:tcW w:w="6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2</w:t>
            </w:r>
          </w:p>
        </w:tc>
        <w:tc>
          <w:tcPr>
            <w:tcW w:w="14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7/15</w:t>
            </w:r>
          </w:p>
        </w:tc>
      </w:tr>
      <w:tr>
        <w:trPr>
          <w:cantSplit/>
        </w:trPr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默认2</w:t>
            </w:r>
          </w:p>
        </w:tc>
        <w:tc>
          <w:tcPr>
            <w:tcW w:w="14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17</w:t>
            </w:r>
          </w:p>
        </w:tc>
        <w:tc>
          <w:tcPr>
            <w:tcW w:w="115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6/15</w:t>
            </w:r>
          </w:p>
        </w:tc>
        <w:tc>
          <w:tcPr>
            <w:tcW w:w="19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1／9</w:t>
            </w:r>
          </w:p>
        </w:tc>
        <w:tc>
          <w:tcPr>
            <w:tcW w:w="13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7/15</w:t>
            </w:r>
          </w:p>
        </w:tc>
        <w:tc>
          <w:tcPr>
            <w:tcW w:w="65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0</w:t>
            </w:r>
          </w:p>
        </w:tc>
        <w:tc>
          <w:tcPr>
            <w:tcW w:w="14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4/15</w:t>
            </w:r>
          </w:p>
        </w:tc>
      </w:tr>
      <w:tr>
        <w:trPr>
          <w:cantSplit/>
        </w:trPr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V2第1轮</w:t>
            </w:r>
          </w:p>
        </w:tc>
        <w:tc>
          <w:tcPr>
            <w:tcW w:w="14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3840+15</w:t>
            </w:r>
          </w:p>
        </w:tc>
        <w:tc>
          <w:tcPr>
            <w:tcW w:w="11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153/199</w:t>
            </w:r>
          </w:p>
        </w:tc>
        <w:tc>
          <w:tcPr>
            <w:tcW w:w="19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25／36</w:t>
            </w:r>
          </w:p>
        </w:tc>
        <w:tc>
          <w:tcPr>
            <w:tcW w:w="1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168/199</w:t>
            </w:r>
          </w:p>
        </w:tc>
        <w:tc>
          <w:tcPr>
            <w:tcW w:w="6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15</w:t>
            </w:r>
          </w:p>
        </w:tc>
        <w:tc>
          <w:tcPr>
            <w:tcW w:w="14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13/15</w:t>
            </w:r>
          </w:p>
        </w:tc>
      </w:tr>
      <w:tr>
        <w:trPr>
          <w:cantSplit/>
        </w:trPr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V2第2轮</w:t>
            </w:r>
          </w:p>
        </w:tc>
        <w:tc>
          <w:tcPr>
            <w:tcW w:w="14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3840+27</w:t>
            </w:r>
          </w:p>
        </w:tc>
        <w:tc>
          <w:tcPr>
            <w:tcW w:w="115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148/199</w:t>
            </w:r>
          </w:p>
        </w:tc>
        <w:tc>
          <w:tcPr>
            <w:tcW w:w="19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29／46</w:t>
            </w:r>
          </w:p>
        </w:tc>
        <w:tc>
          <w:tcPr>
            <w:tcW w:w="13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164/199</w:t>
            </w:r>
          </w:p>
        </w:tc>
        <w:tc>
          <w:tcPr>
            <w:tcW w:w="65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12</w:t>
            </w:r>
          </w:p>
        </w:tc>
        <w:tc>
          <w:tcPr>
            <w:tcW w:w="14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13/15</w:t>
            </w:r>
          </w:p>
        </w:tc>
      </w:tr>
    </w:tbl>
    <w:p w:rsidR="0261016A" w:rsidRDefault="0261016A">
      <w:pPr>
        <w:keepLines/>
        <w:spacing w:after="25" w:line="240" w:lineRule="auto"/>
      </w:pPr>
      <w:r>
        <w:rPr>
          <w:rFonts w:ascii="Arial" w:hAnsi="Arial" w:eastAsia="微软雅黑"/>
          <w:sz w:val="16"/>
          <w:szCs w:val="16"/>
          <w:color w:val="17212B"/>
        </w:rPr>
        <w:t xml:space="preserve">默认初始池15；V2常规池3840，验证池0→15→27。两轮各50重放微步，分别覆盖15、27条；入池答案保留自查／检测框来源，不用GT替代。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开发集选rsi1。全新同题测试：定位201→215/256、计数31→45/80、存在28→30/32，总计260→290/368；V2定位IoU 0.320。检测框辅助定位233/256、总计315/368。</w:t>
      </w:r>
    </w:p>
    <w:p w:rsidR="0261016A" w:rsidRDefault="0261016A">
      <w:pPr>
        <w:keepNext/>
        <w:keepLines/>
        <w:jc w:val="center"/>
        <w:spacing w:after="30"/>
      </w:pPr>
      <w:r>
        <w:pict>
          <v:shape id="lab06_accuracy" type="#_x0000_t75" style="width:440pt;height:132.0pt">
            <v:imagedata r:id="rId9" o:title="accuracy"/>
          </v:shape>
        </w:pict>
      </w:r>
    </w:p>
    <w:p w:rsidR="0261016A" w:rsidRDefault="0261016A">
      <w:pPr>
        <w:keepLines/>
        <w:spacing w:after="25" w:line="240" w:lineRule="auto"/>
        <w:jc w:val="center"/>
      </w:pPr>
      <w:r>
        <w:rPr>
          <w:rFonts w:ascii="Arial" w:hAnsi="Arial" w:eastAsia="微软雅黑"/>
          <w:sz w:val="16"/>
          <w:szCs w:val="16"/>
          <w:color w:val="17212B"/>
        </w:rPr>
        <w:t xml:space="preserve">图1  开发阶段与同题新测试；独立模型和工具条件分列。</w:t>
      </w:r>
    </w:p>
    <w:p w:rsidR="0261016A" w:rsidRDefault="0261016A">
      <w:pPr>
        <w:pStyle w:val="1"/>
        <w:keepNext/>
        <w:pageBreakBefore/>
        <w:keepLines/>
        <w:spacing w:after="5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五、结果分析与问题调试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原10步只有6次定位更新，8条种子仅覆盖6格、没有第二行；两轮新增2条均非定位。延长种子400步虽训练8/8，开发仅10/128；固定128图视觉适配训练抽样16/16，开发16/128。变化图和联合训练后V1旧独立测试109/128，说明训练拟合与新图能力必须分开看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V2开发定位依次106→108→111→110→112→111/128；计数22→26→29→34→28→28/40。SFT1600总分159/184最高，但预定定位优先规则选择RSI1（155/184）；没有根据新测试改规则。SFT800→RSI1仅定位多1题，不能声称RSI获得稳定显著提升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同题新测试V2定位84.0%，较V1提高5.5个百分点；定位纠正24题、损失10题，配对精确检验p=0.024；总分配对p&lt;0.001。定位Wilson 95%区间79.0%–88.0%，仅反映本合成集抽样，不含训练种子波动。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两轮自举图训练后独立复测分别4/15、11/27；分母不同，不能当同题增幅。空白同题16格探针1/16。像素框由外部算法识别，工具成绩不能充作模型能力；V1历史穷举核验184/184主要由完整答案空间与验证器保证。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训练限时后只续评，保留15408原日志、全部源代码快照及15427选择哈希；不覆盖失败记录。CPU初跑GBK输出异常，固定UTF-8后六阶段完整通过。扩展测试补齐0–4并拒绝重复数字，避免原四道计数均为1造成常数答案高分。</w:t>
      </w:r>
    </w:p>
    <w:p w:rsidR="0261016A" w:rsidRDefault="0261016A">
      <w:pPr>
        <w:keepNext/>
        <w:keepLines/>
        <w:spacing w:after="25" w:line="240" w:lineRule="auto"/>
      </w:pPr>
      <w:r>
        <w:rPr>
          <w:rFonts w:ascii="Arial" w:hAnsi="Arial" w:eastAsia="微软雅黑"/>
          <w:sz w:val="17"/>
          <w:szCs w:val="17"/>
          <w:color w:val="17212B"/>
          <w:b/>
          <w:bCs/>
        </w:rPr>
        <w:t xml:space="preserve">代表性路径（新测试题号缩写，逐题图文与原始输出均留存）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1300"/>
        <w:gridCol w:w="2600"/>
        <w:gridCol w:w="3300"/>
        <w:gridCol w:w="1800"/>
      </w:tblGrid>
      <w:tr>
        <w:trPr>
          <w:cantSplit/>
          <w:tblHeader/>
        </w:trPr>
        <w:tc>
          <w:tcPr>
            <w:tcW w:w="13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路径</w:t>
            </w:r>
          </w:p>
        </w:tc>
        <w:tc>
          <w:tcPr>
            <w:tcW w:w="26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题号／目标</w:t>
            </w:r>
          </w:p>
        </w:tc>
        <w:tc>
          <w:tcPr>
            <w:tcW w:w="33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原始→最终</w:t>
            </w:r>
          </w:p>
        </w:tc>
        <w:tc>
          <w:tcPr>
            <w:tcW w:w="18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GT</w:t>
            </w:r>
          </w:p>
        </w:tc>
      </w:tr>
      <w:tr>
        <w:trPr>
          <w:cantSplit/>
        </w:trPr>
        <w:tc>
          <w:tcPr>
            <w:tcW w:w="1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直接正确</w:t>
            </w:r>
          </w:p>
        </w:tc>
        <w:tc>
          <w:tcPr>
            <w:tcW w:w="26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loc_00000 红方</w:t>
            </w:r>
          </w:p>
        </w:tc>
        <w:tc>
          <w:tcPr>
            <w:tcW w:w="3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r3c2 → r3c2</w:t>
            </w:r>
          </w:p>
        </w:tc>
        <w:tc>
          <w:tcPr>
            <w:tcW w:w="18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第3行第2列</w:t>
            </w:r>
          </w:p>
        </w:tc>
      </w:tr>
      <w:tr>
        <w:trPr>
          <w:cantSplit/>
        </w:trPr>
        <w:tc>
          <w:tcPr>
            <w:tcW w:w="13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高亮改对</w:t>
            </w:r>
          </w:p>
        </w:tc>
        <w:tc>
          <w:tcPr>
            <w:tcW w:w="26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loc_00040 绿方</w:t>
            </w:r>
          </w:p>
        </w:tc>
        <w:tc>
          <w:tcPr>
            <w:tcW w:w="33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r4c4 → r4c2</w:t>
            </w:r>
          </w:p>
        </w:tc>
        <w:tc>
          <w:tcPr>
            <w:tcW w:w="18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第4行第2列</w:t>
            </w:r>
          </w:p>
        </w:tc>
      </w:tr>
      <w:tr>
        <w:trPr>
          <w:cantSplit/>
        </w:trPr>
        <w:tc>
          <w:tcPr>
            <w:tcW w:w="1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框提示改对</w:t>
            </w:r>
          </w:p>
        </w:tc>
        <w:tc>
          <w:tcPr>
            <w:tcW w:w="26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loc_00002 绿圆</w:t>
            </w:r>
          </w:p>
        </w:tc>
        <w:tc>
          <w:tcPr>
            <w:tcW w:w="3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r2c3 → r2c4</w:t>
            </w:r>
          </w:p>
        </w:tc>
        <w:tc>
          <w:tcPr>
            <w:tcW w:w="18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第2行第4列</w:t>
            </w:r>
          </w:p>
        </w:tc>
      </w:tr>
      <w:tr>
        <w:trPr>
          <w:cantSplit/>
        </w:trPr>
        <w:tc>
          <w:tcPr>
            <w:tcW w:w="13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工具仍错</w:t>
            </w:r>
          </w:p>
        </w:tc>
        <w:tc>
          <w:tcPr>
            <w:tcW w:w="26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loc_00005 绿方</w:t>
            </w:r>
          </w:p>
        </w:tc>
        <w:tc>
          <w:tcPr>
            <w:tcW w:w="33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r4c4 → r4c4</w:t>
            </w:r>
          </w:p>
        </w:tc>
        <w:tc>
          <w:tcPr>
            <w:tcW w:w="18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第4行第3列</w:t>
            </w:r>
          </w:p>
        </w:tc>
      </w:tr>
    </w:tbl>
    <w:p w:rsidR="0261016A" w:rsidRDefault="0261016A">
      <w:pPr>
        <w:pStyle w:val="1"/>
        <w:keepNext/>
        <w:keepLines/>
        <w:spacing w:after="5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六、思考题作答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1．解析式验证器无需训练，便于追溯；但同色连通、遮挡、边框断裂和近似颜色可能误判。本次新图均核验一致；原E10/E11重复数字被宽松解析接受的缺陷已用严格格式检查修正。真实图可换检测器/OCR，低置信度拒绝入池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2．默认SFT、工具、两轮RSI定位均0/8；扩展V1、V2及其两轮为8/8。新测试独立定位与框辅助成绩单列；关闭工具后的新图结果才反映参数是否学会。3．高亮自查重看自身候选，验证器提供独立外部证据；后者更符合第11章调用工具并据返回结果行动的定义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4．V2两轮新增15、12条，第二轮仍有定位与总分回退。纠错样本数量、分布、学习率、多任务遗忘和验证噪声都会影响上限；本次审计未见入池标签污染，不据此保证更长递归必然更好。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5．离散格位减轻小模型坐标回归与解析负担。4×4→8×8→16×16使类别16→64→256，格框变小可能提高命中时IoU，但覆盖样本、训练量和边界敏感性增加。6．无GT可用预训练模型提候选、独立检测或多源一致性核验并少量人工复核启动；低标注成本不等于算力和工具免费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样板补充：ChartQA用OCR/表格提取数值，按坐标轴、单位和聚合公式复算；证据冲突拒绝入池。以上覆盖指南六题与样板四题。</w:t>
      </w:r>
    </w:p>
    <w:p w:rsidR="0261016A" w:rsidRDefault="0261016A">
      <w:pPr>
        <w:pStyle w:val="1"/>
        <w:keepNext/>
        <w:keepLines/>
        <w:spacing w:after="5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七、结论与反思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默认实验完整保留。多样图和视觉适配解决了原定位0/8；继续联合训练及保守RSI，使全新同题总分260→290/368、定位201→215/256。RSI仅有小幅开发定位收益，第二轮回退，不能夸大。教学上闭环值得复现；纯色图工程应用直接解析更便宜。仍有41道定位错误，且仅单训练种子、合成分布，下一步应做真实图核验与多种子复测。</w:t>
      </w:r>
    </w:p>
    <w:sectPr>
      <w:pgSz w:w="12240" w:h="15840"/>
      <w:pgMar w:top="1440" w:right="1296" w:bottom="1440" w:left="129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与墨 W04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803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lab06_accuracy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614</Words>
  <Characters>1048</Characters>
  <Lines>0</Lines>
  <Paragraphs>0</Paragraphs>
  <TotalTime>0</TotalTime>
  <ScaleCrop>false</ScaleCrop>
  <LinksUpToDate>false</LinksUpToDate>
  <CharactersWithSpaces>1138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Kktseng</cp:lastModifiedBy>
  <dcterms:modified xsi:type="dcterms:W3CDTF">2026-10-20T13:25:12Z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eyJoZGlkIjoiZDMzYTliOWFmNWZiYjQyNTVkZjlmZmQ5MzQ4YjgxNGYiLCJ1c2VySWQiOiIyMzQ1NzY5ODAifQ==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CA6F9631956C430D95B20C21FBE3EE98_12</vt:lpwstr>
  </property>
</Properties>
</file>