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黑体"/>
          <w:b/>
          <w:color w:val="1F2937"/>
          <w:sz w:val="44"/>
        </w:rPr>
        <w:t>《人工智能——深度学习大模型智能体》</w:t>
      </w:r>
    </w:p>
    <w:p>
      <w:pPr>
        <w:spacing w:before="0" w:after="280"/>
        <w:jc w:val="center"/>
      </w:pPr>
      <w:r>
        <w:rPr>
          <w:rFonts w:ascii="Arial" w:hAnsi="Arial" w:eastAsia="黑体"/>
          <w:b/>
          <w:color w:val="4B5563"/>
          <w:sz w:val="36"/>
        </w:rPr>
        <w:t>实验报告</w:t>
      </w:r>
    </w:p>
    <w:p>
      <w:pPr>
        <w:spacing w:before="0" w:after="120"/>
        <w:jc w:val="center"/>
      </w:pPr>
      <w:r>
        <w:rPr>
          <w:rFonts w:ascii="Arial" w:hAnsi="Arial" w:eastAsia="黑体"/>
          <w:b/>
          <w:color w:val="0E8A5F"/>
          <w:sz w:val="32"/>
        </w:rPr>
        <w:t>实验作业三</w:t>
      </w:r>
    </w:p>
    <w:p>
      <w:pPr>
        <w:spacing w:before="0" w:after="600"/>
        <w:jc w:val="center"/>
      </w:pPr>
      <w:r>
        <w:rPr>
          <w:rFonts w:ascii="Arial" w:hAnsi="Arial" w:eastAsia="黑体"/>
          <w:b/>
          <w:color w:val="1F2937"/>
          <w:sz w:val="40"/>
        </w:rPr>
        <w:t>手搓最小 LLM——使用 CPU 训练</w:t>
      </w:r>
    </w:p>
    <w:p>
      <w:pPr>
        <w:spacing w:before="0" w:after="200"/>
        <w:jc w:val="center"/>
      </w:pPr>
      <w:r>
        <w:rPr>
          <w:rFonts w:ascii="Times New Roman" w:hAnsi="Times New Roman" w:eastAsia="宋体"/>
          <w:b w:val="0"/>
          <w:sz w:val="26"/>
        </w:rPr>
        <w:t xml:space="preserve">姓　　名：孙驰</w:t>
      </w:r>
    </w:p>
    <w:p>
      <w:pPr>
        <w:spacing w:before="0" w:after="200"/>
        <w:jc w:val="center"/>
      </w:pPr>
      <w:r>
        <w:rPr>
          <w:rFonts w:ascii="Times New Roman" w:hAnsi="Times New Roman" w:eastAsia="宋体"/>
          <w:b w:val="0"/>
          <w:sz w:val="26"/>
        </w:rPr>
        <w:t xml:space="preserve">学　　号：2024311281</w:t>
      </w:r>
    </w:p>
    <w:p>
      <w:pPr>
        <w:spacing w:before="0" w:after="200"/>
        <w:jc w:val="center"/>
      </w:pPr>
      <w:r>
        <w:rPr>
          <w:rFonts w:ascii="Times New Roman" w:hAnsi="Times New Roman" w:eastAsia="宋体"/>
          <w:b w:val="0"/>
          <w:sz w:val="26"/>
        </w:rPr>
        <w:t xml:space="preserve">班　　级：计算机10班</w:t>
      </w:r>
    </w:p>
    <w:p>
      <w:pPr>
        <w:spacing w:before="0" w:after="200"/>
        <w:jc w:val="center"/>
      </w:pPr>
      <w:r>
        <w:rPr>
          <w:rFonts w:ascii="Times New Roman" w:hAnsi="Times New Roman" w:eastAsia="宋体"/>
          <w:b w:val="0"/>
          <w:sz w:val="26"/>
        </w:rPr>
        <w:t xml:space="preserve">完成日期：2026年9月23日</w:t>
      </w:r>
    </w:p>
    <w:p>
      <w:pPr>
        <w:spacing w:before="0" w:after="160"/>
      </w:pPr>
    </w:p>
    <w:p>
      <w:pPr>
        <w:keepNext/>
        <w:keepLines/>
        <w:pageBreakBefore/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1  实验概述</w:t>
      </w:r>
    </w:p>
    <w:p>
      <w:pPr>
        <w:keepNext/>
        <w:keepLines/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1.1  实验目的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本实验从零实现字符级自回归语言模型，在CPU上学习下一字符预测。核心实现包括Q/K/V投影、多头因果注意力、残差连接、Pre-Norm、GELU前馈层、可学习位置嵌入和输入输出权重共享，未调用现成Transformer层，注意力结构原理参照文献[7]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通过2000步基线、八个1000步训练变体，以及温度、top-k和禁止重复3-gram的采样对照，分析模型容量、优化与生成策略之间的关系。结果显示，约50万参数的模型能快速拟合2163字符的小语料，但主要表现为原诗续写和记忆，尚不能据此认定具有原创作诗或对话能力。</w:t>
      </w:r>
    </w:p>
    <w:p>
      <w:pPr>
        <w:keepNext/>
        <w:keepLines/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1.2  实验环境</w:t>
      </w:r>
    </w:p>
    <w:p>
      <w:pPr>
        <w:keepNext/>
        <w:spacing w:before="80" w:after="160"/>
        <w:jc w:val="center"/>
      </w:pPr>
      <w:r>
        <w:rPr>
          <w:rFonts w:ascii="Arial" w:hAnsi="Arial" w:eastAsia="黑体"/>
          <w:b/>
          <w:sz w:val="21"/>
        </w:rPr>
        <w:t>表 1  实验环境清单</w:t>
      </w:r>
    </w:p>
    <w:tbl>
      <w:tblPr>
        <w:tblStyle w:val="TableGrid"/>
        <w:tblW w:w="8958" w:type="dxa"/>
        <w:jc w:val="center"/>
        <w:tblLook w:firstColumn="1" w:firstRow="1" w:lastColumn="0" w:lastRow="0" w:noHBand="0" w:noVBand="1" w:val="04A0"/>
        <w:tblLayout w:type="fixed"/>
      </w:tblPr>
      <w:tblGrid>
        <w:gridCol w:w="1800"/>
        <w:gridCol w:w="3500"/>
        <w:gridCol w:w="3658"/>
      </w:tblGrid>
      <w:tr>
        <w:trPr>
          <w:cantSplit/>
          <w:tblHeader/>
        </w:trPr>
        <w:tc>
          <w:tcPr>
            <w:tcW w:w="18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类别</w:t>
            </w:r>
          </w:p>
        </w:tc>
        <w:tc>
          <w:tcPr>
            <w:tcW w:w="35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名称 / 版本</w:t>
            </w:r>
          </w:p>
        </w:tc>
        <w:tc>
          <w:tcPr>
            <w:tcW w:w="365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操作系统</w:t>
            </w:r>
          </w:p>
        </w:tc>
        <w:tc>
          <w:tcPr>
            <w:tcW w:w="35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HPC Linux 5.4.0-100；本地Windows</w:t>
            </w:r>
          </w:p>
        </w:tc>
        <w:tc>
          <w:tcPr>
            <w:tcW w:w="365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正式训练在Slurm计算节点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CPU与线程</w:t>
            </w:r>
          </w:p>
        </w:tc>
        <w:tc>
          <w:tcPr>
            <w:tcW w:w="35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Xeon Platinum 8358 @2.60GHz</w:t>
            </w:r>
          </w:p>
        </w:tc>
        <w:tc>
          <w:tcPr>
            <w:tcW w:w="365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节点gpu4；每模型4线程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Python</w:t>
            </w:r>
          </w:p>
        </w:tc>
        <w:tc>
          <w:tcPr>
            <w:tcW w:w="35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正式3.10.20；本地核验3.11.16</w:t>
            </w:r>
          </w:p>
        </w:tc>
        <w:tc>
          <w:tcPr>
            <w:tcW w:w="365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生成原文使用正式环境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PyTorch</w:t>
            </w:r>
          </w:p>
        </w:tc>
        <w:tc>
          <w:tcPr>
            <w:tcW w:w="35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正式2.6.0+cu124；本地2.14.0+cpu</w:t>
            </w:r>
          </w:p>
        </w:tc>
        <w:tc>
          <w:tcPr>
            <w:tcW w:w="365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模型、数据均为CPU，无GPU申请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Matplotlib</w:t>
            </w:r>
          </w:p>
        </w:tc>
        <w:tc>
          <w:tcPr>
            <w:tcW w:w="35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3.10.9</w:t>
            </w:r>
          </w:p>
        </w:tc>
        <w:tc>
          <w:tcPr>
            <w:tcW w:w="365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保存逐组曲线与汇总图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AI助手</w:t>
            </w:r>
          </w:p>
        </w:tc>
        <w:tc>
          <w:tcPr>
            <w:tcW w:w="35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Codex</w:t>
            </w:r>
          </w:p>
        </w:tc>
        <w:tc>
          <w:tcPr>
            <w:tcW w:w="365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实现、解释、审查、运行与报告整理</w:t>
            </w:r>
          </w:p>
        </w:tc>
      </w:tr>
    </w:tbl>
    <w:p w:rsidR="0260923A" w:rsidRDefault="0260923A">
      <w:pPr>
        <w:keepLines/>
        <w:spacing w:after="50" w:line="40" w:lineRule="auto"/>
        <w:jc w:val="both"/>
      </w:pPr>
      <w:r>
        <w:rPr>
          <w:rFonts w:ascii="Times New Roman" w:hAnsi="Times New Roman" w:eastAsia="宋体"/>
          <w:color w:val="000000"/>
          <w:sz w:val="2"/>
        </w:rPr>
        <w:t xml:space="preserve"/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语料逐字提取自指南的72段诗文，含换行和标点共2163字符，去重词表699。正式训练未追加扩充语料；字符排序建立稳定索引，训练输入与标签错开一位。语料含宋、明、清等作品，不能把全部内容都称为唐诗。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本实验按指南使用小语料训练，未另设独立测试集。固定窗口loss仅评价训练语料拟合；不同实验的参数、曲线和原文均单独保存，避免同名文件覆盖。</w:t>
      </w:r>
    </w:p>
    <w:p>
      <w:pPr>
        <w:keepNext/>
        <w:keepLines/>
        <w:pageBreakBefore/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2  基线实验</w:t>
      </w:r>
    </w:p>
    <w:p>
      <w:pPr>
        <w:keepNext/>
        <w:keepLines/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2.1  基线设置</w:t>
      </w:r>
    </w:p>
    <w:p>
      <w:pPr>
        <w:keepNext/>
        <w:spacing w:before="80" w:after="160"/>
        <w:jc w:val="center"/>
      </w:pPr>
      <w:r>
        <w:rPr>
          <w:rFonts w:ascii="Arial" w:hAnsi="Arial" w:eastAsia="黑体"/>
          <w:b/>
          <w:sz w:val="21"/>
        </w:rPr>
        <w:t xml:space="preserve">表 2  基线模型与训练配置</w:t>
      </w:r>
    </w:p>
    <w:tbl>
      <w:tblPr>
        <w:tblStyle w:val="TableGrid"/>
        <w:tblW w:w="8958" w:type="dxa"/>
        <w:jc w:val="center"/>
        <w:tblLook w:firstColumn="1" w:firstRow="1" w:lastColumn="0" w:lastRow="0" w:noHBand="0" w:noVBand="1" w:val="04A0"/>
        <w:tblLayout w:type="fixed"/>
      </w:tblPr>
      <w:tblGrid>
        <w:gridCol w:w="3600"/>
        <w:gridCol w:w="5358"/>
      </w:tblGrid>
      <w:tr>
        <w:trPr>
          <w:cantSplit/>
          <w:tblHeader/>
        </w:trPr>
        <w:tc>
          <w:tcPr>
            <w:tcW w:w="3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项目</w:t>
            </w:r>
          </w:p>
        </w:tc>
        <w:tc>
          <w:tcPr>
            <w:tcW w:w="535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基线值</w:t>
            </w:r>
          </w:p>
        </w:tc>
      </w:tr>
      <w:tr>
        <w:trPr>
          <w:cantSplit/>
        </w:trPr>
        <w:tc>
          <w:tcPr>
            <w:tcW w:w="3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词表 V / 嵌入 C</w:t>
            </w:r>
          </w:p>
        </w:tc>
        <w:tc>
          <w:tcPr>
            <w:tcW w:w="535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699 / 128</w:t>
            </w:r>
          </w:p>
        </w:tc>
      </w:tr>
      <w:tr>
        <w:trPr>
          <w:cantSplit/>
        </w:trPr>
        <w:tc>
          <w:tcPr>
            <w:tcW w:w="3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注意力 H / 层数 L</w:t>
            </w:r>
          </w:p>
        </w:tc>
        <w:tc>
          <w:tcPr>
            <w:tcW w:w="535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4头（每头32维）/ 2层</w:t>
            </w:r>
          </w:p>
        </w:tc>
      </w:tr>
      <w:tr>
        <w:trPr>
          <w:cantSplit/>
        </w:trPr>
        <w:tc>
          <w:tcPr>
            <w:tcW w:w="3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上下文 T / MLP隐层</w:t>
            </w:r>
          </w:p>
        </w:tc>
        <w:tc>
          <w:tcPr>
            <w:tcW w:w="535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128 / 512（GELU）</w:t>
            </w:r>
          </w:p>
        </w:tc>
      </w:tr>
      <w:tr>
        <w:trPr>
          <w:cantSplit/>
        </w:trPr>
        <w:tc>
          <w:tcPr>
            <w:tcW w:w="3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优化器 / 学习率</w:t>
            </w:r>
          </w:p>
        </w:tc>
        <w:tc>
          <w:tcPr>
            <w:tcW w:w="535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AdamW / 0.001；weight_decay=0.01</w:t>
            </w:r>
          </w:p>
        </w:tc>
      </w:tr>
      <w:tr>
        <w:trPr>
          <w:cantSplit/>
        </w:trPr>
        <w:tc>
          <w:tcPr>
            <w:tcW w:w="3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批大小 / 更新次数</w:t>
            </w:r>
          </w:p>
        </w:tc>
        <w:tc>
          <w:tcPr>
            <w:tcW w:w="535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32 / 2000</w:t>
            </w:r>
          </w:p>
        </w:tc>
      </w:tr>
      <w:tr>
        <w:trPr>
          <w:cantSplit/>
        </w:trPr>
        <w:tc>
          <w:tcPr>
            <w:tcW w:w="3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随机种子 / 设备</w:t>
            </w:r>
          </w:p>
        </w:tc>
        <w:tc>
          <w:tcPr>
            <w:tcW w:w="535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42 / CPU，4线程</w:t>
            </w:r>
          </w:p>
        </w:tc>
      </w:tr>
      <w:tr>
        <w:trPr>
          <w:cantSplit/>
        </w:trPr>
        <w:tc>
          <w:tcPr>
            <w:tcW w:w="36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生成设置</w:t>
            </w:r>
          </w:p>
        </w:tc>
        <w:tc>
          <w:tcPr>
            <w:tcW w:w="535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temperature=1.0，top_k=20，新增200字符</w:t>
            </w:r>
          </w:p>
        </w:tc>
      </w:tr>
    </w:tbl>
    <w:p w:rsidR="0260923A" w:rsidRDefault="0260923A">
      <w:pPr>
        <w:keepLines/>
        <w:spacing w:after="50" w:line="40" w:lineRule="auto"/>
        <w:jc w:val="both"/>
      </w:pPr>
      <w:r>
        <w:rPr>
          <w:rFonts w:ascii="Times New Roman" w:hAnsi="Times New Roman" w:eastAsia="宋体"/>
          <w:color w:val="000000"/>
          <w:sz w:val="2"/>
        </w:rPr>
        <w:t xml:space="preserve"/>
      </w:r>
    </w:p>
    <w:p>
      <w:pPr>
        <w:keepNext/>
        <w:keepLines/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2.2  基线结果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精确参数量502,656；末步训练loss为0.029191；最后100步均值0.030087；最终固定训练窗口loss为0.023166。初始固定窗口loss为6.566851，接近ln(699)=6.549651；第1步批次loss为6.566773。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纯训练时间118.77秒，约1.98分钟，不含评估、绘图、保存及进程启动。正式作业10765共用4分36秒，最多三个模型并行；该作业总墙钟时间不能作为单模型耗时。</w:t>
      </w:r>
    </w:p>
    <w:p w:rsidR="0260923A" w:rsidRDefault="0260923A">
      <w:pPr>
        <w:keepNext/>
        <w:keepLines/>
        <w:spacing w:after="40"/>
        <w:jc w:val="center"/>
      </w:pPr>
      <w:r>
        <w:pict>
          <v:shape id="report_image_10" type="#_x0000_t75" style="width:330pt;height:188.57pt">
            <v:imagedata r:id="rId9" o:title="loss_curve_L2_E128_lr0.001"/>
          </v:shape>
        </w:pict>
      </w:r>
    </w:p>
    <w:p w:rsidR="0260923A" w:rsidRDefault="0260923A">
      <w:pPr>
        <w:keepLines/>
        <w:spacing w:after="90" w:line="28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 xml:space="preserve">图 1  基线2000步训练曲线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loss快速下降后在低位波动。1000步快照的固定窗口loss为0.022845，略低于2000步的0.023166，因此继续训练没有带来稳定改善。</w:t>
      </w:r>
    </w:p>
    <w:p>
      <w:pPr>
        <w:keepNext/>
        <w:keepLines/>
        <w:pageBreakBefore/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 xml:space="preserve">基线生成原文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以下保留「春」「月」各两段完整输出，含提示字共201字符。换行沿用原文，末尾可能因固定生成长度而截断。</w:t>
      </w:r>
    </w:p>
    <w:p w:rsidR="0260923A" w:rsidRDefault="0260923A">
      <w:pPr>
        <w:keepNext/>
        <w:keepLines/>
        <w:spacing w:after="50" w:line="280" w:lineRule="auto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 xml:space="preserve">提示词「春」　第1段　seed=1001</w:t>
      </w:r>
    </w:p>
    <w:p w:rsidR="0260923A" w:rsidRDefault="0260923A">
      <w:pPr>
        <w:keepLines/>
        <w:spacing w:after="90" w:line="240" w:lineRule="auto"/>
        <w:jc w:val="left"/>
      </w:pPr>
      <w:r>
        <w:rPr>
          <w:rFonts w:ascii="Times New Roman" w:hAnsi="Times New Roman" w:eastAsia="宋体"/>
          <w:color w:val="000000"/>
          <w:sz w:val="20"/>
        </w:rPr>
        <w:t xml:space="preserve">春晖。</w:t>
        <w:br/>
        <w:t xml:space="preserve">山重水复疑无路，柳暗花明又一村。莫笑农家腊酒浑，丰年留客足鸡豚。</w:t>
        <w:br/>
        <w:t xml:space="preserve">纸上得来终觉浅，绝知此事要躬行。古人学问无遗力，少壮功夫老始成。</w:t>
        <w:br/>
        <w:t xml:space="preserve">死去元知万事空，但悲不见九州同。王师北定中原日，家祭无忘告乃翁。</w:t>
        <w:br/>
        <w:t xml:space="preserve">小荷才露尖尖角，早有蜻蜓立上头。泉眼无声惜细流，树阴照水爱晴柔。</w:t>
        <w:br/>
        <w:t xml:space="preserve">接天莲叶无穷碧，映日荷花别样红。毕竟西湖六月中，风光不与四时同。</w:t>
        <w:br/>
        <w:t xml:space="preserve">胜日寻芳泗水滨，无边光景一时新。等闲识得东风面，万紫千红总是春。</w:t>
      </w:r>
    </w:p>
    <w:p w:rsidR="0260923A" w:rsidRDefault="0260923A">
      <w:pPr>
        <w:keepNext/>
        <w:keepLines/>
        <w:spacing w:after="50" w:line="280" w:lineRule="auto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 xml:space="preserve">提示词「春」　第2段　seed=1002</w:t>
      </w:r>
    </w:p>
    <w:p w:rsidR="0260923A" w:rsidRDefault="0260923A">
      <w:pPr>
        <w:keepLines/>
        <w:spacing w:after="90" w:line="240" w:lineRule="auto"/>
        <w:jc w:val="left"/>
      </w:pPr>
      <w:r>
        <w:rPr>
          <w:rFonts w:ascii="Times New Roman" w:hAnsi="Times New Roman" w:eastAsia="宋体"/>
          <w:color w:val="000000"/>
          <w:sz w:val="20"/>
        </w:rPr>
        <w:t xml:space="preserve">春色来天地，玉垒浮云变古今。</w:t>
        <w:br/>
        <w:t xml:space="preserve">独怜幽草涧边生，上有黄鹂深树鸣。春潮带雨晚来急，野渡无人舟自横。</w:t>
        <w:br/>
        <w:t xml:space="preserve">天街小雨润如酥，草色遥看近却无。最是一年春好处，绝胜烟柳满皇都。</w:t>
        <w:br/>
        <w:t xml:space="preserve">昔人已乘黄鹤去，此地空余黄鹤楼。黄鹤一去不复返，白云千载空悠悠。</w:t>
        <w:br/>
        <w:t xml:space="preserve">晴川历历汉阳树，芳草萋萋鹦鹉洲。日暮乡关何处是，烟波江上使人愁。</w:t>
        <w:br/>
        <w:t xml:space="preserve">客舍青青柳色新，渭城朝雨浥轻尘。劝君更尽一杯酒，西出阳关无故人。</w:t>
        <w:br/>
        <w:t xml:space="preserve">寒雨连江夜入吴，平明送客楚山孤。洛阳亲友如</w:t>
      </w:r>
    </w:p>
    <w:p w:rsidR="0260923A" w:rsidRDefault="0260923A">
      <w:pPr>
        <w:keepNext/>
        <w:keepLines/>
        <w:spacing w:after="50" w:line="280" w:lineRule="auto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 xml:space="preserve">提示词「月」　第1段　seed=1003</w:t>
      </w:r>
    </w:p>
    <w:p w:rsidR="0260923A" w:rsidRDefault="0260923A">
      <w:pPr>
        <w:keepLines/>
        <w:spacing w:after="90" w:line="240" w:lineRule="auto"/>
        <w:jc w:val="left"/>
      </w:pPr>
      <w:r>
        <w:rPr>
          <w:rFonts w:ascii="Times New Roman" w:hAnsi="Times New Roman" w:eastAsia="宋体"/>
          <w:color w:val="000000"/>
          <w:sz w:val="20"/>
        </w:rPr>
        <w:t xml:space="preserve">月两相和，潭面无风镜未磨。遥望洞庭山水翠，白银盘里一青螺。</w:t>
        <w:br/>
        <w:t xml:space="preserve">杨柳青青江水平，闻郎江上踏歌声。东边日出西边雨，道是无晴却有晴。</w:t>
        <w:br/>
        <w:t xml:space="preserve">自古逢秋悲寂寥，我言秋日胜春朝。晴空一鹤排云上，便引诗情到碧霄。</w:t>
        <w:br/>
        <w:t xml:space="preserve">前不见古人，后不见来者。念天地之悠悠，独怆然而涕下。</w:t>
        <w:br/>
        <w:t xml:space="preserve">葡萄美酒夜光杯，欲饮琵琶马上催。醉卧沙场君莫笑，古来征战几人回。</w:t>
        <w:br/>
        <w:t xml:space="preserve">黄河远上白云间，一片孤城万仞山。羌笛何须怨杨柳，春风不度玉门关。</w:t>
        <w:br/>
        <w:t xml:space="preserve">秦时明月汉时关，万里长征</w:t>
      </w:r>
    </w:p>
    <w:p w:rsidR="0260923A" w:rsidRDefault="0260923A">
      <w:pPr>
        <w:keepNext/>
        <w:keepLines/>
        <w:spacing w:after="50" w:line="280" w:lineRule="auto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 xml:space="preserve">提示词「月」　第2段　seed=1004</w:t>
      </w:r>
    </w:p>
    <w:p w:rsidR="0260923A" w:rsidRDefault="0260923A">
      <w:pPr>
        <w:keepLines/>
        <w:spacing w:after="90" w:line="240" w:lineRule="auto"/>
        <w:jc w:val="left"/>
      </w:pPr>
      <w:r>
        <w:rPr>
          <w:rFonts w:ascii="Times New Roman" w:hAnsi="Times New Roman" w:eastAsia="宋体"/>
          <w:color w:val="000000"/>
          <w:sz w:val="20"/>
        </w:rPr>
        <w:t xml:space="preserve">月两相和，潭面无风镜未磨。遥望洞庭山水翠，白银盘里一青螺。</w:t>
        <w:br/>
        <w:t xml:space="preserve">杨柳青青江水平，闻郎江上踏歌声。东边日出西边雨，道是无晴却有晴。</w:t>
        <w:br/>
        <w:t xml:space="preserve">自古逢秋悲寂寥，我言秋日胜春朝。晴空一鹤排云上，便引诗情到碧霄。</w:t>
        <w:br/>
        <w:t xml:space="preserve">前不见古人，后不见来者。念天地之悠悠，独怆然而涕下。</w:t>
        <w:br/>
        <w:t xml:space="preserve">葡萄美酒夜光杯，欲饮琵琶马上催。醉卧沙场君莫笑，古来征战几人回。</w:t>
        <w:br/>
        <w:t xml:space="preserve">黄河远上白云间，一片孤城万仞山。羌笛何须怨杨柳，春风不度玉门关。</w:t>
        <w:br/>
        <w:t xml:space="preserve">秦时明月汉时关，万里长征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0"/>
        </w:rPr>
        <w:t xml:space="preserve">两段「月」虽然种子不同，却完全一致。句子通顺主要来自训练原文续写；不应把背诵当作新诗创作。</w:t>
      </w:r>
    </w:p>
    <w:p>
      <w:pPr>
        <w:keepNext/>
        <w:keepLines/>
        <w:pageBreakBefore/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3  参数量手算验证（必做）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近似公式：N ≈ V×C + T×C + L×12C²。输出层与词嵌入共享同一个Parameter，只计一次；近似式略去线性层偏置与LayerNorm参数。</w:t>
      </w:r>
    </w:p>
    <w:p>
      <w:pPr>
        <w:keepNext/>
        <w:spacing w:before="120" w:after="160"/>
        <w:jc w:val="center"/>
      </w:pPr>
      <w:r>
        <w:rPr>
          <w:rFonts w:ascii="Arial" w:hAnsi="Arial" w:eastAsia="黑体"/>
          <w:b/>
          <w:sz w:val="21"/>
        </w:rPr>
        <w:t>表 3  参数量手算与代码核对</w:t>
      </w:r>
    </w:p>
    <w:tbl>
      <w:tblPr>
        <w:tblStyle w:val="TableGrid"/>
        <w:tblW w:w="8958" w:type="dxa"/>
        <w:jc w:val="center"/>
        <w:tblLook w:firstColumn="1" w:firstRow="1" w:lastColumn="0" w:lastRow="0" w:noHBand="0" w:noVBand="1" w:val="04A0"/>
        <w:tblLayout w:type="fixed"/>
      </w:tblPr>
      <w:tblGrid>
        <w:gridCol w:w="1900"/>
        <w:gridCol w:w="3150"/>
        <w:gridCol w:w="1900"/>
        <w:gridCol w:w="2008"/>
      </w:tblGrid>
      <w:tr>
        <w:trPr>
          <w:cantSplit/>
          <w:tblHeader/>
        </w:trPr>
        <w:tc>
          <w:tcPr>
            <w:tcW w:w="19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模块</w:t>
            </w:r>
          </w:p>
        </w:tc>
        <w:tc>
          <w:tcPr>
            <w:tcW w:w="31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代入与计算</w:t>
            </w:r>
          </w:p>
        </w:tc>
        <w:tc>
          <w:tcPr>
            <w:tcW w:w="19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近似参数</w:t>
            </w:r>
          </w:p>
        </w:tc>
        <w:tc>
          <w:tcPr>
            <w:tcW w:w="200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代码参数</w:t>
            </w:r>
          </w:p>
        </w:tc>
      </w:tr>
      <w:tr>
        <w:trPr>
          <w:cantSplit/>
        </w:trPr>
        <w:tc>
          <w:tcPr>
            <w:tcW w:w="19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词嵌入及共享输出</w:t>
            </w:r>
          </w:p>
        </w:tc>
        <w:tc>
          <w:tcPr>
            <w:tcW w:w="31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699×128</w:t>
            </w:r>
          </w:p>
        </w:tc>
        <w:tc>
          <w:tcPr>
            <w:tcW w:w="19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89,472</w:t>
            </w:r>
          </w:p>
        </w:tc>
        <w:tc>
          <w:tcPr>
            <w:tcW w:w="200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89,472</w:t>
            </w:r>
          </w:p>
        </w:tc>
      </w:tr>
      <w:tr>
        <w:trPr>
          <w:cantSplit/>
        </w:trPr>
        <w:tc>
          <w:tcPr>
            <w:tcW w:w="19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位置嵌入</w:t>
            </w:r>
          </w:p>
        </w:tc>
        <w:tc>
          <w:tcPr>
            <w:tcW w:w="31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128×128</w:t>
            </w:r>
          </w:p>
        </w:tc>
        <w:tc>
          <w:tcPr>
            <w:tcW w:w="19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16,384</w:t>
            </w:r>
          </w:p>
        </w:tc>
        <w:tc>
          <w:tcPr>
            <w:tcW w:w="200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16,384</w:t>
            </w:r>
          </w:p>
        </w:tc>
      </w:tr>
      <w:tr>
        <w:trPr>
          <w:cantSplit/>
        </w:trPr>
        <w:tc>
          <w:tcPr>
            <w:tcW w:w="19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两层Transformer</w:t>
            </w:r>
          </w:p>
        </w:tc>
        <w:tc>
          <w:tcPr>
            <w:tcW w:w="31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2×12×128²</w:t>
            </w:r>
          </w:p>
        </w:tc>
        <w:tc>
          <w:tcPr>
            <w:tcW w:w="19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393,216</w:t>
            </w:r>
          </w:p>
        </w:tc>
        <w:tc>
          <w:tcPr>
            <w:tcW w:w="200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396,544</w:t>
            </w:r>
          </w:p>
        </w:tc>
      </w:tr>
      <w:tr>
        <w:trPr>
          <w:cantSplit/>
        </w:trPr>
        <w:tc>
          <w:tcPr>
            <w:tcW w:w="19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最终LayerNorm</w:t>
            </w:r>
          </w:p>
        </w:tc>
        <w:tc>
          <w:tcPr>
            <w:tcW w:w="31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2×128（近似式忽略）</w:t>
            </w:r>
          </w:p>
        </w:tc>
        <w:tc>
          <w:tcPr>
            <w:tcW w:w="19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</w:t>
            </w:r>
          </w:p>
        </w:tc>
        <w:tc>
          <w:tcPr>
            <w:tcW w:w="200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256</w:t>
            </w:r>
          </w:p>
        </w:tc>
      </w:tr>
      <w:tr>
        <w:trPr>
          <w:cantSplit/>
        </w:trPr>
        <w:tc>
          <w:tcPr>
            <w:tcW w:w="19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合计</w:t>
            </w:r>
          </w:p>
        </w:tc>
        <w:tc>
          <w:tcPr>
            <w:tcW w:w="31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89,472+16,384+393,216</w:t>
            </w:r>
          </w:p>
        </w:tc>
        <w:tc>
          <w:tcPr>
            <w:tcW w:w="19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499,072</w:t>
            </w:r>
          </w:p>
        </w:tc>
        <w:tc>
          <w:tcPr>
            <w:tcW w:w="200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502,656</w:t>
            </w:r>
          </w:p>
        </w:tc>
      </w:tr>
    </w:tbl>
    <w:p w:rsidR="0260923A" w:rsidRDefault="0260923A">
      <w:pPr>
        <w:keepLines/>
        <w:spacing w:after="50" w:line="40" w:lineRule="auto"/>
        <w:jc w:val="both"/>
      </w:pPr>
      <w:r>
        <w:rPr>
          <w:rFonts w:ascii="Times New Roman" w:hAnsi="Times New Roman" w:eastAsia="宋体"/>
          <w:color w:val="000000"/>
          <w:sz w:val="2"/>
        </w:rPr>
        <w:t xml:space="preserve"/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每层注意力权重为4C²，MLP权重为8C²；额外13C由注意力偏置4C、MLP偏置5C、两处LayerNorm的4C组成。精确式为 V×C + T×C + L×(12C²+13C) + 2C。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基线差额为2×13×128+2×128=3,584，相对代码值误差3,584÷502,656≈0.713%，满足小于1%的要求。共享关系和sum(p.numel())均经实际执行核对，输出见附录。</w:t>
      </w:r>
    </w:p>
    <w:p>
      <w:pPr>
        <w:keepNext/>
        <w:keepLines/>
        <w:pageBreakBefore/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4  对照实验（控制变量）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exp1—exp5每种设置统一训练1000步，并与同一基线的1000步快照比较。所有组使用原始语料、batch32、seed42及相同优化器设置；表4的“最终loss”统一指末步批次loss。辅助比较使用固定训练窗口loss，避免单个随机批次误导排序。1000步基线末步loss为0.027142，固定窗口loss为0.022845，纯训练59.92秒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两项限制需要保留：宽度组按指南同时调整头数，维持每头32维；T=32组每步仅处理1024字符，为基线4096字符的四分之一。因此同更新次数不等于同token数或同计算量。</w:t>
      </w:r>
    </w:p>
    <w:p>
      <w:pPr>
        <w:keepNext/>
        <w:spacing w:before="120" w:after="160"/>
        <w:jc w:val="center"/>
      </w:pPr>
      <w:r>
        <w:rPr>
          <w:rFonts w:ascii="Arial" w:hAnsi="Arial" w:eastAsia="黑体"/>
          <w:b/>
          <w:sz w:val="21"/>
        </w:rPr>
        <w:t>表 4  对照实验设计与结果记录表</w:t>
      </w:r>
    </w:p>
    <w:tbl>
      <w:tblPr>
        <w:tblStyle w:val="TableGrid"/>
        <w:tblW w:w="8958" w:type="dxa"/>
        <w:jc w:val="center"/>
        <w:tblLook w:firstColumn="1" w:firstRow="1" w:lastColumn="0" w:lastRow="0" w:noHBand="0" w:noVBand="1" w:val="04A0"/>
        <w:tblLayout w:type="fixed"/>
      </w:tblPr>
      <w:tblGrid>
        <w:gridCol w:w="620"/>
        <w:gridCol w:w="1120"/>
        <w:gridCol w:w="1030"/>
        <w:gridCol w:w="1190"/>
        <w:gridCol w:w="1250"/>
        <w:gridCol w:w="700"/>
        <w:gridCol w:w="3048"/>
      </w:tblGrid>
      <w:tr>
        <w:trPr>
          <w:cantSplit/>
          <w:tblHeader/>
        </w:trPr>
        <w:tc>
          <w:tcPr>
            <w:tcW w:w="6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 xml:space="preserve">编号</w:t>
            </w:r>
          </w:p>
        </w:tc>
        <w:tc>
          <w:tcPr>
            <w:tcW w:w="11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 xml:space="preserve">对照维度</w:t>
            </w:r>
          </w:p>
        </w:tc>
        <w:tc>
          <w:tcPr>
            <w:tcW w:w="103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 xml:space="preserve">基线值</w:t>
            </w:r>
          </w:p>
        </w:tc>
        <w:tc>
          <w:tcPr>
            <w:tcW w:w="11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 xml:space="preserve">实验值</w:t>
            </w:r>
          </w:p>
        </w:tc>
        <w:tc>
          <w:tcPr>
            <w:tcW w:w="12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 xml:space="preserve">末步loss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 xml:space="preserve">质量</w:t>
            </w:r>
          </w:p>
        </w:tc>
        <w:tc>
          <w:tcPr>
            <w:tcW w:w="304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 xml:space="preserve">现象</w:t>
            </w:r>
          </w:p>
        </w:tc>
      </w:tr>
      <w:tr>
        <w:trPr>
          <w:cantSplit/>
        </w:trPr>
        <w:tc>
          <w:tcPr>
            <w:tcW w:w="6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exp1</w:t>
            </w:r>
          </w:p>
        </w:tc>
        <w:tc>
          <w:tcPr>
            <w:tcW w:w="11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学习率</w:t>
            </w:r>
          </w:p>
        </w:tc>
        <w:tc>
          <w:tcPr>
            <w:tcW w:w="103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0.001</w:t>
            </w:r>
          </w:p>
        </w:tc>
        <w:tc>
          <w:tcPr>
            <w:tcW w:w="11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0.01</w:t>
            </w:r>
          </w:p>
        </w:tc>
        <w:tc>
          <w:tcPr>
            <w:tcW w:w="12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0.101520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2/5</w:t>
            </w:r>
          </w:p>
        </w:tc>
        <w:tc>
          <w:tcPr>
            <w:tcW w:w="304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后期波动、重复</w:t>
            </w:r>
          </w:p>
        </w:tc>
      </w:tr>
      <w:tr>
        <w:trPr>
          <w:cantSplit/>
        </w:trPr>
        <w:tc>
          <w:tcPr>
            <w:tcW w:w="6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exp1</w:t>
            </w:r>
          </w:p>
        </w:tc>
        <w:tc>
          <w:tcPr>
            <w:tcW w:w="11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学习率</w:t>
            </w:r>
          </w:p>
        </w:tc>
        <w:tc>
          <w:tcPr>
            <w:tcW w:w="103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0.001</w:t>
            </w:r>
          </w:p>
        </w:tc>
        <w:tc>
          <w:tcPr>
            <w:tcW w:w="11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0.0001</w:t>
            </w:r>
          </w:p>
        </w:tc>
        <w:tc>
          <w:tcPr>
            <w:tcW w:w="12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0.623159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1/5</w:t>
            </w:r>
          </w:p>
        </w:tc>
        <w:tc>
          <w:tcPr>
            <w:tcW w:w="304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收敛慢、错接多</w:t>
            </w:r>
          </w:p>
        </w:tc>
      </w:tr>
      <w:tr>
        <w:trPr>
          <w:cantSplit/>
        </w:trPr>
        <w:tc>
          <w:tcPr>
            <w:tcW w:w="6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exp2</w:t>
            </w:r>
          </w:p>
        </w:tc>
        <w:tc>
          <w:tcPr>
            <w:tcW w:w="11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层数</w:t>
            </w:r>
          </w:p>
        </w:tc>
        <w:tc>
          <w:tcPr>
            <w:tcW w:w="103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2</w:t>
            </w:r>
          </w:p>
        </w:tc>
        <w:tc>
          <w:tcPr>
            <w:tcW w:w="11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1</w:t>
            </w:r>
          </w:p>
        </w:tc>
        <w:tc>
          <w:tcPr>
            <w:tcW w:w="12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0.029868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3/5</w:t>
            </w:r>
          </w:p>
        </w:tc>
        <w:tc>
          <w:tcPr>
            <w:tcW w:w="304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较快，局部错接</w:t>
            </w:r>
          </w:p>
        </w:tc>
      </w:tr>
      <w:tr>
        <w:trPr>
          <w:cantSplit/>
        </w:trPr>
        <w:tc>
          <w:tcPr>
            <w:tcW w:w="6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exp2</w:t>
            </w:r>
          </w:p>
        </w:tc>
        <w:tc>
          <w:tcPr>
            <w:tcW w:w="11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层数</w:t>
            </w:r>
          </w:p>
        </w:tc>
        <w:tc>
          <w:tcPr>
            <w:tcW w:w="103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2</w:t>
            </w:r>
          </w:p>
        </w:tc>
        <w:tc>
          <w:tcPr>
            <w:tcW w:w="11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4</w:t>
            </w:r>
          </w:p>
        </w:tc>
        <w:tc>
          <w:tcPr>
            <w:tcW w:w="12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0.032410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4/5</w:t>
            </w:r>
          </w:p>
        </w:tc>
        <w:tc>
          <w:tcPr>
            <w:tcW w:w="304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更慢，收益有限</w:t>
            </w:r>
          </w:p>
        </w:tc>
      </w:tr>
      <w:tr>
        <w:trPr>
          <w:cantSplit/>
        </w:trPr>
        <w:tc>
          <w:tcPr>
            <w:tcW w:w="6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exp3</w:t>
            </w:r>
          </w:p>
        </w:tc>
        <w:tc>
          <w:tcPr>
            <w:tcW w:w="11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宽度/头数</w:t>
            </w:r>
          </w:p>
        </w:tc>
        <w:tc>
          <w:tcPr>
            <w:tcW w:w="103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128/4</w:t>
            </w:r>
          </w:p>
        </w:tc>
        <w:tc>
          <w:tcPr>
            <w:tcW w:w="11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64/2</w:t>
            </w:r>
          </w:p>
        </w:tc>
        <w:tc>
          <w:tcPr>
            <w:tcW w:w="12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0.049458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2/5</w:t>
            </w:r>
          </w:p>
        </w:tc>
        <w:tc>
          <w:tcPr>
            <w:tcW w:w="304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容量小，错误多</w:t>
            </w:r>
          </w:p>
        </w:tc>
      </w:tr>
      <w:tr>
        <w:trPr>
          <w:cantSplit/>
        </w:trPr>
        <w:tc>
          <w:tcPr>
            <w:tcW w:w="6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exp3</w:t>
            </w:r>
          </w:p>
        </w:tc>
        <w:tc>
          <w:tcPr>
            <w:tcW w:w="11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宽度/头数</w:t>
            </w:r>
          </w:p>
        </w:tc>
        <w:tc>
          <w:tcPr>
            <w:tcW w:w="103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128/4</w:t>
            </w:r>
          </w:p>
        </w:tc>
        <w:tc>
          <w:tcPr>
            <w:tcW w:w="11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256/8</w:t>
            </w:r>
          </w:p>
        </w:tc>
        <w:tc>
          <w:tcPr>
            <w:tcW w:w="12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0.030819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4/5</w:t>
            </w:r>
          </w:p>
        </w:tc>
        <w:tc>
          <w:tcPr>
            <w:tcW w:w="304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拟合更好，仍背诵</w:t>
            </w:r>
          </w:p>
        </w:tc>
      </w:tr>
      <w:tr>
        <w:trPr>
          <w:cantSplit/>
        </w:trPr>
        <w:tc>
          <w:tcPr>
            <w:tcW w:w="6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exp4</w:t>
            </w:r>
          </w:p>
        </w:tc>
        <w:tc>
          <w:tcPr>
            <w:tcW w:w="11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上下文</w:t>
            </w:r>
          </w:p>
        </w:tc>
        <w:tc>
          <w:tcPr>
            <w:tcW w:w="103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128</w:t>
            </w:r>
          </w:p>
        </w:tc>
        <w:tc>
          <w:tcPr>
            <w:tcW w:w="11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32</w:t>
            </w:r>
          </w:p>
        </w:tc>
        <w:tc>
          <w:tcPr>
            <w:tcW w:w="12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0.107180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3/5</w:t>
            </w:r>
          </w:p>
        </w:tc>
        <w:tc>
          <w:tcPr>
            <w:tcW w:w="304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短上下文且token少</w:t>
            </w:r>
          </w:p>
        </w:tc>
      </w:tr>
      <w:tr>
        <w:trPr>
          <w:cantSplit/>
        </w:trPr>
        <w:tc>
          <w:tcPr>
            <w:tcW w:w="6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exp5</w:t>
            </w:r>
          </w:p>
        </w:tc>
        <w:tc>
          <w:tcPr>
            <w:tcW w:w="11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位置嵌入</w:t>
            </w:r>
          </w:p>
        </w:tc>
        <w:tc>
          <w:tcPr>
            <w:tcW w:w="103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有</w:t>
            </w:r>
          </w:p>
        </w:tc>
        <w:tc>
          <w:tcPr>
            <w:tcW w:w="11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无</w:t>
            </w:r>
          </w:p>
        </w:tc>
        <w:tc>
          <w:tcPr>
            <w:tcW w:w="12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0.032457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3/5</w:t>
            </w:r>
          </w:p>
        </w:tc>
        <w:tc>
          <w:tcPr>
            <w:tcW w:w="304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仍成句，错接增多</w:t>
            </w:r>
          </w:p>
        </w:tc>
      </w:tr>
      <w:tr>
        <w:trPr>
          <w:cantSplit/>
        </w:trPr>
        <w:tc>
          <w:tcPr>
            <w:tcW w:w="6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exp6</w:t>
            </w:r>
          </w:p>
        </w:tc>
        <w:tc>
          <w:tcPr>
            <w:tcW w:w="11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采样温度</w:t>
            </w:r>
          </w:p>
        </w:tc>
        <w:tc>
          <w:tcPr>
            <w:tcW w:w="103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1.0</w:t>
            </w:r>
          </w:p>
        </w:tc>
        <w:tc>
          <w:tcPr>
            <w:tcW w:w="11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0.5</w:t>
            </w:r>
          </w:p>
        </w:tc>
        <w:tc>
          <w:tcPr>
            <w:tcW w:w="12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不重训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4/5</w:t>
            </w:r>
          </w:p>
        </w:tc>
        <w:tc>
          <w:tcPr>
            <w:tcW w:w="304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趋向原诗续写</w:t>
            </w:r>
          </w:p>
        </w:tc>
      </w:tr>
      <w:tr>
        <w:trPr>
          <w:cantSplit/>
        </w:trPr>
        <w:tc>
          <w:tcPr>
            <w:tcW w:w="6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exp6</w:t>
            </w:r>
          </w:p>
        </w:tc>
        <w:tc>
          <w:tcPr>
            <w:tcW w:w="11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采样温度</w:t>
            </w:r>
          </w:p>
        </w:tc>
        <w:tc>
          <w:tcPr>
            <w:tcW w:w="103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1.0</w:t>
            </w:r>
          </w:p>
        </w:tc>
        <w:tc>
          <w:tcPr>
            <w:tcW w:w="11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1.5</w:t>
            </w:r>
          </w:p>
        </w:tc>
        <w:tc>
          <w:tcPr>
            <w:tcW w:w="125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不重训</w:t>
            </w:r>
          </w:p>
        </w:tc>
        <w:tc>
          <w:tcPr>
            <w:tcW w:w="7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2/5</w:t>
            </w:r>
          </w:p>
        </w:tc>
        <w:tc>
          <w:tcPr>
            <w:tcW w:w="304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 xml:space="preserve">错误拼接增多</w:t>
            </w:r>
          </w:p>
        </w:tc>
      </w:tr>
    </w:tbl>
    <w:p w:rsidR="0260923A" w:rsidRDefault="0260923A">
      <w:pPr>
        <w:keepLines/>
        <w:spacing w:after="50" w:line="40" w:lineRule="auto"/>
        <w:jc w:val="both"/>
      </w:pPr>
      <w:r>
        <w:rPr>
          <w:rFonts w:ascii="Times New Roman" w:hAnsi="Times New Roman" w:eastAsia="宋体"/>
          <w:color w:val="000000"/>
          <w:sz w:val="2"/>
        </w:rPr>
        <w:t xml:space="preserve"/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0"/>
        </w:rPr>
        <w:t xml:space="preserve">星级以“得分/5”表示，由Codex整理报告时对保存的全部样本按稳定性综合主观评阅：1=多数不连贯；2=可读程度不稳定，存在大段破碎或明显拼接；3=多数局部可读但有明显错接；4=局部续写稳定、少量错误；5=局部及整体连贯且无明显异常。基线1000步和2000步均为4/5。该评级不等同于原创性或人类盲评。</w:t>
      </w:r>
    </w:p>
    <w:p>
      <w:pPr>
        <w:keepNext/>
        <w:keepLines/>
        <w:pageBreakBefore/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4.1  实验 1：学习率</w:t>
      </w:r>
    </w:p>
    <w:p w:rsidR="0260923A" w:rsidRDefault="0260923A">
      <w:pPr>
        <w:keepNext/>
        <w:keepLines/>
        <w:spacing w:after="40"/>
        <w:jc w:val="center"/>
      </w:pPr>
      <w:r>
        <w:pict>
          <v:shape id="report_image_11" type="#_x0000_t75" style="width:435pt;height:124.29pt">
            <v:imagedata r:id="rId10" o:title="curves_lr"/>
          </v:shape>
        </w:pict>
      </w:r>
    </w:p>
    <w:p w:rsidR="0260923A" w:rsidRDefault="0260923A">
      <w:pPr>
        <w:keepLines/>
        <w:spacing w:after="90" w:line="28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 xml:space="preserve">图 2  学习率0.01（左）与0.0001（右）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0.01组末步loss为0.101520、固定窗口loss为0.090003，明显高于同为1000步的基线0.022845；曲线下降后有反复波动，但没有NaN或持续发散。原文出现“苍苍苍苍苍竹林寺”等重复，不应为迎合预期而写成数值发散。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0.0001组末步loss为0.623159，最后100步均值0.724663，说明学习率过小使固定预算内拟合较慢，文本存在较多破碎拼接。三种学习率使用相同初始化，初始loss均接近6.55；本条件下0.001更合适。</w:t>
      </w:r>
    </w:p>
    <w:p>
      <w:pPr>
        <w:keepNext/>
        <w:keepLines/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4.2  实验 2：层数</w:t>
      </w:r>
    </w:p>
    <w:p w:rsidR="0260923A" w:rsidRDefault="0260923A">
      <w:pPr>
        <w:keepNext/>
        <w:keepLines/>
        <w:spacing w:after="40"/>
        <w:jc w:val="center"/>
      </w:pPr>
      <w:r>
        <w:pict>
          <v:shape id="report_image_12" type="#_x0000_t75" style="width:435pt;height:124.29pt">
            <v:imagedata r:id="rId11" o:title="curves_layers"/>
          </v:shape>
        </w:pict>
      </w:r>
    </w:p>
    <w:p w:rsidR="0260923A" w:rsidRDefault="0260923A">
      <w:pPr>
        <w:keepLines/>
        <w:spacing w:after="90" w:line="28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 xml:space="preserve">图 3  1层（左）与4层（右）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1层和4层的末步loss分别为0.029868和0.032410，差0.002542；固定窗口loss分别为0.027899和0.027648，均略高于2层基线1000步的0.022845。不同口径下排序不同，所以不能只凭最后一个批次判断优劣。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参数量由304,384增至899,200，纯训练由34.62秒增至107.71秒，约3.11倍。4层样本局部更稳定，但仍有错接；在此小语料和1000步预算下，加深没有带来明显的拟合收益。</w:t>
      </w:r>
    </w:p>
    <w:p>
      <w:pPr>
        <w:keepNext/>
        <w:keepLines/>
        <w:pageBreakBefore/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4.3  实验 3：嵌入维度</w:t>
      </w:r>
    </w:p>
    <w:p w:rsidR="0260923A" w:rsidRDefault="0260923A">
      <w:pPr>
        <w:keepNext/>
        <w:keepLines/>
        <w:spacing w:after="40"/>
        <w:jc w:val="center"/>
      </w:pPr>
      <w:r>
        <w:pict>
          <v:shape id="report_image_13" type="#_x0000_t75" style="width:435pt;height:124.29pt">
            <v:imagedata r:id="rId12" o:title="curves_width"/>
          </v:shape>
        </w:pict>
      </w:r>
    </w:p>
    <w:p w:rsidR="0260923A" w:rsidRDefault="0260923A">
      <w:pPr>
        <w:keepLines/>
        <w:spacing w:after="90" w:line="28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 xml:space="preserve">图 4  C64/H2（左）与C256/H8（右）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C从64增至256时，参数量由153,024增至1,791,744，约11.71倍；纯训练由30.26秒增至141.65秒，约4.68倍。注意力及MLP主项按C²增加16倍，但嵌入的线性项也占一定比例，故总参数不恰好为16倍。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固定窗口loss由0.046519降至0.020955，大模型优于基线1000步的0.022845；原文局部完整性也较好。不过仍主要续写已见诗句，部分片段有错接。参数和时间增长不能解释为等比例的创作质量提升。</w:t>
      </w:r>
    </w:p>
    <w:p>
      <w:pPr>
        <w:keepNext/>
        <w:keepLines/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4.4  实验 4：上下文长度</w:t>
      </w:r>
    </w:p>
    <w:p w:rsidR="0260923A" w:rsidRDefault="0260923A">
      <w:pPr>
        <w:keepNext/>
        <w:keepLines/>
        <w:spacing w:after="40"/>
        <w:jc w:val="center"/>
      </w:pPr>
      <w:r>
        <w:pict>
          <v:shape id="report_image_14" type="#_x0000_t75" style="width:280pt;height:160.00pt">
            <v:imagedata r:id="rId13" o:title="loss_curve_L2_E128_lr0.001"/>
          </v:shape>
        </w:pict>
      </w:r>
    </w:p>
    <w:p w:rsidR="0260923A" w:rsidRDefault="0260923A">
      <w:pPr>
        <w:keepLines/>
        <w:spacing w:after="90" w:line="28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 xml:space="preserve">图 5  上下文T=32的1000步训练曲线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T=32组末步loss为0.107180，固定窗口loss为0.090093，纯训练16.15秒。仍能输出局部诗句，但可见“滚滚滚滚滚来”等重复和句间跳转；没有开展音韵标注，不能据主观阅读断言押韵率降低了多少。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较短上下文减少可利用的历史信息，也使1000步训练字符总量降至1,024,000，而T=128组为4,096,000。当前差异同时包含上下文和学习预算的影响；若研究上下文的纯效果，应再匹配训练token数并使用统一评价条件。</w:t>
      </w:r>
    </w:p>
    <w:p>
      <w:pPr>
        <w:keepNext/>
        <w:keepLines/>
        <w:pageBreakBefore/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4.5  实验 5：位置编码</w:t>
      </w:r>
    </w:p>
    <w:p w:rsidR="0260923A" w:rsidRDefault="0260923A">
      <w:pPr>
        <w:keepNext/>
        <w:keepLines/>
        <w:spacing w:after="40"/>
        <w:jc w:val="center"/>
      </w:pPr>
      <w:r>
        <w:pict>
          <v:shape id="report_image_15" type="#_x0000_t75" style="width:400pt;height:228.57pt">
            <v:imagedata r:id="rId14" o:title="loss_curve_no_pos"/>
          </v:shape>
        </w:pict>
      </w:r>
    </w:p>
    <w:p w:rsidR="0260923A" w:rsidRDefault="0260923A">
      <w:pPr>
        <w:keepLines/>
        <w:spacing w:after="90" w:line="28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 xml:space="preserve">图 6  去掉位置嵌入后的1000步训练曲线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无位置嵌入组参数量486,272，正好减少128×128=16,384。末步loss为0.032457，固定窗口loss为0.027912，纯训练51.95秒。loss仍很低，表明模型能学习局部搭配和语料续接，并未完全失去语言结构。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生成中既有完整诗句，也有“愿君歌白日绮窗前”“昔人已乘黄鹤楼。黄鹤去”等错接，整体评级3/5。因果掩码仍限定每个位置只能访问前缀，故模型不能简单视为完全没有顺序信息；位置嵌入是显式位置表示，而不是唯一可能的位置线索。</w:t>
      </w:r>
    </w:p>
    <w:p>
      <w:pPr>
        <w:keepNext/>
        <w:keepLines/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 xml:space="preserve">对照结果的解释范围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以上均为单个训练种子、同一极小语料的结果。不同结构可能改变初始化随机数消耗；同seed不能保证所有共享层具有相同初值。计时受并发任务与节点负载影响，例如高学习率组较慢不能归因于学习率本身增加了理论运算量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基线1000步已能较好拟合；4层没有稳定胜过2层，加宽虽降低拟合loss但成本较高。对于本次教学目的，2层、128维、学习率0.001已提供较好的成本与效果平衡。</w:t>
      </w:r>
    </w:p>
    <w:p>
      <w:pPr>
        <w:keepNext/>
        <w:keepLines/>
        <w:pageBreakBefore/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5  采样分析（温度与 top-k）</w:t>
      </w:r>
    </w:p>
    <w:p>
      <w:pPr>
        <w:keepNext/>
        <w:keepLines/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5.1  采样实验记录</w:t>
      </w:r>
    </w:p>
    <w:p>
      <w:pPr>
        <w:keepNext/>
        <w:spacing w:before="80" w:after="160"/>
        <w:jc w:val="center"/>
      </w:pPr>
      <w:r>
        <w:rPr>
          <w:rFonts w:ascii="Arial" w:hAnsi="Arial" w:eastAsia="黑体"/>
          <w:b/>
          <w:sz w:val="21"/>
        </w:rPr>
        <w:t>表 5  采样实验记录表（固定基线模型与提示词「春」，每组贴 2~3 句原文）</w:t>
      </w:r>
    </w:p>
    <w:tbl>
      <w:tblPr>
        <w:tblStyle w:val="TableGrid"/>
        <w:tblW w:w="8958" w:type="dxa"/>
        <w:jc w:val="center"/>
        <w:tblLook w:firstColumn="1" w:firstRow="1" w:lastColumn="0" w:lastRow="0" w:noHBand="0" w:noVBand="1" w:val="04A0"/>
        <w:tblLayout w:type="fixed"/>
      </w:tblPr>
      <w:tblGrid>
        <w:gridCol w:w="520"/>
        <w:gridCol w:w="680"/>
        <w:gridCol w:w="780"/>
        <w:gridCol w:w="4340"/>
        <w:gridCol w:w="2638"/>
      </w:tblGrid>
      <w:tr>
        <w:trPr>
          <w:cantSplit/>
          <w:tblHeader/>
        </w:trPr>
        <w:tc>
          <w:tcPr>
            <w:tcW w:w="5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组号</w:t>
            </w:r>
          </w:p>
        </w:tc>
        <w:tc>
          <w:tcPr>
            <w:tcW w:w="68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温度</w:t>
            </w:r>
          </w:p>
        </w:tc>
        <w:tc>
          <w:tcPr>
            <w:tcW w:w="78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top-k</w:t>
            </w:r>
          </w:p>
        </w:tc>
        <w:tc>
          <w:tcPr>
            <w:tcW w:w="43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春提示原文摘录</w:t>
            </w:r>
          </w:p>
        </w:tc>
        <w:tc>
          <w:tcPr>
            <w:tcW w:w="263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观察</w:t>
            </w:r>
          </w:p>
        </w:tc>
      </w:tr>
      <w:tr>
        <w:trPr>
          <w:cantSplit/>
        </w:trPr>
        <w:tc>
          <w:tcPr>
            <w:tcW w:w="5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</w:t>
            </w:r>
          </w:p>
        </w:tc>
        <w:tc>
          <w:tcPr>
            <w:tcW w:w="68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</w:t>
            </w:r>
          </w:p>
        </w:tc>
        <w:tc>
          <w:tcPr>
            <w:tcW w:w="78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20</w:t>
            </w:r>
          </w:p>
        </w:tc>
        <w:tc>
          <w:tcPr>
            <w:tcW w:w="43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春晖。</w:t>
              <w:br/>
              <w:t xml:space="preserve">山重水复疑无路，柳暗花明又一村。莫笑农家腊酒浑，丰年留客足鸡豚。</w:t>
            </w:r>
          </w:p>
        </w:tc>
        <w:tc>
          <w:tcPr>
            <w:tcW w:w="263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原诗连续续写，春样本无段内重复</w:t>
            </w:r>
          </w:p>
        </w:tc>
      </w:tr>
      <w:tr>
        <w:trPr>
          <w:cantSplit/>
        </w:trPr>
        <w:tc>
          <w:tcPr>
            <w:tcW w:w="5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2</w:t>
            </w:r>
          </w:p>
        </w:tc>
        <w:tc>
          <w:tcPr>
            <w:tcW w:w="68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0.5</w:t>
            </w:r>
          </w:p>
        </w:tc>
        <w:tc>
          <w:tcPr>
            <w:tcW w:w="78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20</w:t>
            </w:r>
          </w:p>
        </w:tc>
        <w:tc>
          <w:tcPr>
            <w:tcW w:w="43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春草明年绿，王孙归不归。</w:t>
              <w:br/>
              <w:t xml:space="preserve">花间一壶酒，独酌无相亲。举杯邀明月，对影成三人。</w:t>
            </w:r>
          </w:p>
        </w:tc>
        <w:tc>
          <w:tcPr>
            <w:tcW w:w="263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续写路径改变，仍主要背诵</w:t>
            </w:r>
          </w:p>
        </w:tc>
      </w:tr>
      <w:tr>
        <w:trPr>
          <w:cantSplit/>
        </w:trPr>
        <w:tc>
          <w:tcPr>
            <w:tcW w:w="5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3</w:t>
            </w:r>
          </w:p>
        </w:tc>
        <w:tc>
          <w:tcPr>
            <w:tcW w:w="68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1.5</w:t>
            </w:r>
          </w:p>
        </w:tc>
        <w:tc>
          <w:tcPr>
            <w:tcW w:w="78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20</w:t>
            </w:r>
          </w:p>
        </w:tc>
        <w:tc>
          <w:tcPr>
            <w:tcW w:w="43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春来发几枝。愿君歌声。愿君多采撷，此物最相思。</w:t>
            </w:r>
          </w:p>
        </w:tc>
        <w:tc>
          <w:tcPr>
            <w:tcW w:w="263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出现“愿君歌声”等错接</w:t>
            </w:r>
          </w:p>
        </w:tc>
      </w:tr>
      <w:tr>
        <w:trPr>
          <w:cantSplit/>
        </w:trPr>
        <w:tc>
          <w:tcPr>
            <w:tcW w:w="5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4</w:t>
            </w:r>
          </w:p>
        </w:tc>
        <w:tc>
          <w:tcPr>
            <w:tcW w:w="68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</w:t>
            </w:r>
          </w:p>
        </w:tc>
        <w:tc>
          <w:tcPr>
            <w:tcW w:w="78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5</w:t>
            </w:r>
          </w:p>
        </w:tc>
        <w:tc>
          <w:tcPr>
            <w:tcW w:w="43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春晖。</w:t>
              <w:br/>
              <w:t xml:space="preserve">山重水复疑无路，柳暗花明又一村。莫笑农家腊酒浑，丰年留客足鸡豚。</w:t>
            </w:r>
          </w:p>
        </w:tc>
        <w:tc>
          <w:tcPr>
            <w:tcW w:w="263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春、月不变，山样本改变</w:t>
            </w:r>
          </w:p>
        </w:tc>
      </w:tr>
      <w:tr>
        <w:trPr>
          <w:cantSplit/>
        </w:trPr>
        <w:tc>
          <w:tcPr>
            <w:tcW w:w="5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5</w:t>
            </w:r>
          </w:p>
        </w:tc>
        <w:tc>
          <w:tcPr>
            <w:tcW w:w="68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1.0</w:t>
            </w:r>
          </w:p>
        </w:tc>
        <w:tc>
          <w:tcPr>
            <w:tcW w:w="78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699</w:t>
            </w:r>
          </w:p>
        </w:tc>
        <w:tc>
          <w:tcPr>
            <w:tcW w:w="434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春晖。</w:t>
              <w:br/>
              <w:t xml:space="preserve">山重水复疑无路，柳暗花明又一村。莫笑农家腊酒浑，丰年留客足鸡豚。</w:t>
            </w:r>
          </w:p>
        </w:tc>
        <w:tc>
          <w:tcPr>
            <w:tcW w:w="263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三段均与k20完全相同</w:t>
            </w:r>
          </w:p>
        </w:tc>
      </w:tr>
    </w:tbl>
    <w:p w:rsidR="0260923A" w:rsidRDefault="0260923A">
      <w:pPr>
        <w:keepLines/>
        <w:spacing w:after="50" w:line="40" w:lineRule="auto"/>
        <w:jc w:val="both"/>
      </w:pPr>
      <w:r>
        <w:rPr>
          <w:rFonts w:ascii="Times New Roman" w:hAnsi="Times New Roman" w:eastAsia="宋体"/>
          <w:color w:val="000000"/>
          <w:sz w:val="2"/>
        </w:rPr>
        <w:t xml:space="preserve"/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五组均固定2000步基线模型，每组使用提示「春、月、山」，种子依次1001、1002、1003，各生成200个新字符。表5展示春提示前3句（首句可能是短残句），完整原文全部保存在results/sampling。top-k=699相当于不截断。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基线原文展示的月提示种子为1003、1004；本节月提示固定1002。两套样本用途不同，采样策略之间的比较只使用本节统一的提示和种子。</w:t>
      </w:r>
    </w:p>
    <w:p>
      <w:pPr>
        <w:keepNext/>
        <w:keepLines/>
        <w:pageBreakBefore/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5.2  生成对比分析</w:t>
      </w:r>
    </w:p>
    <w:p w:rsidR="0260923A" w:rsidRDefault="0260923A">
      <w:pPr>
        <w:keepNext/>
        <w:keepLines/>
        <w:spacing w:after="40"/>
        <w:jc w:val="center"/>
      </w:pPr>
      <w:r>
        <w:pict>
          <v:shape id="report_image_16" type="#_x0000_t75" style="width:435pt;height:347.40pt">
            <v:imagedata r:id="rId15" o:title="sampling_excerpt"/>
          </v:shape>
        </w:pict>
      </w:r>
    </w:p>
    <w:p w:rsidR="0260923A" w:rsidRDefault="0260923A">
      <w:pPr>
        <w:keepLines/>
        <w:spacing w:after="90" w:line="28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 xml:space="preserve">图 7  保存的生成原文摘录排版（春，seed=1001）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低温0.5更偏向高概率续接，输出较稳定；温度1.5增加低概率字符被选中的机会，产生“独放松，周星垂平明月中”等不连贯片段。高温带来的变化并不等于高质量新意。本次T=1.0、k20与不截断的三段逐字相同，可能反映模型在小语料上概率分布十分集中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以稳定展示诗句续写为目标，我倾向保留temperature=1.0、top-k=20：文本局部通顺，且比低温保留更多可选择路径。该选择是本批样本的折中，未证明是全局最优；若强调原创性，单改采样策略不足以克服小语料记忆。</w:t>
      </w:r>
    </w:p>
    <w:p>
      <w:pPr>
        <w:keepNext/>
        <w:keepLines/>
        <w:pageBreakBefore/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 xml:space="preserve">5.3  选做 禁止重复3-gram与定量补充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在同一最终基线上，仅增加no_repeat_ngram=3，禁止选择会使已有三字符片段再次出现的下一字符。模型、提示、种子、温度1.0和top-k20保持不变。该约束在采样时生效，不涉及重训。</w:t>
      </w:r>
    </w:p>
    <w:p w:rsidR="0260923A" w:rsidRDefault="0260923A">
      <w:pPr>
        <w:keepNext/>
        <w:keepLines/>
        <w:spacing w:after="90" w:line="28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 xml:space="preserve">表 6  三个固定提示的平均字符统计</w:t>
      </w:r>
    </w:p>
    <w:tbl>
      <w:tblPr>
        <w:tblStyle w:val="TableGrid"/>
        <w:tblW w:w="8958" w:type="dxa"/>
        <w:jc w:val="center"/>
        <w:tblLook w:firstColumn="1" w:firstRow="1" w:lastColumn="0" w:lastRow="0" w:noHBand="0" w:noVBand="1" w:val="04A0"/>
        <w:tblLayout w:type="fixed"/>
      </w:tblPr>
      <w:tblGrid>
        <w:gridCol w:w="3090"/>
        <w:gridCol w:w="1956"/>
        <w:gridCol w:w="1956"/>
        <w:gridCol w:w="1956"/>
      </w:tblGrid>
      <w:tr>
        <w:trPr>
          <w:cantSplit/>
          <w:tblHeader/>
        </w:trPr>
        <w:tc>
          <w:tcPr>
            <w:tcW w:w="30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采样设置</w:t>
            </w:r>
          </w:p>
        </w:tc>
        <w:tc>
          <w:tcPr>
            <w:tcW w:w="1956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段内3-gram重复</w:t>
            </w:r>
          </w:p>
        </w:tc>
        <w:tc>
          <w:tcPr>
            <w:tcW w:w="1956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语料10-gram匹配</w:t>
            </w:r>
          </w:p>
        </w:tc>
        <w:tc>
          <w:tcPr>
            <w:tcW w:w="1956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不同字符占比</w:t>
            </w:r>
          </w:p>
        </w:tc>
      </w:tr>
      <w:tr>
        <w:trPr>
          <w:cantSplit/>
        </w:trPr>
        <w:tc>
          <w:tcPr>
            <w:tcW w:w="30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T1.0 / k20</w:t>
            </w:r>
          </w:p>
        </w:tc>
        <w:tc>
          <w:tcPr>
            <w:tcW w:w="1956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0.34%</w:t>
            </w:r>
          </w:p>
        </w:tc>
        <w:tc>
          <w:tcPr>
            <w:tcW w:w="1956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100.00%</w:t>
            </w:r>
          </w:p>
        </w:tc>
        <w:tc>
          <w:tcPr>
            <w:tcW w:w="1956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68.67%</w:t>
            </w:r>
          </w:p>
        </w:tc>
      </w:tr>
      <w:tr>
        <w:trPr>
          <w:cantSplit/>
        </w:trPr>
        <w:tc>
          <w:tcPr>
            <w:tcW w:w="30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T0.5 / k20</w:t>
            </w:r>
          </w:p>
        </w:tc>
        <w:tc>
          <w:tcPr>
            <w:tcW w:w="1956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0.34%</w:t>
            </w:r>
          </w:p>
        </w:tc>
        <w:tc>
          <w:tcPr>
            <w:tcW w:w="1956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99.83%</w:t>
            </w:r>
          </w:p>
        </w:tc>
        <w:tc>
          <w:tcPr>
            <w:tcW w:w="1956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69.33%</w:t>
            </w:r>
          </w:p>
        </w:tc>
      </w:tr>
      <w:tr>
        <w:trPr>
          <w:cantSplit/>
        </w:trPr>
        <w:tc>
          <w:tcPr>
            <w:tcW w:w="30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T1.5 / k20</w:t>
            </w:r>
          </w:p>
        </w:tc>
        <w:tc>
          <w:tcPr>
            <w:tcW w:w="1956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2.19%</w:t>
            </w:r>
          </w:p>
        </w:tc>
        <w:tc>
          <w:tcPr>
            <w:tcW w:w="1956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65.45%</w:t>
            </w:r>
          </w:p>
        </w:tc>
        <w:tc>
          <w:tcPr>
            <w:tcW w:w="1956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66.50%</w:t>
            </w:r>
          </w:p>
        </w:tc>
      </w:tr>
      <w:tr>
        <w:trPr>
          <w:cantSplit/>
        </w:trPr>
        <w:tc>
          <w:tcPr>
            <w:tcW w:w="30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T1.0 / k5</w:t>
            </w:r>
          </w:p>
        </w:tc>
        <w:tc>
          <w:tcPr>
            <w:tcW w:w="1956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0.34%</w:t>
            </w:r>
          </w:p>
        </w:tc>
        <w:tc>
          <w:tcPr>
            <w:tcW w:w="1956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100.00%</w:t>
            </w:r>
          </w:p>
        </w:tc>
        <w:tc>
          <w:tcPr>
            <w:tcW w:w="1956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72.83%</w:t>
            </w:r>
          </w:p>
        </w:tc>
      </w:tr>
      <w:tr>
        <w:trPr>
          <w:cantSplit/>
        </w:trPr>
        <w:tc>
          <w:tcPr>
            <w:tcW w:w="30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T1.0 / k699</w:t>
            </w:r>
          </w:p>
        </w:tc>
        <w:tc>
          <w:tcPr>
            <w:tcW w:w="1956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0.34%</w:t>
            </w:r>
          </w:p>
        </w:tc>
        <w:tc>
          <w:tcPr>
            <w:tcW w:w="1956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100.00%</w:t>
            </w:r>
          </w:p>
        </w:tc>
        <w:tc>
          <w:tcPr>
            <w:tcW w:w="1956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68.67%</w:t>
            </w:r>
          </w:p>
        </w:tc>
      </w:tr>
      <w:tr>
        <w:trPr>
          <w:cantSplit/>
        </w:trPr>
        <w:tc>
          <w:tcPr>
            <w:tcW w:w="309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T1.0 / k20 / 禁止3-gram</w:t>
            </w:r>
          </w:p>
        </w:tc>
        <w:tc>
          <w:tcPr>
            <w:tcW w:w="1956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0.00%</w:t>
            </w:r>
          </w:p>
        </w:tc>
        <w:tc>
          <w:tcPr>
            <w:tcW w:w="1956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93.72%</w:t>
            </w:r>
          </w:p>
        </w:tc>
        <w:tc>
          <w:tcPr>
            <w:tcW w:w="1956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68.67%</w:t>
            </w:r>
          </w:p>
        </w:tc>
      </w:tr>
    </w:tbl>
    <w:p w:rsidR="0260923A" w:rsidRDefault="0260923A">
      <w:pPr>
        <w:keepLines/>
        <w:spacing w:after="50" w:line="40" w:lineRule="auto"/>
        <w:jc w:val="both"/>
      </w:pPr>
      <w:r>
        <w:rPr>
          <w:rFonts w:ascii="Times New Roman" w:hAnsi="Times New Roman" w:eastAsia="宋体"/>
          <w:color w:val="000000"/>
          <w:sz w:val="2"/>
        </w:rPr>
        <w:t xml:space="preserve"/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统计仅使用新增200字符，保留标点和换行。段内重复率=1−不同三元组数量/三元组总数；10-gram匹配率指生成的连续10字符片段在训练语料中出现的比例；不同字符占比=不同字符数/200。三项均按每段计算后取平均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基线采样段内重复已很少，禁止3-gram仅将0.34%降到0%，绝对改善约0.34个百分点；同时原文出现“千尺多烦忧”“抽刀断楚江水复疑是银河落九天”等拼接，主观评级从4/5降至3/5。可见强制消除重复不保证语言质量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温度1.5的语料10-gram匹配率降至65.45%，但不同字符占比反而降至66.50%，同时重复率升至2.19%。因此不能把任何单一指标直接当作多样性或原创性的完整度量。普通温度组接近100%的匹配率，更支持“记忆训练语料”的解释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上述重复率不衡量不同样本之间的相同程度：第2节两段月输出完全相同，段内重复率仍可为0%。本实验没有独立测试集、语义一致性自动评价或多人盲评，所有质量结论限于保存的这些样本。</w:t>
      </w:r>
    </w:p>
    <w:p>
      <w:pPr>
        <w:keepNext/>
        <w:keepLines/>
        <w:pageBreakBefore/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 xml:space="preserve">6  AI 协作记录（Codex 使用情况）</w:t>
      </w:r>
    </w:p>
    <w:p>
      <w:pPr>
        <w:keepNext/>
        <w:spacing w:before="120" w:after="160"/>
        <w:jc w:val="center"/>
      </w:pPr>
      <w:r>
        <w:rPr>
          <w:rFonts w:ascii="Arial" w:hAnsi="Arial" w:eastAsia="黑体"/>
          <w:b/>
          <w:sz w:val="21"/>
        </w:rPr>
        <w:t xml:space="preserve">表 7  Codex 协作过程记录</w:t>
      </w:r>
    </w:p>
    <w:tbl>
      <w:tblPr>
        <w:tblStyle w:val="TableGrid"/>
        <w:tblW w:w="8958" w:type="dxa"/>
        <w:jc w:val="center"/>
        <w:tblLook w:firstColumn="1" w:firstRow="1" w:lastColumn="0" w:lastRow="0" w:noHBand="0" w:noVBand="1" w:val="04A0"/>
        <w:tblLayout w:type="fixed"/>
      </w:tblPr>
      <w:tblGrid>
        <w:gridCol w:w="520"/>
        <w:gridCol w:w="1500"/>
        <w:gridCol w:w="3420"/>
        <w:gridCol w:w="3518"/>
      </w:tblGrid>
      <w:tr>
        <w:trPr>
          <w:cantSplit/>
          <w:tblHeader/>
        </w:trPr>
        <w:tc>
          <w:tcPr>
            <w:tcW w:w="5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序号</w:t>
            </w:r>
          </w:p>
        </w:tc>
        <w:tc>
          <w:tcPr>
            <w:tcW w:w="15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协作场景</w:t>
            </w:r>
          </w:p>
        </w:tc>
        <w:tc>
          <w:tcPr>
            <w:tcW w:w="34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我的要求与操作</w:t>
            </w:r>
          </w:p>
        </w:tc>
        <w:tc>
          <w:tcPr>
            <w:tcW w:w="351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Codex辅助及处理</w:t>
            </w:r>
          </w:p>
        </w:tc>
      </w:tr>
      <w:tr>
        <w:trPr>
          <w:cantSplit/>
        </w:trPr>
        <w:tc>
          <w:tcPr>
            <w:tcW w:w="5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1</w:t>
            </w:r>
          </w:p>
        </w:tc>
        <w:tc>
          <w:tcPr>
            <w:tcW w:w="15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明确任务与顺序</w:t>
            </w:r>
          </w:p>
        </w:tc>
        <w:tc>
          <w:tcPr>
            <w:tcW w:w="34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提供实验三指导书；更新样板后要求“先把代码写出来吧”。</w:t>
            </w:r>
          </w:p>
        </w:tc>
        <w:tc>
          <w:tcPr>
            <w:tcW w:w="351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按指南拆分模型、训练和采样任务，先完成可运行代码、测试及原始结果。</w:t>
            </w:r>
          </w:p>
        </w:tc>
      </w:tr>
      <w:tr>
        <w:trPr>
          <w:cantSplit/>
        </w:trPr>
        <w:tc>
          <w:tcPr>
            <w:tcW w:w="5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2</w:t>
            </w:r>
          </w:p>
        </w:tc>
        <w:tc>
          <w:tcPr>
            <w:tcW w:w="15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运行条件与资源收尾</w:t>
            </w:r>
          </w:p>
        </w:tc>
        <w:tc>
          <w:tcPr>
            <w:tcW w:w="34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此前提供HPC文档、学号和免密登录条件；明确要求“确保HPC正常收尾关闭”。</w:t>
            </w:r>
          </w:p>
        </w:tc>
        <w:tc>
          <w:tcPr>
            <w:tcW w:w="351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在计算节点使用CPU运行，处理提交数量限制，完成后核对队列与作业状态，关闭连接。</w:t>
            </w:r>
          </w:p>
        </w:tc>
      </w:tr>
      <w:tr>
        <w:trPr>
          <w:cantSplit/>
        </w:trPr>
        <w:tc>
          <w:tcPr>
            <w:tcW w:w="5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3</w:t>
            </w:r>
          </w:p>
        </w:tc>
        <w:tc>
          <w:tcPr>
            <w:tcW w:w="150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复查与提交</w:t>
            </w:r>
          </w:p>
        </w:tc>
        <w:tc>
          <w:tcPr>
            <w:tcW w:w="3420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要求“再次检查代码、数据等，完成实验报告，同步代码仓库”。</w:t>
            </w:r>
          </w:p>
        </w:tc>
        <w:tc>
          <w:tcPr>
            <w:tcW w:w="3518" w:type="dxa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</w:tcPr>
          <w:p w:rsidR="0260923A" w:rsidRDefault="0260923A">
            <w:pPr>
              <w:keepLines/>
              <w:spacing w:after="0" w:line="25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0"/>
              </w:rPr>
              <w:t xml:space="preserve">复查6项测试、模型与语料哈希、58段生成原文，按模板整理图表和分析，保留不符合预期的结果。</w:t>
            </w:r>
          </w:p>
        </w:tc>
      </w:tr>
    </w:tbl>
    <w:p w:rsidR="0260923A" w:rsidRDefault="0260923A">
      <w:pPr>
        <w:keepLines/>
        <w:spacing w:after="50" w:line="40" w:lineRule="auto"/>
        <w:jc w:val="both"/>
      </w:pPr>
      <w:r>
        <w:rPr>
          <w:rFonts w:ascii="Times New Roman" w:hAnsi="Times New Roman" w:eastAsia="宋体"/>
          <w:color w:val="000000"/>
          <w:sz w:val="2"/>
        </w:rPr>
        <w:t xml:space="preserve"/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本次协作由我明确课程目标、交付顺序和资源要求，Codex承担具体代码实现、运行编排、审查和报告整理。代码中提供分段阅读入口，协作记录覆盖需求、实现、审查和结果整理，完整过程保存在仓库的AI_COLLABORATION.md中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审查发现并修复了中断后锁残留风险、完成标记未校验产物、相对输出路径不一致等工程问题。采用系统文件锁、产物哈希、原子保存，并验证中断后续训与连续训练在逐步loss和权重上完全一致。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对我而言，判断AI输出是否可靠的关键是能解释模型原理与评价口径：低loss是否只来自记忆、单变量是否真的保持了相同预算，以及生成原文是否支持结论。代码审查结果和实际曲线为这些判断提供了可核对的依据。</w:t>
      </w:r>
    </w:p>
    <w:p>
      <w:pPr>
        <w:keepNext/>
        <w:keepLines/>
        <w:pageBreakBefore/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7  思考题作答</w:t>
      </w:r>
    </w:p>
    <w:p>
      <w:pPr>
        <w:keepNext/>
        <w:keepLines/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 xml:space="preserve">(1) 结合exp5：去掉位置编码后，模型还能学到什么？生成的“诗”还成句吗？为什么？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模型仍能学习字符共现、局部搭配、常见诗句及其续接。exp5固定窗口loss为0.027912，能生成不少完整句子，但也出现错序和跨诗拼接；因此去掉显式位置嵌入并不使模型完全无法训练。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需要纠正题目提示中的简化说法：不加位置、没有因果掩码的自注意力对排列通常是“等变”，即输入重排会导致输出对应重排，并非所有输出数值不变。这里使用固定的因果掩码，每个位置可见的前缀不同，任意重排会改变可见关系，不能再称整个模型完全排列不变。相关研究发现无位置编码的因果语言模型也可能学习隐式位置线索[2]；本实验未做探针分析，不能据此断定本模型采用了哪种具体机制。</w:t>
      </w:r>
    </w:p>
    <w:p>
      <w:pPr>
        <w:keepNext/>
        <w:keepLines/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(2) 手算：若 n_embd 从 128 增至 256、层数从 2 增至 3（V、T 不变），总参数量约为多少？相比基线增长几倍？结合 exp2 / exp3 的实测时间，说明容量与训练成本的权衡。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近似参数量为699×256 + 128×256 + 3×12×256² = 178,944 + 32,768 + 2,359,296 = 2,571,008。相对基线近似499,072，约为5.15倍。若计入偏置与LayerNorm，则再加3×13×256+2×256=10,496，精确为2,581,504，相对精确基线502,656约5.14倍。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实际C64到C256使参数约增至11.71倍、训练时间增至4.68倍；1层到4层耗时约3.11倍。更大模型需要更多内存和计算，但小语料上的收益有限。时间还受矩阵效率、上下文和共享节点负载影响，不能直接按参数倍数预测；本实验没有实际训练C256/L3，以上只是手算，不能编造其耗时。</w:t>
      </w:r>
    </w:p>
    <w:p>
      <w:pPr>
        <w:keepNext/>
        <w:keepLines/>
        <w:pageBreakBefore/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(3) 温度 T→0 与 T→∞ 时，softmax 采样分别退化成什么？什么任务适合低温、什么场景适合高温？结合 exp6 的生成结果说明。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令温度为τ以免与上下文T混淆，p_i=exp(z_i/τ)/Σ_j exp(z_j/τ)。τ→0⁺时概率集中于最大logit，唯一最大值时趋近贪心；若并列最大，则理想极限在并列项上均分。τ→∞时各有限logit趋于相等，分布趋向均匀；使用top-k后均匀化的范围是允许的候选集合，而非必然整个词表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低温适合希望稳定、格式较固定的输出，但不会自动保证事实正确。高温可用于探索候选表达或创意草案，代价是错误和不连贯增加。本次0.5组主要稳定续写原诗，1.5组出现更多错接，说明提高随机性不能替代模型能力；这些结论只针对本批样本。</w:t>
      </w:r>
    </w:p>
    <w:p>
      <w:pPr>
        <w:keepNext/>
        <w:keepLines/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(4) 字符级分词的优缺点各是什么？BPE 如何在“词表大小”与“序列长度”之间折中？为什么真实 LLM 都用 BPE 类分词器？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字符级分词实现简单、词表小，能清楚看到一个汉字对应一个索引，适合本实验；缺点是相同文本需要更多时间步，词与短语的组合关系要由模型学习。当前固定词表对未见字符会报错，也不能把“字符级”误解为天然支持所有输入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BPE逐步合并常见符号片段，使常见词或子词用较少token表示，而罕见词仍能拆成较小单位，从而在词表大小与序列长度之间折中[3]。较大的词表增加嵌入和输出层成本，却可能减少序列长度及注意力成本。真实语言模型常用子词分词，但“都用BPE”过于绝对：SentencePiece也支持Unigram等方法[4]；应根据语言、覆盖率和效率选择。</w:t>
      </w:r>
    </w:p>
    <w:p>
      <w:pPr>
        <w:keepNext/>
        <w:keepLines/>
        <w:pageBreakBefore/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(5) 本实验是“从零、在数千字语料上训练”；真实 LLM 是“预训练（海量语料）+ 指令微调 + RLHF”。请从数据量、参数量、训练目标三方面比较两者，并回答：把本实验语料扩大 1000 倍，能得到一个“会聊天”的模型吗？为什么？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数据量方面，本实验只有2163字符且不断重复取窗口，训练2000步所见8,192,000个token不是同等规模的独立新语料。参数量为502,656；GPT-3原论文的最大模型为1750亿参数，使用大规模文本预训练[5]。模型规模差异不是唯一因素，数据覆盖范围和质量同样重要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训练目标方面，本实验仅优化下一字符交叉熵，学习诗句续接；真实系统通常先进行大规模语言建模，再通过指令示例和偏好反馈等方式提升任务遵循能力。InstructGPT展示了监督微调与人类反馈强化学习的流程[6]，但并非所有系统都采用完全相同的后训练方法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把语料扩大1000倍约为216.3万字符。如果只是复制原语料，几乎不增加信息；即使新增同体裁诗文，也不自然提供多轮对话、指令理解和知识覆盖。还需要合适的数据分布、模型容量、训练预算及对话评价，因此仅扩大数量不能保证得到会聊天的模型。</w:t>
      </w:r>
    </w:p>
    <w:p>
      <w:pPr>
        <w:keepNext/>
        <w:keepLines/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 xml:space="preserve">(6) 回顾与Codex协作实现CausalSelfAttention的过程：AI在哪些环节最有价值？哪些地方必须读懂公式才能改对（因果掩码、多头reshape、权重共享）？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本次Codex在把指南转为可运行实现、检查张量形状、补充测试和定位工程故障上最有价值。协作详情见第6节。判断这些输出是否正确，不能只凭程序能运行或loss下降；需要把公式、代码与测试对应起来。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因果掩码应将未来位置的注意力分数在softmax前填为−∞，使其概率为0；若填0，未来位置仍可能得到非零概率。Q/K/V从(B,T,C)先变为(B,T,H,C/H)，再交换时间与头轴成为(B,H,T,C/H)，注意力在时间轴上计算，拼回时逆向变换。交换错误可能形状仍合法却改变计算含义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权重共享应使输出head.weight与tok_emb.weight指向同一Parameter，仅复制数值不能保证训练中继续共享；参数计数也只能计一次。当前测试核对了共享对象、精确参数量、未来token对过去输出及梯度的影响，并对有无位置嵌入均检查因果性。这些检查比仅观察生成几句顺眼的诗更能定位实现错误。</w:t>
      </w:r>
    </w:p>
    <w:p>
      <w:pPr>
        <w:keepNext/>
        <w:keepLines/>
        <w:pageBreakBefore/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 xml:space="preserve">附录  复核记录与提交材料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以下图像直接排版本机实际执行的参数核对输出，保留真实数值，不模拟IDE界面。</w:t>
      </w:r>
    </w:p>
    <w:p w:rsidR="0260923A" w:rsidRDefault="0260923A">
      <w:pPr>
        <w:keepNext/>
        <w:keepLines/>
        <w:spacing w:after="40"/>
        <w:jc w:val="center"/>
      </w:pPr>
      <w:r>
        <w:pict>
          <v:shape id="report_image_17" type="#_x0000_t75" style="width:435pt;height:132.05pt">
            <v:imagedata r:id="rId16" o:title="parameter_output"/>
          </v:shape>
        </w:pict>
      </w:r>
    </w:p>
    <w:p w:rsidR="0260923A" w:rsidRDefault="0260923A">
      <w:pPr>
        <w:keepLines/>
        <w:spacing w:after="90" w:line="28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 xml:space="preserve">图 8  参数计数与权重共享实际输出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最终复核：6项行为测试全部通过；47项必要产物完整且哈希一致；9个最终模型与1000步快照CPU重放通过，9模型最大固定窗口loss绝对偏差约1.15×10⁻⁷；58段原始样本长度、词表和TXT/JSON一致，六组采样统计独立重算一致。语料与指南逐字匹配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复现边界：正式生成使用PyTorch2.6.0，本机核验使用2.14.0；同种子不保证跨版本逐字生成相同文本。本报告引用原始HPC生成文件，不用本机重生成结果替换原文。HPC作业10765已COMPLETED，退出码0:0；队列检查为空，资源已释放，报告阶段没有新建训练作业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复核入口：python -m unittest test_min_llm -v；python analyze_results.py --verify-only。代码与原始结果基准提交e01c944；最终报告、质量评级及本次核验记录放入lab03/report。本地按前两次实验架构，提交材料存正式报告，lab03_min_llm保存代码与结果，tools保存报告构建与检查文件。</w:t>
      </w:r>
    </w:p>
    <w:p w:rsidR="0260923A" w:rsidRDefault="0260923A">
      <w:pPr>
        <w:keepLines/>
        <w:spacing w:after="90" w:line="280" w:lineRule="auto"/>
        <w:jc w:val="both"/>
      </w:pPr>
      <w:r>
        <w:rPr>
          <w:rFonts w:ascii="Times New Roman" w:hAnsi="Times New Roman" w:eastAsia="宋体"/>
          <w:color w:val="000000"/>
          <w:sz w:val="20"/>
        </w:rPr>
        <w:t xml:space="preserve">仓库：https://github.com/s-max-oss/llm-course-labs/tree/main/lab03</w:t>
      </w:r>
    </w:p>
    <w:p>
      <w:pPr>
        <w:keepNext/>
        <w:keepLines/>
        <w:pageBreakBefore/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 xml:space="preserve">参考资料</w:t>
      </w:r>
    </w:p>
    <w:p w:rsidR="0260923A" w:rsidRDefault="0260923A">
      <w:pPr>
        <w:keepLines/>
        <w:spacing w:after="180" w:line="280" w:lineRule="auto"/>
        <w:jc w:val="left"/>
      </w:pPr>
      <w:r>
        <w:rPr>
          <w:rFonts w:ascii="Times New Roman" w:hAnsi="Times New Roman" w:eastAsia="宋体"/>
          <w:color w:val="000000"/>
          <w:sz w:val="21"/>
        </w:rPr>
        <w:t xml:space="preserve">[1] 课程资料：《作业三_手搓最小LLM_使用CPU训练_实验指南》及实验报告样板。</w:t>
      </w:r>
    </w:p>
    <w:p w:rsidR="0260923A" w:rsidRDefault="0260923A">
      <w:pPr>
        <w:keepLines/>
        <w:spacing w:after="180" w:line="280" w:lineRule="auto"/>
        <w:jc w:val="left"/>
      </w:pPr>
      <w:r>
        <w:rPr>
          <w:rFonts w:ascii="Times New Roman" w:hAnsi="Times New Roman" w:eastAsia="宋体"/>
          <w:color w:val="000000"/>
          <w:sz w:val="21"/>
        </w:rPr>
        <w:t xml:space="preserve">[2] Haviv A, et al. Transformer Language Models without Positional Encodings Still Learn Positional Information. Findings of EMNLP, 2022. https://arxiv.org/abs/2203.16634</w:t>
      </w:r>
    </w:p>
    <w:p w:rsidR="0260923A" w:rsidRDefault="0260923A">
      <w:pPr>
        <w:keepLines/>
        <w:spacing w:after="180" w:line="280" w:lineRule="auto"/>
        <w:jc w:val="left"/>
      </w:pPr>
      <w:r>
        <w:rPr>
          <w:rFonts w:ascii="Times New Roman" w:hAnsi="Times New Roman" w:eastAsia="宋体"/>
          <w:color w:val="000000"/>
          <w:sz w:val="21"/>
        </w:rPr>
        <w:t xml:space="preserve">[3] Sennrich R, Haddow B, Birch A. Neural Machine Translation of Rare Words with Subword Units. ACL, 2016. https://arxiv.org/abs/1508.07909</w:t>
      </w:r>
    </w:p>
    <w:p w:rsidR="0260923A" w:rsidRDefault="0260923A">
      <w:pPr>
        <w:keepLines/>
        <w:spacing w:after="180" w:line="280" w:lineRule="auto"/>
        <w:jc w:val="left"/>
      </w:pPr>
      <w:r>
        <w:rPr>
          <w:rFonts w:ascii="Times New Roman" w:hAnsi="Times New Roman" w:eastAsia="宋体"/>
          <w:color w:val="000000"/>
          <w:sz w:val="21"/>
        </w:rPr>
        <w:t xml:space="preserve">[4] Kudo T, Richardson J. SentencePiece: A simple and language independent subword tokenizer and detokenizer for Neural Text Processing. EMNLP, 2018. https://arxiv.org/abs/1808.06226</w:t>
      </w:r>
    </w:p>
    <w:p w:rsidR="0260923A" w:rsidRDefault="0260923A">
      <w:pPr>
        <w:keepLines/>
        <w:spacing w:after="180" w:line="280" w:lineRule="auto"/>
        <w:jc w:val="left"/>
      </w:pPr>
      <w:r>
        <w:rPr>
          <w:rFonts w:ascii="Times New Roman" w:hAnsi="Times New Roman" w:eastAsia="宋体"/>
          <w:color w:val="000000"/>
          <w:sz w:val="21"/>
        </w:rPr>
        <w:t xml:space="preserve">[5] Brown T, et al. Language Models are Few-Shot Learners. NeurIPS, 2020. https://arxiv.org/abs/2005.14165</w:t>
      </w:r>
    </w:p>
    <w:p w:rsidR="0260923A" w:rsidRDefault="0260923A">
      <w:pPr>
        <w:keepLines/>
        <w:spacing w:after="180" w:line="280" w:lineRule="auto"/>
        <w:jc w:val="left"/>
      </w:pPr>
      <w:r>
        <w:rPr>
          <w:rFonts w:ascii="Times New Roman" w:hAnsi="Times New Roman" w:eastAsia="宋体"/>
          <w:color w:val="000000"/>
          <w:sz w:val="21"/>
        </w:rPr>
        <w:t xml:space="preserve">[6] Ouyang L, et al. Training language models to follow instructions with human feedback. NeurIPS, 2022. https://arxiv.org/abs/2203.02155</w:t>
      </w:r>
    </w:p>
    <w:p w:rsidR="0260923A" w:rsidRDefault="0260923A">
      <w:pPr>
        <w:keepLines/>
        <w:spacing w:after="180" w:line="280" w:lineRule="auto"/>
        <w:jc w:val="left"/>
      </w:pPr>
      <w:r>
        <w:rPr>
          <w:rFonts w:ascii="Times New Roman" w:hAnsi="Times New Roman" w:eastAsia="宋体"/>
          <w:color w:val="000000"/>
          <w:sz w:val="21"/>
        </w:rPr>
        <w:t xml:space="preserve">[7] Vaswani A, et al. Attention Is All You Need. NeurIPS, 2017. https://arxiv.org/abs/1706.03762</w:t>
      </w:r>
    </w:p>
    <w:sectPr w:rsidR="00FC693F" w:rsidRPr="0006063C" w:rsidSect="00034616">
      <w:pgSz w:w="12240" w:h="15840"/>
      <w:pgMar w:top="158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report_10_loss_curve_L2_E128_lr0.001.png"/><Relationship Id="rId10" Type="http://schemas.openxmlformats.org/officeDocument/2006/relationships/image" Target="media/report_11_curves_lr.png"/><Relationship Id="rId11" Type="http://schemas.openxmlformats.org/officeDocument/2006/relationships/image" Target="media/report_12_curves_layers.png"/><Relationship Id="rId12" Type="http://schemas.openxmlformats.org/officeDocument/2006/relationships/image" Target="media/report_13_curves_width.png"/><Relationship Id="rId13" Type="http://schemas.openxmlformats.org/officeDocument/2006/relationships/image" Target="media/report_14_loss_curve_L2_E128_lr0.001.png"/><Relationship Id="rId14" Type="http://schemas.openxmlformats.org/officeDocument/2006/relationships/image" Target="media/report_15_loss_curve_no_pos.png"/><Relationship Id="rId15" Type="http://schemas.openxmlformats.org/officeDocument/2006/relationships/image" Target="media/report_16_sampling_excerpt.png"/><Relationship Id="rId16" Type="http://schemas.openxmlformats.org/officeDocument/2006/relationships/image" Target="media/report_17_parameter_outpu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