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黑体"/>
          <w:b/>
          <w:color w:val="1F2937"/>
          <w:sz w:val="44"/>
        </w:rPr>
        <w:t>《人工智能——深度学习大模型智能体》</w:t>
      </w:r>
    </w:p>
    <w:p>
      <w:pPr>
        <w:spacing w:before="0" w:after="280"/>
        <w:jc w:val="center"/>
      </w:pPr>
      <w:r>
        <w:rPr>
          <w:rFonts w:ascii="Arial" w:hAnsi="Arial" w:eastAsia="黑体"/>
          <w:b/>
          <w:color w:val="4B5563"/>
          <w:sz w:val="36"/>
        </w:rPr>
        <w:t>实验报告</w:t>
      </w:r>
    </w:p>
    <w:p>
      <w:pPr>
        <w:spacing w:before="0" w:after="120"/>
        <w:jc w:val="center"/>
      </w:pPr>
      <w:r>
        <w:rPr>
          <w:rFonts w:ascii="Arial" w:hAnsi="Arial" w:eastAsia="黑体"/>
          <w:b/>
          <w:color w:val="0E8A5F"/>
          <w:sz w:val="32"/>
        </w:rPr>
        <w:t>实验作业三</w:t>
      </w:r>
    </w:p>
    <w:p>
      <w:pPr>
        <w:spacing w:before="0" w:after="600"/>
        <w:jc w:val="center"/>
      </w:pPr>
      <w:r>
        <w:rPr>
          <w:rFonts w:ascii="Arial" w:hAnsi="Arial" w:eastAsia="黑体"/>
          <w:b/>
          <w:color w:val="1F2937"/>
          <w:sz w:val="40"/>
        </w:rPr>
        <w:t>手搓最小 LLM——使用 CPU 训练</w:t>
      </w:r>
    </w:p>
    <w:p>
      <w:pPr>
        <w:spacing w:before="0" w:after="200"/>
        <w:jc w:val="center"/>
      </w:pPr>
      <w:r>
        <w:rPr>
          <w:rFonts w:ascii="Times New Roman" w:hAnsi="Times New Roman" w:eastAsia="宋体"/>
          <w:b w:val="0"/>
          <w:sz w:val="26"/>
        </w:rPr>
        <w:t xml:space="preserve">姓　　名：孙驰</w:t>
      </w:r>
    </w:p>
    <w:p>
      <w:pPr>
        <w:spacing w:before="0" w:after="200"/>
        <w:jc w:val="center"/>
      </w:pPr>
      <w:r>
        <w:rPr>
          <w:rFonts w:ascii="Times New Roman" w:hAnsi="Times New Roman" w:eastAsia="宋体"/>
          <w:b w:val="0"/>
          <w:sz w:val="26"/>
        </w:rPr>
        <w:t xml:space="preserve">学　　号：2024311281</w:t>
      </w:r>
    </w:p>
    <w:p>
      <w:pPr>
        <w:spacing w:before="0" w:after="200"/>
        <w:jc w:val="center"/>
      </w:pPr>
      <w:r>
        <w:rPr>
          <w:rFonts w:ascii="Times New Roman" w:hAnsi="Times New Roman" w:eastAsia="宋体"/>
          <w:b w:val="0"/>
          <w:sz w:val="26"/>
        </w:rPr>
        <w:t xml:space="preserve">班　　级：计算机10班</w:t>
      </w:r>
    </w:p>
    <w:p>
      <w:pPr>
        <w:spacing w:before="0" w:after="200"/>
        <w:jc w:val="center"/>
      </w:pPr>
      <w:r>
        <w:rPr>
          <w:rFonts w:ascii="Times New Roman" w:hAnsi="Times New Roman" w:eastAsia="宋体"/>
          <w:b w:val="0"/>
          <w:sz w:val="26"/>
        </w:rPr>
        <w:t xml:space="preserve">完成日期：2026年9月23日</w:t>
      </w:r>
    </w:p>
    <w:p>
      <w:pPr>
        <w:spacing w:before="0" w:after="160"/>
      </w:pP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>1  实验概述</w:t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1.1  实验目的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实验从零实现字符级自回归语言模型，在CPU上学习下一字符预测。核心实现包括Q/K/V投影、多头因果注意力、残差连接、Pre-Norm、GELU前馈层、可学习位置嵌入和输入输出权重共享，未调用现成Transformer层，注意力结构原理参照文献[7]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通过2000步基线、八个1000步训练变体，以及温度、top-k和禁止重复3-gram的采样对照，分析模型容量、优化与生成策略之间的关系。结果显示，约50万参数的模型能快速拟合2163字符的小语料，但主要表现为原诗续写和记忆，尚不能据此认定具有原创作诗或对话能力。</w:t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1.2  实验环境</w:t>
      </w:r>
    </w:p>
    <w:p>
      <w:pPr>
        <w:keepNext/>
        <w:spacing w:before="80" w:after="160"/>
        <w:jc w:val="center"/>
      </w:pPr>
      <w:r>
        <w:rPr>
          <w:rFonts w:ascii="Arial" w:hAnsi="Arial" w:eastAsia="黑体"/>
          <w:b/>
          <w:sz w:val="21"/>
        </w:rPr>
        <w:t>表 1  实验环境清单</w:t>
      </w:r>
    </w:p>
    <w:tbl>
      <w:tblPr>
        <w:tblStyle w:val="TableGrid"/>
        <w:tblW w:w="8958" w:type="dxa"/>
        <w:jc w:val="center"/>
        <w:tblLook w:firstColumn="1" w:firstRow="1" w:lastColumn="0" w:lastRow="0" w:noHBand="0" w:noVBand="1" w:val="04A0"/>
        <w:tblLayout w:type="fixed"/>
      </w:tblPr>
      <w:tblGrid>
        <w:gridCol w:w="1800"/>
        <w:gridCol w:w="3500"/>
        <w:gridCol w:w="3658"/>
      </w:tblGrid>
      <w:tr>
        <w:trPr>
          <w:cantSplit/>
          <w:tblHeader/>
        </w:trPr>
        <w:tc>
          <w:tcPr>
            <w:tcW w:w="18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类别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名称 / 版本</w:t>
            </w:r>
          </w:p>
        </w:tc>
        <w:tc>
          <w:tcPr>
            <w:tcW w:w="36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w="18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操作系统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HPC Linux 5.4.0-100；本地Windows</w:t>
            </w:r>
          </w:p>
        </w:tc>
        <w:tc>
          <w:tcPr>
            <w:tcW w:w="36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正式训练在Slurm计算节点</w:t>
            </w:r>
          </w:p>
        </w:tc>
      </w:tr>
      <w:tr>
        <w:trPr>
          <w:cantSplit/>
        </w:trPr>
        <w:tc>
          <w:tcPr>
            <w:tcW w:w="18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CPU与线程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Xeon Platinum 8358 @2.60GHz</w:t>
            </w:r>
          </w:p>
        </w:tc>
        <w:tc>
          <w:tcPr>
            <w:tcW w:w="36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节点gpu4；每模型4线程</w:t>
            </w:r>
          </w:p>
        </w:tc>
      </w:tr>
      <w:tr>
        <w:trPr>
          <w:cantSplit/>
        </w:trPr>
        <w:tc>
          <w:tcPr>
            <w:tcW w:w="18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Python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正式3.10.20；本地核验3.11.16</w:t>
            </w:r>
          </w:p>
        </w:tc>
        <w:tc>
          <w:tcPr>
            <w:tcW w:w="36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生成原文使用正式环境</w:t>
            </w:r>
          </w:p>
        </w:tc>
      </w:tr>
      <w:tr>
        <w:trPr>
          <w:cantSplit/>
        </w:trPr>
        <w:tc>
          <w:tcPr>
            <w:tcW w:w="18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PyTorch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正式2.6.0+cu124；本地2.14.0+cpu</w:t>
            </w:r>
          </w:p>
        </w:tc>
        <w:tc>
          <w:tcPr>
            <w:tcW w:w="36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模型、数据均为CPU，无GPU申请</w:t>
            </w:r>
          </w:p>
        </w:tc>
      </w:tr>
      <w:tr>
        <w:trPr>
          <w:cantSplit/>
        </w:trPr>
        <w:tc>
          <w:tcPr>
            <w:tcW w:w="18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Matplotlib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3.10.9</w:t>
            </w:r>
          </w:p>
        </w:tc>
        <w:tc>
          <w:tcPr>
            <w:tcW w:w="36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保存逐组曲线与汇总图</w:t>
            </w:r>
          </w:p>
        </w:tc>
      </w:tr>
      <w:tr>
        <w:trPr>
          <w:cantSplit/>
        </w:trPr>
        <w:tc>
          <w:tcPr>
            <w:tcW w:w="18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AI助手</w:t>
            </w:r>
          </w:p>
        </w:tc>
        <w:tc>
          <w:tcPr>
            <w:tcW w:w="3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Codex</w:t>
            </w:r>
          </w:p>
        </w:tc>
        <w:tc>
          <w:tcPr>
            <w:tcW w:w="36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实现、解释、审查、运行与报告整理</w:t>
            </w:r>
          </w:p>
        </w:tc>
      </w:tr>
    </w:tbl>
    <w:p w:rsidR="0260923A" w:rsidRDefault="0260923A">
      <w:pPr>
        <w:keepLines/>
        <w:spacing w:after="50" w:line="40" w:lineRule="auto"/>
        <w:jc w:val="both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语料逐字提取自指南的72段诗文，含换行和标点共2163字符，去重词表699。正式训练未追加扩充语料；字符排序建立稳定索引，训练输入与标签错开一位。语料含宋、明、清等作品，不能把全部内容都称为唐诗。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本实验按指南使用小语料训练，未另设独立测试集。固定窗口loss仅评价训练语料拟合；不同实验的参数、曲线和原文均单独保存，避免同名文件覆盖。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>2  基线实验</w:t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2.1  基线设置</w:t>
      </w:r>
    </w:p>
    <w:p>
      <w:pPr>
        <w:keepNext/>
        <w:spacing w:before="80" w:after="160"/>
        <w:jc w:val="center"/>
      </w:pPr>
      <w:r>
        <w:rPr>
          <w:rFonts w:ascii="Arial" w:hAnsi="Arial" w:eastAsia="黑体"/>
          <w:b/>
          <w:sz w:val="21"/>
        </w:rPr>
        <w:t xml:space="preserve">表 2  基线模型与训练配置</w:t>
      </w:r>
    </w:p>
    <w:tbl>
      <w:tblPr>
        <w:tblStyle w:val="TableGrid"/>
        <w:tblW w:w="8958" w:type="dxa"/>
        <w:jc w:val="center"/>
        <w:tblLook w:firstColumn="1" w:firstRow="1" w:lastColumn="0" w:lastRow="0" w:noHBand="0" w:noVBand="1" w:val="04A0"/>
        <w:tblLayout w:type="fixed"/>
      </w:tblPr>
      <w:tblGrid>
        <w:gridCol w:w="3600"/>
        <w:gridCol w:w="5358"/>
      </w:tblGrid>
      <w:tr>
        <w:trPr>
          <w:cantSplit/>
          <w:tblHeader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项目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基线值</w:t>
            </w:r>
          </w:p>
        </w:tc>
      </w:tr>
      <w:tr>
        <w:trPr>
          <w:cantSplit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词表 V / 嵌入 C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699 / 128</w:t>
            </w:r>
          </w:p>
        </w:tc>
      </w:tr>
      <w:tr>
        <w:trPr>
          <w:cantSplit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注意力 H / 层数 L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4头（每头32维）/ 2层</w:t>
            </w:r>
          </w:p>
        </w:tc>
      </w:tr>
      <w:tr>
        <w:trPr>
          <w:cantSplit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上下文 T / MLP隐层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128 / 512（GELU）</w:t>
            </w:r>
          </w:p>
        </w:tc>
      </w:tr>
      <w:tr>
        <w:trPr>
          <w:cantSplit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优化器 / 学习率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AdamW / 0.001；weight_decay=0.01</w:t>
            </w:r>
          </w:p>
        </w:tc>
      </w:tr>
      <w:tr>
        <w:trPr>
          <w:cantSplit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批大小 / 更新次数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32 / 2000</w:t>
            </w:r>
          </w:p>
        </w:tc>
      </w:tr>
      <w:tr>
        <w:trPr>
          <w:cantSplit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随机种子 / 设备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42 / CPU，4线程</w:t>
            </w:r>
          </w:p>
        </w:tc>
      </w:tr>
      <w:tr>
        <w:trPr>
          <w:cantSplit/>
        </w:trPr>
        <w:tc>
          <w:tcPr>
            <w:tcW w:w="36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生成设置</w:t>
            </w:r>
          </w:p>
        </w:tc>
        <w:tc>
          <w:tcPr>
            <w:tcW w:w="535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temperature=1.0，top_k=20，新增200字符</w:t>
            </w:r>
          </w:p>
        </w:tc>
      </w:tr>
    </w:tbl>
    <w:p w:rsidR="0260923A" w:rsidRDefault="0260923A">
      <w:pPr>
        <w:keepLines/>
        <w:spacing w:after="50" w:line="40" w:lineRule="auto"/>
        <w:jc w:val="both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2.2  基线结果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精确参数量502,656；末步训练loss为0.029191；最后100步均值0.030087；最终固定训练窗口loss为0.023166。初始固定窗口loss为6.566851，接近ln(699)=6.549651；第1步批次loss为6.566773。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纯训练时间118.77秒，约1.98分钟，不含评估、绘图、保存及进程启动。正式作业10765共用4分36秒，最多三个模型并行；该作业总墙钟时间不能作为单模型耗时。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0" type="#_x0000_t75" style="width:330pt;height:188.57pt">
            <v:imagedata r:id="rId9" o:title="loss_curve_L2_E128_lr0.001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1  基线2000步训练曲线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loss快速下降后在低位波动。1000步快照的固定窗口loss为0.022845，略低于2000步的0.023166，因此继续训练没有带来稳定改善。</w:t>
      </w:r>
    </w:p>
    <w:p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 xml:space="preserve">基线生成原文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以下保留「春」「月」各两段完整输出，含提示字共201字符。换行沿用原文，末尾可能因固定生成长度而截断。</w:t>
      </w:r>
    </w:p>
    <w:p w:rsidR="0260923A" w:rsidRDefault="0260923A">
      <w:pPr>
        <w:keepNext/>
        <w:keepLines/>
        <w:spacing w:after="50" w:line="280" w:lineRule="auto"/>
        <w:jc w:val="both"/>
      </w:pPr>
      <w:r>
        <w:rPr>
          <w:rFonts w:ascii="Times New Roman" w:hAnsi="Times New Roman" w:eastAsia="宋体"/>
          <w:b/>
          <w:color w:val="000000"/>
          <w:sz w:val="21"/>
        </w:rPr>
        <w:t xml:space="preserve">提示词「春」　第1段　seed=1001</w:t>
      </w:r>
    </w:p>
    <w:p w:rsidR="0260923A" w:rsidRDefault="0260923A">
      <w:pPr>
        <w:keepLines/>
        <w:spacing w:after="90" w:line="240" w:lineRule="auto"/>
        <w:jc w:val="left"/>
      </w:pPr>
      <w:r>
        <w:rPr>
          <w:rFonts w:ascii="Times New Roman" w:hAnsi="Times New Roman" w:eastAsia="宋体"/>
          <w:color w:val="000000"/>
          <w:sz w:val="20"/>
        </w:rPr>
        <w:t xml:space="preserve">春晖。</w:t>
        <w:br/>
        <w:t xml:space="preserve">山重水复疑无路，柳暗花明又一村。莫笑农家腊酒浑，丰年留客足鸡豚。</w:t>
        <w:br/>
        <w:t xml:space="preserve">纸上得来终觉浅，绝知此事要躬行。古人学问无遗力，少壮功夫老始成。</w:t>
        <w:br/>
        <w:t xml:space="preserve">死去元知万事空，但悲不见九州同。王师北定中原日，家祭无忘告乃翁。</w:t>
        <w:br/>
        <w:t xml:space="preserve">小荷才露尖尖角，早有蜻蜓立上头。泉眼无声惜细流，树阴照水爱晴柔。</w:t>
        <w:br/>
        <w:t xml:space="preserve">接天莲叶无穷碧，映日荷花别样红。毕竟西湖六月中，风光不与四时同。</w:t>
        <w:br/>
        <w:t xml:space="preserve">胜日寻芳泗水滨，无边光景一时新。等闲识得东风面，万紫千红总是春。</w:t>
      </w:r>
    </w:p>
    <w:p w:rsidR="0260923A" w:rsidRDefault="0260923A">
      <w:pPr>
        <w:keepNext/>
        <w:keepLines/>
        <w:spacing w:after="50" w:line="280" w:lineRule="auto"/>
        <w:jc w:val="both"/>
      </w:pPr>
      <w:r>
        <w:rPr>
          <w:rFonts w:ascii="Times New Roman" w:hAnsi="Times New Roman" w:eastAsia="宋体"/>
          <w:b/>
          <w:color w:val="000000"/>
          <w:sz w:val="21"/>
        </w:rPr>
        <w:t xml:space="preserve">提示词「春」　第2段　seed=1002</w:t>
      </w:r>
    </w:p>
    <w:p w:rsidR="0260923A" w:rsidRDefault="0260923A">
      <w:pPr>
        <w:keepLines/>
        <w:spacing w:after="90" w:line="240" w:lineRule="auto"/>
        <w:jc w:val="left"/>
      </w:pPr>
      <w:r>
        <w:rPr>
          <w:rFonts w:ascii="Times New Roman" w:hAnsi="Times New Roman" w:eastAsia="宋体"/>
          <w:color w:val="000000"/>
          <w:sz w:val="20"/>
        </w:rPr>
        <w:t xml:space="preserve">春色来天地，玉垒浮云变古今。</w:t>
        <w:br/>
        <w:t xml:space="preserve">独怜幽草涧边生，上有黄鹂深树鸣。春潮带雨晚来急，野渡无人舟自横。</w:t>
        <w:br/>
        <w:t xml:space="preserve">天街小雨润如酥，草色遥看近却无。最是一年春好处，绝胜烟柳满皇都。</w:t>
        <w:br/>
        <w:t xml:space="preserve">昔人已乘黄鹤去，此地空余黄鹤楼。黄鹤一去不复返，白云千载空悠悠。</w:t>
        <w:br/>
        <w:t xml:space="preserve">晴川历历汉阳树，芳草萋萋鹦鹉洲。日暮乡关何处是，烟波江上使人愁。</w:t>
        <w:br/>
        <w:t xml:space="preserve">客舍青青柳色新，渭城朝雨浥轻尘。劝君更尽一杯酒，西出阳关无故人。</w:t>
        <w:br/>
        <w:t xml:space="preserve">寒雨连江夜入吴，平明送客楚山孤。洛阳亲友如</w:t>
      </w:r>
    </w:p>
    <w:p w:rsidR="0260923A" w:rsidRDefault="0260923A">
      <w:pPr>
        <w:keepNext/>
        <w:keepLines/>
        <w:spacing w:after="50" w:line="280" w:lineRule="auto"/>
        <w:jc w:val="both"/>
      </w:pPr>
      <w:r>
        <w:rPr>
          <w:rFonts w:ascii="Times New Roman" w:hAnsi="Times New Roman" w:eastAsia="宋体"/>
          <w:b/>
          <w:color w:val="000000"/>
          <w:sz w:val="21"/>
        </w:rPr>
        <w:t xml:space="preserve">提示词「月」　第1段　seed=1003</w:t>
      </w:r>
    </w:p>
    <w:p w:rsidR="0260923A" w:rsidRDefault="0260923A">
      <w:pPr>
        <w:keepLines/>
        <w:spacing w:after="90" w:line="240" w:lineRule="auto"/>
        <w:jc w:val="left"/>
      </w:pPr>
      <w:r>
        <w:rPr>
          <w:rFonts w:ascii="Times New Roman" w:hAnsi="Times New Roman" w:eastAsia="宋体"/>
          <w:color w:val="000000"/>
          <w:sz w:val="20"/>
        </w:rPr>
        <w:t xml:space="preserve">月两相和，潭面无风镜未磨。遥望洞庭山水翠，白银盘里一青螺。</w:t>
        <w:br/>
        <w:t xml:space="preserve">杨柳青青江水平，闻郎江上踏歌声。东边日出西边雨，道是无晴却有晴。</w:t>
        <w:br/>
        <w:t xml:space="preserve">自古逢秋悲寂寥，我言秋日胜春朝。晴空一鹤排云上，便引诗情到碧霄。</w:t>
        <w:br/>
        <w:t xml:space="preserve">前不见古人，后不见来者。念天地之悠悠，独怆然而涕下。</w:t>
        <w:br/>
        <w:t xml:space="preserve">葡萄美酒夜光杯，欲饮琵琶马上催。醉卧沙场君莫笑，古来征战几人回。</w:t>
        <w:br/>
        <w:t xml:space="preserve">黄河远上白云间，一片孤城万仞山。羌笛何须怨杨柳，春风不度玉门关。</w:t>
        <w:br/>
        <w:t xml:space="preserve">秦时明月汉时关，万里长征</w:t>
      </w:r>
    </w:p>
    <w:p w:rsidR="0260923A" w:rsidRDefault="0260923A">
      <w:pPr>
        <w:keepNext/>
        <w:keepLines/>
        <w:spacing w:after="50" w:line="280" w:lineRule="auto"/>
        <w:jc w:val="both"/>
      </w:pPr>
      <w:r>
        <w:rPr>
          <w:rFonts w:ascii="Times New Roman" w:hAnsi="Times New Roman" w:eastAsia="宋体"/>
          <w:b/>
          <w:color w:val="000000"/>
          <w:sz w:val="21"/>
        </w:rPr>
        <w:t xml:space="preserve">提示词「月」　第2段　seed=1004</w:t>
      </w:r>
    </w:p>
    <w:p w:rsidR="0260923A" w:rsidRDefault="0260923A">
      <w:pPr>
        <w:keepLines/>
        <w:spacing w:after="90" w:line="240" w:lineRule="auto"/>
        <w:jc w:val="left"/>
      </w:pPr>
      <w:r>
        <w:rPr>
          <w:rFonts w:ascii="Times New Roman" w:hAnsi="Times New Roman" w:eastAsia="宋体"/>
          <w:color w:val="000000"/>
          <w:sz w:val="20"/>
        </w:rPr>
        <w:t xml:space="preserve">月两相和，潭面无风镜未磨。遥望洞庭山水翠，白银盘里一青螺。</w:t>
        <w:br/>
        <w:t xml:space="preserve">杨柳青青江水平，闻郎江上踏歌声。东边日出西边雨，道是无晴却有晴。</w:t>
        <w:br/>
        <w:t xml:space="preserve">自古逢秋悲寂寥，我言秋日胜春朝。晴空一鹤排云上，便引诗情到碧霄。</w:t>
        <w:br/>
        <w:t xml:space="preserve">前不见古人，后不见来者。念天地之悠悠，独怆然而涕下。</w:t>
        <w:br/>
        <w:t xml:space="preserve">葡萄美酒夜光杯，欲饮琵琶马上催。醉卧沙场君莫笑，古来征战几人回。</w:t>
        <w:br/>
        <w:t xml:space="preserve">黄河远上白云间，一片孤城万仞山。羌笛何须怨杨柳，春风不度玉门关。</w:t>
        <w:br/>
        <w:t xml:space="preserve">秦时明月汉时关，万里长征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两段「月」虽然种子不同，却完全一致。句子通顺主要来自训练原文续写；不应把背诵当作新诗创作。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>3  参数量手算验证（必做）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近似公式：N ≈ V×C + T×C + L×12C²。输出层与词嵌入共享同一个Parameter，只计一次；近似式略去线性层偏置与LayerNorm参数。</w:t>
      </w:r>
    </w:p>
    <w:p>
      <w:pPr>
        <w:keepNext/>
        <w:spacing w:before="120" w:after="160"/>
        <w:jc w:val="center"/>
      </w:pPr>
      <w:r>
        <w:rPr>
          <w:rFonts w:ascii="Arial" w:hAnsi="Arial" w:eastAsia="黑体"/>
          <w:b/>
          <w:sz w:val="21"/>
        </w:rPr>
        <w:t>表 3  参数量手算与代码核对</w:t>
      </w:r>
    </w:p>
    <w:tbl>
      <w:tblPr>
        <w:tblStyle w:val="TableGrid"/>
        <w:tblW w:w="8958" w:type="dxa"/>
        <w:jc w:val="center"/>
        <w:tblLook w:firstColumn="1" w:firstRow="1" w:lastColumn="0" w:lastRow="0" w:noHBand="0" w:noVBand="1" w:val="04A0"/>
        <w:tblLayout w:type="fixed"/>
      </w:tblPr>
      <w:tblGrid>
        <w:gridCol w:w="1900"/>
        <w:gridCol w:w="3150"/>
        <w:gridCol w:w="1900"/>
        <w:gridCol w:w="2008"/>
      </w:tblGrid>
      <w:tr>
        <w:trPr>
          <w:cantSplit/>
          <w:tblHeader/>
        </w:trPr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模块</w:t>
            </w:r>
          </w:p>
        </w:tc>
        <w:tc>
          <w:tcPr>
            <w:tcW w:w="31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代入与计算</w:t>
            </w:r>
          </w:p>
        </w:tc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近似参数</w:t>
            </w:r>
          </w:p>
        </w:tc>
        <w:tc>
          <w:tcPr>
            <w:tcW w:w="200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代码参数</w:t>
            </w:r>
          </w:p>
        </w:tc>
      </w:tr>
      <w:tr>
        <w:trPr>
          <w:cantSplit/>
        </w:trPr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词嵌入及共享输出</w:t>
            </w:r>
          </w:p>
        </w:tc>
        <w:tc>
          <w:tcPr>
            <w:tcW w:w="31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699×128</w:t>
            </w:r>
          </w:p>
        </w:tc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89,472</w:t>
            </w:r>
          </w:p>
        </w:tc>
        <w:tc>
          <w:tcPr>
            <w:tcW w:w="200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89,472</w:t>
            </w:r>
          </w:p>
        </w:tc>
      </w:tr>
      <w:tr>
        <w:trPr>
          <w:cantSplit/>
        </w:trPr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位置嵌入</w:t>
            </w:r>
          </w:p>
        </w:tc>
        <w:tc>
          <w:tcPr>
            <w:tcW w:w="31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128×128</w:t>
            </w:r>
          </w:p>
        </w:tc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16,384</w:t>
            </w:r>
          </w:p>
        </w:tc>
        <w:tc>
          <w:tcPr>
            <w:tcW w:w="200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16,384</w:t>
            </w:r>
          </w:p>
        </w:tc>
      </w:tr>
      <w:tr>
        <w:trPr>
          <w:cantSplit/>
        </w:trPr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两层Transformer</w:t>
            </w:r>
          </w:p>
        </w:tc>
        <w:tc>
          <w:tcPr>
            <w:tcW w:w="31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2×12×128²</w:t>
            </w:r>
          </w:p>
        </w:tc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393,216</w:t>
            </w:r>
          </w:p>
        </w:tc>
        <w:tc>
          <w:tcPr>
            <w:tcW w:w="200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396,544</w:t>
            </w:r>
          </w:p>
        </w:tc>
      </w:tr>
      <w:tr>
        <w:trPr>
          <w:cantSplit/>
        </w:trPr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最终LayerNorm</w:t>
            </w:r>
          </w:p>
        </w:tc>
        <w:tc>
          <w:tcPr>
            <w:tcW w:w="31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2×128（近似式忽略）</w:t>
            </w:r>
          </w:p>
        </w:tc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</w:t>
            </w:r>
          </w:p>
        </w:tc>
        <w:tc>
          <w:tcPr>
            <w:tcW w:w="200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256</w:t>
            </w:r>
          </w:p>
        </w:tc>
      </w:tr>
      <w:tr>
        <w:trPr>
          <w:cantSplit/>
        </w:trPr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合计</w:t>
            </w:r>
          </w:p>
        </w:tc>
        <w:tc>
          <w:tcPr>
            <w:tcW w:w="31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89,472+16,384+393,216</w:t>
            </w:r>
          </w:p>
        </w:tc>
        <w:tc>
          <w:tcPr>
            <w:tcW w:w="19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499,072</w:t>
            </w:r>
          </w:p>
        </w:tc>
        <w:tc>
          <w:tcPr>
            <w:tcW w:w="200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502,656</w:t>
            </w:r>
          </w:p>
        </w:tc>
      </w:tr>
    </w:tbl>
    <w:p w:rsidR="0260923A" w:rsidRDefault="0260923A">
      <w:pPr>
        <w:keepLines/>
        <w:spacing w:after="50" w:line="40" w:lineRule="auto"/>
        <w:jc w:val="both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每层注意力权重为4C²，MLP权重为8C²；额外13C由注意力偏置4C、MLP偏置5C、两处LayerNorm的4C组成。精确式为 V×C + T×C + L×(12C²+13C) + 2C。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基线差额为2×13×128+2×128=3,584，相对代码值误差3,584÷502,656≈0.713%，满足小于1%的要求。共享关系和sum(p.numel())均经实际执行核对，输出见附录。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>4  对照实验（控制变量）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exp1—exp5每种设置统一训练1000步，并与同一基线的1000步快照比较。所有组使用原始语料、batch32、seed42及相同优化器设置；表4的“最终loss”统一指末步批次loss。辅助比较使用固定训练窗口loss，避免单个随机批次误导排序。1000步基线末步loss为0.027142，固定窗口loss为0.022845，纯训练59.92秒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两项限制需要保留：宽度组按指南同时调整头数，维持每头32维；T=32组每步仅处理1024字符，为基线4096字符的四分之一。因此同更新次数不等于同token数或同计算量。</w:t>
      </w:r>
    </w:p>
    <w:p>
      <w:pPr>
        <w:keepNext/>
        <w:spacing w:before="120" w:after="160"/>
        <w:jc w:val="center"/>
      </w:pPr>
      <w:r>
        <w:rPr>
          <w:rFonts w:ascii="Arial" w:hAnsi="Arial" w:eastAsia="黑体"/>
          <w:b/>
          <w:sz w:val="21"/>
        </w:rPr>
        <w:t>表 4  对照实验设计与结果记录表</w:t>
      </w:r>
    </w:p>
    <w:tbl>
      <w:tblPr>
        <w:tblStyle w:val="TableGrid"/>
        <w:tblW w:w="8958" w:type="dxa"/>
        <w:jc w:val="center"/>
        <w:tblLook w:firstColumn="1" w:firstRow="1" w:lastColumn="0" w:lastRow="0" w:noHBand="0" w:noVBand="1" w:val="04A0"/>
        <w:tblLayout w:type="fixed"/>
      </w:tblPr>
      <w:tblGrid>
        <w:gridCol w:w="620"/>
        <w:gridCol w:w="1120"/>
        <w:gridCol w:w="1030"/>
        <w:gridCol w:w="1190"/>
        <w:gridCol w:w="1250"/>
        <w:gridCol w:w="700"/>
        <w:gridCol w:w="3048"/>
      </w:tblGrid>
      <w:tr>
        <w:trPr>
          <w:cantSplit/>
          <w:tblHeader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编号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对照维度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基线值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实验值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末步loss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质量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现象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exp1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学习率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0.001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0.01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0.101520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2/5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后期波动、重复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exp1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学习率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0.001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0.0001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0.623159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收敛慢、错接多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exp2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层数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2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0.029868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3/5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较快，局部错接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exp2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层数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2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4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0.032410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4/5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更慢，收益有限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exp3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宽度/头数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128/4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64/2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0.049458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2/5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容量小，错误多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exp3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宽度/头数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128/4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256/8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0.030819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4/5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拟合更好，仍背诵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exp4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上下文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128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32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0.107180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3/5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短上下文且token少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exp5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位置嵌入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有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无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0.032457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3/5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仍成句，错接增多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exp6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采样温度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1.0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0.5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不重训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4/5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趋向原诗续写</w:t>
            </w:r>
          </w:p>
        </w:tc>
      </w:tr>
      <w:tr>
        <w:trPr>
          <w:cantSplit/>
        </w:trPr>
        <w:tc>
          <w:tcPr>
            <w:tcW w:w="6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exp6</w:t>
            </w:r>
          </w:p>
        </w:tc>
        <w:tc>
          <w:tcPr>
            <w:tcW w:w="11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采样温度</w:t>
            </w:r>
          </w:p>
        </w:tc>
        <w:tc>
          <w:tcPr>
            <w:tcW w:w="103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1.0</w:t>
            </w:r>
          </w:p>
        </w:tc>
        <w:tc>
          <w:tcPr>
            <w:tcW w:w="11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1.5</w:t>
            </w:r>
          </w:p>
        </w:tc>
        <w:tc>
          <w:tcPr>
            <w:tcW w:w="125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不重训</w:t>
            </w:r>
          </w:p>
        </w:tc>
        <w:tc>
          <w:tcPr>
            <w:tcW w:w="7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2/5</w:t>
            </w:r>
          </w:p>
        </w:tc>
        <w:tc>
          <w:tcPr>
            <w:tcW w:w="304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19"/>
              </w:rPr>
              <w:t xml:space="preserve">错误拼接增多</w:t>
            </w:r>
          </w:p>
        </w:tc>
      </w:tr>
    </w:tbl>
    <w:p w:rsidR="0260923A" w:rsidRDefault="0260923A">
      <w:pPr>
        <w:keepLines/>
        <w:spacing w:after="50" w:line="40" w:lineRule="auto"/>
        <w:jc w:val="both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星级以“得分/5”表示，由Codex整理报告时对保存的全部样本按稳定性综合主观评阅：1=多数不连贯；2=可读程度不稳定，存在大段破碎或明显拼接；3=多数局部可读但有明显错接；4=局部续写稳定、少量错误；5=局部及整体连贯且无明显异常。基线1000步和2000步均为4/5。该评级不等同于原创性或人类盲评。</w:t>
      </w:r>
    </w:p>
    <w:p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4.1  实验 1：学习率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1" type="#_x0000_t75" style="width:435pt;height:124.29pt">
            <v:imagedata r:id="rId10" o:title="curves_lr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2  学习率0.01（左）与0.0001（右）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0.01组末步loss为0.101520、固定窗口loss为0.090003，明显高于同为1000步的基线0.022845；曲线下降后有反复波动，但没有NaN或持续发散。原文出现“苍苍苍苍苍竹林寺”等重复，不应为迎合预期而写成数值发散。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0.0001组末步loss为0.623159，最后100步均值0.724663，说明学习率过小使固定预算内拟合较慢，文本存在较多破碎拼接。三种学习率使用相同初始化，初始loss均接近6.55；本条件下0.001更合适。</w:t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4.2  实验 2：层数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2" type="#_x0000_t75" style="width:435pt;height:124.29pt">
            <v:imagedata r:id="rId11" o:title="curves_layers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3  1层（左）与4层（右）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1层和4层的末步loss分别为0.029868和0.032410，差0.002542；固定窗口loss分别为0.027899和0.027648，均略高于2层基线1000步的0.022845。不同口径下排序不同，所以不能只凭最后一个批次判断优劣。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参数量由304,384增至899,200，纯训练由34.62秒增至107.71秒，约3.11倍。4层样本局部更稳定，但仍有错接；在此小语料和1000步预算下，加深没有带来明显的拟合收益。</w:t>
      </w:r>
    </w:p>
    <w:p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4.3  实验 3：嵌入维度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3" type="#_x0000_t75" style="width:435pt;height:124.29pt">
            <v:imagedata r:id="rId12" o:title="curves_width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4  C64/H2（左）与C256/H8（右）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C从64增至256时，参数量由153,024增至1,791,744，约11.71倍；纯训练由30.26秒增至141.65秒，约4.68倍。注意力及MLP主项按C²增加16倍，但嵌入的线性项也占一定比例，故总参数不恰好为16倍。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固定窗口loss由0.046519降至0.020955，大模型优于基线1000步的0.022845；原文局部完整性也较好。不过仍主要续写已见诗句，部分片段有错接。参数和时间增长不能解释为等比例的创作质量提升。</w:t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4.4  实验 4：上下文长度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4" type="#_x0000_t75" style="width:280pt;height:160.00pt">
            <v:imagedata r:id="rId13" o:title="loss_curve_L2_E128_lr0.001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5  上下文T=32的1000步训练曲线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T=32组末步loss为0.107180，固定窗口loss为0.090093，纯训练16.15秒。仍能输出局部诗句，但可见“滚滚滚滚滚来”等重复和句间跳转；没有开展音韵标注，不能据主观阅读断言押韵率降低了多少。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较短上下文减少可利用的历史信息，也使1000步训练字符总量降至1,024,000，而T=128组为4,096,000。当前差异同时包含上下文和学习预算的影响；若研究上下文的纯效果，应再匹配训练token数并使用统一评价条件。</w:t>
      </w:r>
    </w:p>
    <w:p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4.5  实验 5：位置编码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5" type="#_x0000_t75" style="width:400pt;height:228.57pt">
            <v:imagedata r:id="rId14" o:title="loss_curve_no_pos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6  去掉位置嵌入后的1000步训练曲线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无位置嵌入组参数量486,272，正好减少128×128=16,384。末步loss为0.032457，固定窗口loss为0.027912，纯训练51.95秒。loss仍很低，表明模型能学习局部搭配和语料续接，并未完全失去语言结构。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生成中既有完整诗句，也有“愿君歌白日绮窗前”“昔人已乘黄鹤楼。黄鹤去”等错接，整体评级3/5。因果掩码仍限定每个位置只能访问前缀，故模型不能简单视为完全没有顺序信息；位置嵌入是显式位置表示，而不是唯一可能的位置线索。</w:t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 xml:space="preserve">对照结果的解释范围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以上均为单个训练种子、同一极小语料的结果。不同结构可能改变初始化随机数消耗；同seed不能保证所有共享层具有相同初值。计时受并发任务与节点负载影响，例如高学习率组较慢不能归因于学习率本身增加了理论运算量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基线1000步已能较好拟合；4层没有稳定胜过2层，加宽虽降低拟合loss但成本较高。对于本次教学目的，2层、128维、学习率0.001已提供较好的成本与效果平衡。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>5  采样分析（温度与 top-k）</w:t>
      </w:r>
    </w:p>
    <w:p>
      <w:pPr>
        <w:keepNext/>
        <w:keepLines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5.1  采样实验记录</w:t>
      </w:r>
    </w:p>
    <w:p>
      <w:pPr>
        <w:keepNext/>
        <w:spacing w:before="80" w:after="160"/>
        <w:jc w:val="center"/>
      </w:pPr>
      <w:r>
        <w:rPr>
          <w:rFonts w:ascii="Arial" w:hAnsi="Arial" w:eastAsia="黑体"/>
          <w:b/>
          <w:sz w:val="21"/>
        </w:rPr>
        <w:t>表 5  采样实验记录表（固定基线模型与提示词「春」，每组贴 2~3 句原文）</w:t>
      </w:r>
    </w:p>
    <w:tbl>
      <w:tblPr>
        <w:tblStyle w:val="TableGrid"/>
        <w:tblW w:w="8958" w:type="dxa"/>
        <w:jc w:val="center"/>
        <w:tblLook w:firstColumn="1" w:firstRow="1" w:lastColumn="0" w:lastRow="0" w:noHBand="0" w:noVBand="1" w:val="04A0"/>
        <w:tblLayout w:type="fixed"/>
      </w:tblPr>
      <w:tblGrid>
        <w:gridCol w:w="520"/>
        <w:gridCol w:w="680"/>
        <w:gridCol w:w="780"/>
        <w:gridCol w:w="4340"/>
        <w:gridCol w:w="2638"/>
      </w:tblGrid>
      <w:tr>
        <w:trPr>
          <w:cantSplit/>
          <w:tblHeader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组号</w:t>
            </w:r>
          </w:p>
        </w:tc>
        <w:tc>
          <w:tcPr>
            <w:tcW w:w="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温度</w:t>
            </w:r>
          </w:p>
        </w:tc>
        <w:tc>
          <w:tcPr>
            <w:tcW w:w="7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top-k</w:t>
            </w:r>
          </w:p>
        </w:tc>
        <w:tc>
          <w:tcPr>
            <w:tcW w:w="4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春提示原文摘录</w:t>
            </w:r>
          </w:p>
        </w:tc>
        <w:tc>
          <w:tcPr>
            <w:tcW w:w="263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观察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</w:t>
            </w:r>
          </w:p>
        </w:tc>
        <w:tc>
          <w:tcPr>
            <w:tcW w:w="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</w:t>
            </w:r>
          </w:p>
        </w:tc>
        <w:tc>
          <w:tcPr>
            <w:tcW w:w="7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20</w:t>
            </w:r>
          </w:p>
        </w:tc>
        <w:tc>
          <w:tcPr>
            <w:tcW w:w="4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春晖。</w:t>
              <w:br/>
              <w:t xml:space="preserve">山重水复疑无路，柳暗花明又一村。莫笑农家腊酒浑，丰年留客足鸡豚。</w:t>
            </w:r>
          </w:p>
        </w:tc>
        <w:tc>
          <w:tcPr>
            <w:tcW w:w="263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原诗连续续写，春样本无段内重复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</w:t>
            </w:r>
          </w:p>
        </w:tc>
        <w:tc>
          <w:tcPr>
            <w:tcW w:w="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0.5</w:t>
            </w:r>
          </w:p>
        </w:tc>
        <w:tc>
          <w:tcPr>
            <w:tcW w:w="7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20</w:t>
            </w:r>
          </w:p>
        </w:tc>
        <w:tc>
          <w:tcPr>
            <w:tcW w:w="4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春草明年绿，王孙归不归。</w:t>
              <w:br/>
              <w:t xml:space="preserve">花间一壶酒，独酌无相亲。举杯邀明月，对影成三人。</w:t>
            </w:r>
          </w:p>
        </w:tc>
        <w:tc>
          <w:tcPr>
            <w:tcW w:w="263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续写路径改变，仍主要背诵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3</w:t>
            </w:r>
          </w:p>
        </w:tc>
        <w:tc>
          <w:tcPr>
            <w:tcW w:w="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1.5</w:t>
            </w:r>
          </w:p>
        </w:tc>
        <w:tc>
          <w:tcPr>
            <w:tcW w:w="7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20</w:t>
            </w:r>
          </w:p>
        </w:tc>
        <w:tc>
          <w:tcPr>
            <w:tcW w:w="4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春来发几枝。愿君歌声。愿君多采撷，此物最相思。</w:t>
            </w:r>
          </w:p>
        </w:tc>
        <w:tc>
          <w:tcPr>
            <w:tcW w:w="263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出现“愿君歌声”等错接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4</w:t>
            </w:r>
          </w:p>
        </w:tc>
        <w:tc>
          <w:tcPr>
            <w:tcW w:w="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</w:t>
            </w:r>
          </w:p>
        </w:tc>
        <w:tc>
          <w:tcPr>
            <w:tcW w:w="7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</w:r>
          </w:p>
        </w:tc>
        <w:tc>
          <w:tcPr>
            <w:tcW w:w="4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春晖。</w:t>
              <w:br/>
              <w:t xml:space="preserve">山重水复疑无路，柳暗花明又一村。莫笑农家腊酒浑，丰年留客足鸡豚。</w:t>
            </w:r>
          </w:p>
        </w:tc>
        <w:tc>
          <w:tcPr>
            <w:tcW w:w="263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春、月不变，山样本改变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5</w:t>
            </w:r>
          </w:p>
        </w:tc>
        <w:tc>
          <w:tcPr>
            <w:tcW w:w="6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1.0</w:t>
            </w:r>
          </w:p>
        </w:tc>
        <w:tc>
          <w:tcPr>
            <w:tcW w:w="78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699</w:t>
            </w:r>
          </w:p>
        </w:tc>
        <w:tc>
          <w:tcPr>
            <w:tcW w:w="434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春晖。</w:t>
              <w:br/>
              <w:t xml:space="preserve">山重水复疑无路，柳暗花明又一村。莫笑农家腊酒浑，丰年留客足鸡豚。</w:t>
            </w:r>
          </w:p>
        </w:tc>
        <w:tc>
          <w:tcPr>
            <w:tcW w:w="263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三段均与k20完全相同</w:t>
            </w:r>
          </w:p>
        </w:tc>
      </w:tr>
    </w:tbl>
    <w:p w:rsidR="0260923A" w:rsidRDefault="0260923A">
      <w:pPr>
        <w:keepLines/>
        <w:spacing w:after="50" w:line="40" w:lineRule="auto"/>
        <w:jc w:val="both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五组均固定2000步基线模型，每组使用提示「春、月、山」，种子依次1001、1002、1003，各生成200个新字符。表5展示春提示前3句（首句可能是短残句），完整原文全部保存在results/sampling。top-k=699相当于不截断。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基线原文展示的月提示种子为1003、1004；本节月提示固定1002。两套样本用途不同，采样策略之间的比较只使用本节统一的提示和种子。</w:t>
      </w:r>
    </w:p>
    <w:p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>5.2  生成对比分析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6" type="#_x0000_t75" style="width:435pt;height:347.40pt">
            <v:imagedata r:id="rId15" o:title="sampling_excerpt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7  保存的生成原文摘录排版（春，seed=1001）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低温0.5更偏向高概率续接，输出较稳定；温度1.5增加低概率字符被选中的机会，产生“独放松，周星垂平明月中”等不连贯片段。高温带来的变化并不等于高质量新意。本次T=1.0、k20与不截断的三段逐字相同，可能反映模型在小语料上概率分布十分集中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以稳定展示诗句续写为目标，我倾向保留temperature=1.0、top-k=20：文本局部通顺，且比低温保留更多可选择路径。该选择是本批样本的折中，未证明是全局最优；若强调原创性，单改采样策略不足以克服小语料记忆。</w:t>
      </w:r>
    </w:p>
    <w:p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color w:val="1F2937"/>
          <w:sz w:val="26"/>
        </w:rPr>
        <w:t xml:space="preserve">5.3  选做 禁止重复3-gram与定量补充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在同一最终基线上，仅增加no_repeat_ngram=3，禁止选择会使已有三字符片段再次出现的下一字符。模型、提示、种子、温度1.0和top-k20保持不变。该约束在采样时生效，不涉及重训。</w:t>
      </w:r>
    </w:p>
    <w:p w:rsidR="0260923A" w:rsidRDefault="0260923A">
      <w:pPr>
        <w:keepNext/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表 6  三个固定提示的平均字符统计</w:t>
      </w:r>
    </w:p>
    <w:tbl>
      <w:tblPr>
        <w:tblStyle w:val="TableGrid"/>
        <w:tblW w:w="8958" w:type="dxa"/>
        <w:jc w:val="center"/>
        <w:tblLook w:firstColumn="1" w:firstRow="1" w:lastColumn="0" w:lastRow="0" w:noHBand="0" w:noVBand="1" w:val="04A0"/>
        <w:tblLayout w:type="fixed"/>
      </w:tblPr>
      <w:tblGrid>
        <w:gridCol w:w="3090"/>
        <w:gridCol w:w="1956"/>
        <w:gridCol w:w="1956"/>
        <w:gridCol w:w="1956"/>
      </w:tblGrid>
      <w:tr>
        <w:trPr>
          <w:cantSplit/>
          <w:tblHeader/>
        </w:trPr>
        <w:tc>
          <w:tcPr>
            <w:tcW w:w="30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采样设置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段内3-gram重复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语料10-gram匹配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不同字符占比</w:t>
            </w:r>
          </w:p>
        </w:tc>
      </w:tr>
      <w:tr>
        <w:trPr>
          <w:cantSplit/>
        </w:trPr>
        <w:tc>
          <w:tcPr>
            <w:tcW w:w="30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T1.0 / k20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0.34%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100.00%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68.67%</w:t>
            </w:r>
          </w:p>
        </w:tc>
      </w:tr>
      <w:tr>
        <w:trPr>
          <w:cantSplit/>
        </w:trPr>
        <w:tc>
          <w:tcPr>
            <w:tcW w:w="30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T0.5 / k20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0.34%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99.83%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69.33%</w:t>
            </w:r>
          </w:p>
        </w:tc>
      </w:tr>
      <w:tr>
        <w:trPr>
          <w:cantSplit/>
        </w:trPr>
        <w:tc>
          <w:tcPr>
            <w:tcW w:w="30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T1.5 / k20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2.19%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65.45%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66.50%</w:t>
            </w:r>
          </w:p>
        </w:tc>
      </w:tr>
      <w:tr>
        <w:trPr>
          <w:cantSplit/>
        </w:trPr>
        <w:tc>
          <w:tcPr>
            <w:tcW w:w="30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T1.0 / k5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0.34%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100.00%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72.83%</w:t>
            </w:r>
          </w:p>
        </w:tc>
      </w:tr>
      <w:tr>
        <w:trPr>
          <w:cantSplit/>
        </w:trPr>
        <w:tc>
          <w:tcPr>
            <w:tcW w:w="30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T1.0 / k699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0.34%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100.00%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68.67%</w:t>
            </w:r>
          </w:p>
        </w:tc>
      </w:tr>
      <w:tr>
        <w:trPr>
          <w:cantSplit/>
        </w:trPr>
        <w:tc>
          <w:tcPr>
            <w:tcW w:w="309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T1.0 / k20 / 禁止3-gram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0.00%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93.72%</w:t>
            </w:r>
          </w:p>
        </w:tc>
        <w:tc>
          <w:tcPr>
            <w:tcW w:w="1956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 xml:space="preserve">68.67%</w:t>
            </w:r>
          </w:p>
        </w:tc>
      </w:tr>
    </w:tbl>
    <w:p w:rsidR="0260923A" w:rsidRDefault="0260923A">
      <w:pPr>
        <w:keepLines/>
        <w:spacing w:after="50" w:line="40" w:lineRule="auto"/>
        <w:jc w:val="both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统计仅使用新增200字符，保留标点和换行。段内重复率=1−不同三元组数量/三元组总数；10-gram匹配率指生成的连续10字符片段在训练语料中出现的比例；不同字符占比=不同字符数/200。三项均按每段计算后取平均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基线采样段内重复已很少，禁止3-gram仅将0.34%降到0%，绝对改善约0.34个百分点；同时原文出现“千尺多烦忧”“抽刀断楚江水复疑是银河落九天”等拼接，主观评级从4/5降至3/5。可见强制消除重复不保证语言质量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温度1.5的语料10-gram匹配率降至65.45%，但不同字符占比反而降至66.50%，同时重复率升至2.19%。因此不能把任何单一指标直接当作多样性或原创性的完整度量。普通温度组接近100%的匹配率，更支持“记忆训练语料”的解释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上述重复率不衡量不同样本之间的相同程度：第2节两段月输出完全相同，段内重复率仍可为0%。本实验没有独立测试集、语义一致性自动评价或多人盲评，所有质量结论限于保存的这些样本。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 xml:space="preserve">6  AI 协作记录（Codex 使用情况）</w:t>
      </w:r>
    </w:p>
    <w:p>
      <w:pPr>
        <w:keepNext/>
        <w:spacing w:before="120" w:after="160"/>
        <w:jc w:val="center"/>
      </w:pPr>
      <w:r>
        <w:rPr>
          <w:rFonts w:ascii="Arial" w:hAnsi="Arial" w:eastAsia="黑体"/>
          <w:b/>
          <w:sz w:val="21"/>
        </w:rPr>
        <w:t xml:space="preserve">表 7  Codex 协作过程记录</w:t>
      </w:r>
    </w:p>
    <w:tbl>
      <w:tblPr>
        <w:tblStyle w:val="TableGrid"/>
        <w:tblW w:w="8958" w:type="dxa"/>
        <w:jc w:val="center"/>
        <w:tblLook w:firstColumn="1" w:firstRow="1" w:lastColumn="0" w:lastRow="0" w:noHBand="0" w:noVBand="1" w:val="04A0"/>
        <w:tblLayout w:type="fixed"/>
      </w:tblPr>
      <w:tblGrid>
        <w:gridCol w:w="520"/>
        <w:gridCol w:w="1500"/>
        <w:gridCol w:w="3420"/>
        <w:gridCol w:w="3518"/>
      </w:tblGrid>
      <w:tr>
        <w:trPr>
          <w:cantSplit/>
          <w:tblHeader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序号</w:t>
            </w:r>
          </w:p>
        </w:tc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协作场景</w:t>
            </w:r>
          </w:p>
        </w:tc>
        <w:tc>
          <w:tcPr>
            <w:tcW w:w="34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我的要求与操作</w:t>
            </w:r>
          </w:p>
        </w:tc>
        <w:tc>
          <w:tcPr>
            <w:tcW w:w="351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Codex辅助及处理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任务拆解与交付顺序</w:t>
            </w:r>
          </w:p>
        </w:tc>
        <w:tc>
          <w:tcPr>
            <w:tcW w:w="34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提供实验三指导书,要求“辅助我完成”;样板更新后明确“先把代码写出来”——先交付可运行代码、测试与原始结果,报告随后整理,不提前写结论。</w:t>
            </w:r>
          </w:p>
        </w:tc>
        <w:tc>
          <w:tcPr>
            <w:tcW w:w="351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读取 12 页指南,核对 72 段诗文、2163 字符、699 词表,按“数据→注意力→模型→训练→采样”分阶段实现并给出分子模块阅读入口;我据此确认 CPU 训练、2000 步基线、八个 1000 步变体的框架。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关键实现原理的核对</w:t>
            </w:r>
          </w:p>
        </w:tc>
        <w:tc>
          <w:tcPr>
            <w:tcW w:w="34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要求逐段讲解容易写错的地方,并给出可自检的判据:标签错开一位、Q/K/V 由 (B,T,C) 到 (B,H,T,C/H) 的轴变换、因果掩码在 softmax 前填 −∞、输出层与词嵌入必须共享同一个 Parameter。</w:t>
            </w:r>
          </w:p>
        </w:tc>
        <w:tc>
          <w:tcPr>
            <w:tcW w:w="351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逐段解释并在代码中标注阶段入口;测试覆盖未来 token 不影响过去输出及其梯度、权重共享对象一致、有无位置嵌入两种情况下的因果性,我逐项确认后采用。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长时训练的可靠性审查</w:t>
            </w:r>
          </w:p>
        </w:tc>
        <w:tc>
          <w:tcPr>
            <w:tcW w:w="34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要求说明 HPC 训练中断后会怎样,并明确“确保 HPC 正常收尾关闭”。</w:t>
            </w:r>
          </w:p>
        </w:tc>
        <w:tc>
          <w:tcPr>
            <w:tcW w:w="351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独立审查发现强制退出后锁残留、完成标记未校验产物两处隐患,改为系统文件锁、必需产物 SHA256 清单与原子保存;复核强制中断 250 步后恢复,其逐步 loss、评估与所有权重与连续训练完全一致。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运行与资源限制处理</w:t>
            </w:r>
          </w:p>
        </w:tc>
        <w:tc>
          <w:tcPr>
            <w:tcW w:w="34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明确只用 CPU、不申请 GPU;要求记录真实训练耗时,不把作业墙钟时间当作单模型耗时。</w:t>
            </w:r>
          </w:p>
        </w:tc>
        <w:tc>
          <w:tcPr>
            <w:tcW w:w="351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先在 Slurm 计算节点实测 4 线程 CPU 速度;9 任务数组触及 QOS 提交数限制,改在单个 12CPU 作业内最多并行 3 个训练进程;作业 10765 COMPLETED、退出码 0:0,队列已清空。</w:t>
            </w:r>
          </w:p>
        </w:tc>
      </w:tr>
      <w:tr>
        <w:trPr>
          <w:cantSplit/>
        </w:trPr>
        <w:tc>
          <w:tcPr>
            <w:tcW w:w="5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w="150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复查、评价口径与报告整理</w:t>
            </w:r>
          </w:p>
        </w:tc>
        <w:tc>
          <w:tcPr>
            <w:tcW w:w="3420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要求“再次检查代码、数据等,完成实验报告,同步代码仓库”;强调末步 loss 不能单独用于排序,须与固定训练窗口 loss 并列;不符合预期的结果不得删改。</w:t>
            </w:r>
          </w:p>
        </w:tc>
        <w:tc>
          <w:tcPr>
            <w:tcW w:w="3518" w:type="dxa"/>
            <w:vAlign w:val="center"/>
            <w:tcMar>
              <w:top w:w="65" w:type="dxa"/>
              <w:bottom w:w="65" w:type="dxa"/>
              <w:left w:w="80" w:type="dxa"/>
              <w:right w:w="80" w:type="dxa"/>
            </w:tcMar>
          </w:tcPr>
          <w:p w:rsidR="0260923A" w:rsidRDefault="0260923A">
            <w:pPr>
              <w:keepLines/>
              <w:spacing w:after="0" w:line="250" w:lineRule="auto"/>
              <w:jc w:val="left"/>
            </w:pPr>
            <w:r>
              <w:rPr>
                <w:rFonts w:ascii="Times New Roman" w:hAnsi="Times New Roman" w:eastAsia="宋体"/>
                <w:color w:val="000000"/>
                <w:sz w:val="20"/>
              </w:rPr>
              <w:t>复查 6 项测试、47 项产物哈希、9 个模型与 1000 步快照重放、58 段原文及采样统计;补充第 901—1000 步 loss 均值与快照签名;保留高温错接、禁止 3-gram 造成拼接等负面结果,并按新版样板补齐章节、图与表。</w:t>
            </w:r>
          </w:p>
        </w:tc>
      </w:tr>
    </w:tbl>
    <w:p w:rsidR="0260923A" w:rsidRDefault="0260923A">
      <w:pPr>
        <w:keepLines/>
        <w:spacing w:after="50" w:line="40" w:lineRule="auto"/>
        <w:jc w:val="both"/>
      </w:pPr>
      <w:r>
        <w:rPr>
          <w:rFonts w:ascii="Times New Roman" w:hAnsi="Times New Roman" w:eastAsia="宋体"/>
          <w:color w:val="000000"/>
          <w:sz w:val="2"/>
        </w:rPr>
        <w:t xml:space="preserve"/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本次协作中,我负责确定课程目标、交付顺序与验收口径:先用 CPU 跑通 2000 步基线,再以统一的 batch32、seed42 展开八个 1000 步变体,最后做采样对照;Codex 承担具体代码实现、运行编排、独立审查和报告整理。代码中提供分段阅读入口,协作记录覆盖需求、实现、审查和结果整理四个阶段,完整过程保存在仓库的 AI_COLLABORATION.md 中。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工程层面的主要收获来自审查而非生成。Codex 在独立审查中发现强制退出后锁残留、完成标记未校验产物、从其他目录启动时相对输出路径不一致等问题,改用系统文件锁、必需产物 SHA256 清单与原子模型保存,并补充 1000 步快照签名。我对“强制中断 250 步后恢复”的复核结果逐项确认:续训与连续训练在逐步 loss、评估指标和全部权重上完全一致。这类检查比观察生成结果更能暴露实现错误。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评价口径由我把关。末步批次 loss 会受单个随机批次影响,因此我要求所有排序同时给出固定训练窗口 loss,并与 1000 步快照对照;报告保留高温采样错接、禁止 3-gram 反而降低可读性等不符合预期的结果,不把训练 loss 很低解释为泛化能力,也不把原诗续写当作原创能力。星级评级只按样本稳定性打分,其主观性已在正文注明,评级依据保存在 report/quality_ratings.json。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对我而言,判断 AI 输出是否可靠的关键是能解释模型原理与评价口径:低 loss 是否只来自记忆、单变量是否真的保持了相同预算,以及生成原文是否支持结论。要求 AI 提供可核对的依据(参数计数实际输出、训练曲线、产物哈希清单)之后,这些判断才有落脚点;遇到与指南表述不一致之处(如“无位置编码即与排列无关”的简化说法),我按因果掩码下的实际行为要求改写,而不是照抄题目提示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整个流程中,AI 最有价值的地方是把指南转为可运行实现、检查张量形状、补充测试和定位工程故障;而实验框架、评价口径、结论边界以及是否如实保留负面结果,必须由我决定。我的体会是:AI 能显著加快实现与核验速度,但“读懂”与“负责”无法外包——只有我能解释清楚每一处改动为什么必要,这份实验才算真正完成。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>7  思考题作答</w:t>
      </w:r>
    </w:p>
    <w:p>
      <w:pPr>
        <w:keepNext/>
        <w:keepLines/>
        <w:spacing w:before="0" w:after="120"/>
        <w:jc w:val="both"/>
      </w:pPr>
      <w:r>
        <w:rPr>
          <w:rFonts w:ascii="Times New Roman" w:hAnsi="Times New Roman" w:eastAsia="宋体"/>
          <w:b w:val="0"/>
          <w:sz w:val="24"/>
        </w:rPr>
        <w:t xml:space="preserve">(1) 结合exp5：去掉位置编码后，模型还能学到什么？生成的“诗”还成句吗？为什么？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模型仍能学习字符共现、局部搭配、常见诗句及其续接。exp5固定窗口loss为0.027912，能生成不少完整句子，但也出现错序和跨诗拼接；因此去掉显式位置嵌入并不使模型完全无法训练。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需要纠正题目提示中的简化说法：不加位置、没有因果掩码的自注意力对排列通常是“等变”，即输入重排会导致输出对应重排，并非所有输出数值不变。这里使用固定的因果掩码，每个位置可见的前缀不同，任意重排会改变可见关系，不能再称整个模型完全排列不变。相关研究发现无位置编码的因果语言模型也可能学习隐式位置线索[2]；本实验未做探针分析，不能据此断定本模型采用了哪种具体机制。</w:t>
      </w:r>
    </w:p>
    <w:p>
      <w:pPr>
        <w:keepNext/>
        <w:keepLines/>
        <w:spacing w:before="0" w:after="120"/>
        <w:jc w:val="both"/>
      </w:pPr>
      <w:r>
        <w:rPr>
          <w:rFonts w:ascii="Times New Roman" w:hAnsi="Times New Roman" w:eastAsia="宋体"/>
          <w:b w:val="0"/>
          <w:sz w:val="24"/>
        </w:rPr>
        <w:t>(2) 手算：若 n_embd 从 128 增至 256、层数从 2 增至 3（V、T 不变），总参数量约为多少？相比基线增长几倍？结合 exp2 / exp3 的实测时间，说明容量与训练成本的权衡。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近似参数量为699×256 + 128×256 + 3×12×256² = 178,944 + 32,768 + 2,359,296 = 2,571,008。相对基线近似499,072，约为5.15倍。若计入偏置与LayerNorm，则再加3×13×256+2×256=10,496，精确为2,581,504，相对精确基线502,656约5.14倍。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实际C64到C256使参数约增至11.71倍、训练时间增至4.68倍；1层到4层耗时约3.11倍。更大模型需要更多内存和计算，但小语料上的收益有限。时间还受矩阵效率、上下文和共享节点负载影响，不能直接按参数倍数预测；本实验没有实际训练C256/L3，以上只是手算，不能编造其耗时。</w:t>
      </w:r>
    </w:p>
    <w:p>
      <w:pPr>
        <w:keepNext/>
        <w:keepLines/>
        <w:pageBreakBefore/>
        <w:spacing w:before="0" w:after="120"/>
        <w:jc w:val="both"/>
      </w:pPr>
      <w:r>
        <w:rPr>
          <w:rFonts w:ascii="Times New Roman" w:hAnsi="Times New Roman" w:eastAsia="宋体"/>
          <w:b w:val="0"/>
          <w:sz w:val="24"/>
        </w:rPr>
        <w:t>(3) 温度 T→0 与 T→∞ 时，softmax 采样分别退化成什么？什么任务适合低温、什么场景适合高温？结合 exp6 的生成结果说明。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令温度为τ以免与上下文T混淆，p_i=exp(z_i/τ)/Σ_j exp(z_j/τ)。τ→0⁺时概率集中于最大logit，唯一最大值时趋近贪心；若并列最大，则理想极限在并列项上均分。τ→∞时各有限logit趋于相等，分布趋向均匀；使用top-k后均匀化的范围是允许的候选集合，而非必然整个词表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低温适合希望稳定、格式较固定的输出，但不会自动保证事实正确。高温可用于探索候选表达或创意草案，代价是错误和不连贯增加。本次0.5组主要稳定续写原诗，1.5组出现更多错接，说明提高随机性不能替代模型能力；这些结论只针对本批样本。</w:t>
      </w:r>
    </w:p>
    <w:p>
      <w:pPr>
        <w:keepNext/>
        <w:keepLines/>
        <w:spacing w:before="0" w:after="120"/>
        <w:jc w:val="both"/>
      </w:pPr>
      <w:r>
        <w:rPr>
          <w:rFonts w:ascii="Times New Roman" w:hAnsi="Times New Roman" w:eastAsia="宋体"/>
          <w:b w:val="0"/>
          <w:sz w:val="24"/>
        </w:rPr>
        <w:t>(4) 字符级分词的优缺点各是什么？BPE 如何在“词表大小”与“序列长度”之间折中？为什么真实 LLM 都用 BPE 类分词器？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字符级分词实现简单、词表小，能清楚看到一个汉字对应一个索引，适合本实验；缺点是相同文本需要更多时间步，词与短语的组合关系要由模型学习。当前固定词表对未见字符会报错，也不能把“字符级”误解为天然支持所有输入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BPE逐步合并常见符号片段，使常见词或子词用较少token表示，而罕见词仍能拆成较小单位，从而在词表大小与序列长度之间折中[3]。较大的词表增加嵌入和输出层成本，却可能减少序列长度及注意力成本。真实语言模型常用子词分词，但“都用BPE”过于绝对：SentencePiece也支持Unigram等方法[4]；应根据语言、覆盖率和效率选择。</w:t>
      </w:r>
    </w:p>
    <w:p>
      <w:pPr>
        <w:keepNext/>
        <w:keepLines/>
        <w:pageBreakBefore/>
        <w:spacing w:before="0" w:after="120"/>
        <w:jc w:val="both"/>
      </w:pPr>
      <w:r>
        <w:rPr>
          <w:rFonts w:ascii="Times New Roman" w:hAnsi="Times New Roman" w:eastAsia="宋体"/>
          <w:b w:val="0"/>
          <w:sz w:val="24"/>
        </w:rPr>
        <w:t>(5) 本实验是“从零、在数千字语料上训练”；真实 LLM 是“预训练（海量语料）+ 指令微调 + RLHF”。请从数据量、参数量、训练目标三方面比较两者，并回答：把本实验语料扩大 1000 倍，能得到一个“会聊天”的模型吗？为什么？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数据量方面，本实验只有2163字符且不断重复取窗口，训练2000步所见8,192,000个token不是同等规模的独立新语料。参数量为502,656；GPT-3原论文的最大模型为1750亿参数，使用大规模文本预训练[5]。模型规模差异不是唯一因素，数据覆盖范围和质量同样重要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训练目标方面，本实验仅优化下一字符交叉熵，学习诗句续接；真实系统通常先进行大规模语言建模，再通过指令示例和偏好反馈等方式提升任务遵循能力。InstructGPT展示了监督微调与人类反馈强化学习的流程[6]，但并非所有系统都采用完全相同的后训练方法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把语料扩大1000倍约为216.3万字符。如果只是复制原语料，几乎不增加信息；即使新增同体裁诗文，也不自然提供多轮对话、指令理解和知识覆盖。还需要合适的数据分布、模型容量、训练预算及对话评价，因此仅扩大数量不能保证得到会聊天的模型。</w:t>
      </w:r>
    </w:p>
    <w:p>
      <w:pPr>
        <w:keepNext/>
        <w:keepLines/>
        <w:spacing w:before="0" w:after="120"/>
        <w:jc w:val="both"/>
      </w:pPr>
      <w:r>
        <w:rPr>
          <w:rFonts w:ascii="Times New Roman" w:hAnsi="Times New Roman" w:eastAsia="宋体"/>
          <w:b w:val="0"/>
          <w:sz w:val="24"/>
        </w:rPr>
        <w:t xml:space="preserve">(6) 回顾与Codex协作实现CausalSelfAttention的过程：AI在哪些环节最有价值？哪些地方必须读懂公式才能改对（因果掩码、多头reshape、权重共享）？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本次Codex在把指南转为可运行实现、检查张量形状、补充测试和定位工程故障上最有价值。协作详情见第6节。判断这些输出是否正确，不能只凭程序能运行或loss下降；需要把公式、代码与测试对应起来。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因果掩码应将未来位置的注意力分数在softmax前填为−∞，使其概率为0；若填0，未来位置仍可能得到非零概率。Q/K/V从(B,T,C)先变为(B,T,H,C/H)，再交换时间与头轴成为(B,H,T,C/H)，注意力在时间轴上计算，拼回时逆向变换。交换错误可能形状仍合法却改变计算含义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权重共享应使输出head.weight与tok_emb.weight指向同一Parameter，仅复制数值不能保证训练中继续共享；参数计数也只能计一次。当前测试核对了共享对象、精确参数量、未来token对过去输出及梯度的影响，并对有无位置嵌入均检查因果性。这些检查比仅观察生成几句顺眼的诗更能定位实现错误。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 xml:space="preserve">附录  复核记录与提交材料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以下图像直接排版本机实际执行的参数核对输出，保留真实数值，不模拟IDE界面。</w:t>
      </w:r>
    </w:p>
    <w:p w:rsidR="0260923A" w:rsidRDefault="0260923A">
      <w:pPr>
        <w:keepNext/>
        <w:keepLines/>
        <w:spacing w:after="40"/>
        <w:jc w:val="center"/>
      </w:pPr>
      <w:r>
        <w:pict>
          <v:shape id="report_image_17" type="#_x0000_t75" style="width:435pt;height:132.05pt">
            <v:imagedata r:id="rId16" o:title="parameter_output"/>
          </v:shape>
        </w:pict>
      </w:r>
    </w:p>
    <w:p w:rsidR="0260923A" w:rsidRDefault="0260923A">
      <w:pPr>
        <w:keepLines/>
        <w:spacing w:after="90" w:line="28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8  参数计数与权重共享实际输出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最终复核：6项行为测试全部通过；47项必要产物完整且哈希一致；9个最终模型与1000步快照CPU重放通过，9模型最大固定窗口loss绝对偏差约1.15×10⁻⁷；58段原始样本长度、词表和TXT/JSON一致，六组采样统计独立重算一致。语料与指南逐字匹配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复现边界：正式生成使用PyTorch2.6.0，本机核验使用2.14.0；同种子不保证跨版本逐字生成相同文本。本报告引用原始HPC生成文件，不用本机重生成结果替换原文。HPC作业10765已COMPLETED，退出码0:0；队列检查为空，资源已释放，报告阶段没有新建训练作业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复核入口：python -m unittest test_min_llm -v；python analyze_results.py --verify-only。代码与原始结果基准提交e01c944；最终报告、质量评级及本次核验记录放入lab03/report。本地按前两次实验架构，提交材料存正式报告，lab03_min_llm保存代码与结果，tools保存报告构建与检查文件。</w:t>
      </w:r>
    </w:p>
    <w:p w:rsidR="0260923A" w:rsidRDefault="0260923A">
      <w:pPr>
        <w:keepLines/>
        <w:spacing w:after="90" w:line="28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仓库：https://github.com/s-max-oss/llm-course-labs/tree/main/lab03</w:t>
      </w:r>
    </w:p>
    <w:p>
      <w:pPr>
        <w:keepNext/>
        <w:keepLines/>
        <w:pageBreakBefore/>
        <w:spacing w:before="320" w:after="160"/>
      </w:pPr>
      <w:r>
        <w:rPr>
          <w:rFonts w:ascii="Arial" w:hAnsi="Arial" w:eastAsia="黑体"/>
          <w:b/>
          <w:color w:val="1F2937"/>
          <w:sz w:val="30"/>
        </w:rPr>
        <w:t xml:space="preserve">参考资料</w:t>
      </w:r>
    </w:p>
    <w:p w:rsidR="0260923A" w:rsidRDefault="0260923A">
      <w:pPr>
        <w:keepLines/>
        <w:spacing w:after="18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课程资料：《作业三_手搓最小LLM_使用CPU训练_实验指南》及实验报告样板。</w:t>
      </w:r>
    </w:p>
    <w:p w:rsidR="0260923A" w:rsidRDefault="0260923A">
      <w:pPr>
        <w:keepLines/>
        <w:spacing w:after="18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Haviv A, et al. Transformer Language Models without Positional Encodings Still Learn Positional Information. Findings of EMNLP, 2022. https://arxiv.org/abs/2203.16634</w:t>
      </w:r>
    </w:p>
    <w:p w:rsidR="0260923A" w:rsidRDefault="0260923A">
      <w:pPr>
        <w:keepLines/>
        <w:spacing w:after="18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Sennrich R, Haddow B, Birch A. Neural Machine Translation of Rare Words with Subword Units. ACL, 2016. https://arxiv.org/abs/1508.07909</w:t>
      </w:r>
    </w:p>
    <w:p w:rsidR="0260923A" w:rsidRDefault="0260923A">
      <w:pPr>
        <w:keepLines/>
        <w:spacing w:after="18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Kudo T, Richardson J. SentencePiece: A simple and language independent subword tokenizer and detokenizer for Neural Text Processing. EMNLP, 2018. https://arxiv.org/abs/1808.06226</w:t>
      </w:r>
    </w:p>
    <w:p w:rsidR="0260923A" w:rsidRDefault="0260923A">
      <w:pPr>
        <w:keepLines/>
        <w:spacing w:after="18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Brown T, et al. Language Models are Few-Shot Learners. NeurIPS, 2020. https://arxiv.org/abs/2005.14165</w:t>
      </w:r>
    </w:p>
    <w:p w:rsidR="0260923A" w:rsidRDefault="0260923A">
      <w:pPr>
        <w:keepLines/>
        <w:spacing w:after="18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[6] Ouyang L, et al. Training language models to follow instructions with human feedback. NeurIPS, 2022. https://arxiv.org/abs/2203.02155</w:t>
      </w:r>
    </w:p>
    <w:p w:rsidR="0260923A" w:rsidRDefault="0260923A">
      <w:pPr>
        <w:keepLines/>
        <w:spacing w:after="180" w:line="280" w:lineRule="auto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[7] Vaswani A, et al. Attention Is All You Need. NeurIPS, 2017. https://arxiv.org/abs/1706.03762</w:t>
      </w:r>
    </w:p>
    <w:sectPr w:rsidR="00FC693F" w:rsidRPr="0006063C" w:rsidSect="00034616">
      <w:pgSz w:w="12240" w:h="15840"/>
      <w:pgMar w:top="158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report_10_loss_curve_L2_E128_lr0.001.png"/><Relationship Id="rId10" Type="http://schemas.openxmlformats.org/officeDocument/2006/relationships/image" Target="media/report_11_curves_lr.png"/><Relationship Id="rId11" Type="http://schemas.openxmlformats.org/officeDocument/2006/relationships/image" Target="media/report_12_curves_layers.png"/><Relationship Id="rId12" Type="http://schemas.openxmlformats.org/officeDocument/2006/relationships/image" Target="media/report_13_curves_width.png"/><Relationship Id="rId13" Type="http://schemas.openxmlformats.org/officeDocument/2006/relationships/image" Target="media/report_14_loss_curve_L2_E128_lr0.001.png"/><Relationship Id="rId14" Type="http://schemas.openxmlformats.org/officeDocument/2006/relationships/image" Target="media/report_15_loss_curve_no_pos.png"/><Relationship Id="rId15" Type="http://schemas.openxmlformats.org/officeDocument/2006/relationships/image" Target="media/report_16_sampling_excerpt.png"/><Relationship Id="rId16" Type="http://schemas.openxmlformats.org/officeDocument/2006/relationships/image" Target="media/report_17_parameter_outpu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