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8181B"/>
          <w:sz w:val="72"/>
        </w:rPr>
        <w:t>OfficeConnect Pro</w:t>
      </w:r>
    </w:p>
    <w:p>
      <w:r>
        <w:rPr>
          <w:b/>
          <w:color w:val="F59E0B"/>
          <w:sz w:val="40"/>
        </w:rPr>
        <w:t>Content Strategy &amp; Site Reorganization</w:t>
      </w:r>
    </w:p>
    <w:p/>
    <w:p>
      <w:r>
        <w:rPr>
          <w:b w:val="0"/>
          <w:i/>
          <w:color w:val="71717A"/>
          <w:sz w:val="24"/>
        </w:rPr>
        <w:t>A plan to make officeconnectpro.com the most authoritative resource on Workday OfficeConnect — for FP&amp;A users and IT administrators alike.</w:t>
      </w:r>
    </w:p>
    <w:p/>
    <w:p>
      <w:r>
        <w:rPr>
          <w:b w:val="0"/>
          <w:i w:val="0"/>
          <w:color w:val="71717A"/>
          <w:sz w:val="20"/>
        </w:rPr>
        <w:t>Prepared:  May 19, 2026</w:t>
      </w:r>
    </w:p>
    <w:p>
      <w:r>
        <w:rPr>
          <w:b w:val="0"/>
          <w:i w:val="0"/>
          <w:color w:val="71717A"/>
          <w:sz w:val="20"/>
        </w:rPr>
        <w:t>Scope:  Information architecture, content strategy, 90+ new articles, design recommendations, 90-day roadmap</w:t>
      </w:r>
    </w:p>
    <w:p>
      <w:r>
        <w:rPr>
          <w:b w:val="0"/>
          <w:i w:val="0"/>
          <w:color w:val="71717A"/>
          <w:sz w:val="20"/>
        </w:rPr>
        <w:t>Audience:  Site owner and contributors</w:t>
      </w:r>
    </w:p>
    <w:p>
      <w:r>
        <w:br w:type="page"/>
      </w:r>
    </w:p>
    <w:p>
      <w:pPr>
        <w:pStyle w:val="Heading1"/>
      </w:pPr>
      <w:r>
        <w:t>Contents</w:t>
      </w:r>
    </w:p>
    <w:p>
      <w:pPr>
        <w:spacing w:after="40"/>
      </w:pPr>
      <w:r>
        <w:rPr>
          <w:b/>
          <w:color w:val="F59E0B"/>
        </w:rPr>
        <w:t xml:space="preserve">1.  </w:t>
      </w:r>
      <w:r>
        <w:t>Executive summary</w:t>
      </w:r>
    </w:p>
    <w:p>
      <w:pPr>
        <w:spacing w:after="40"/>
      </w:pPr>
      <w:r>
        <w:rPr>
          <w:b/>
          <w:color w:val="F59E0B"/>
        </w:rPr>
        <w:t xml:space="preserve">2.  </w:t>
      </w:r>
      <w:r>
        <w:t>Current state assessment</w:t>
      </w:r>
    </w:p>
    <w:p>
      <w:pPr>
        <w:spacing w:after="40"/>
      </w:pPr>
      <w:r>
        <w:rPr>
          <w:b/>
          <w:color w:val="F59E0B"/>
        </w:rPr>
        <w:t xml:space="preserve">3.  </w:t>
      </w:r>
      <w:r>
        <w:t>Competitive landscape and authority opportunities</w:t>
      </w:r>
    </w:p>
    <w:p>
      <w:pPr>
        <w:spacing w:after="40"/>
      </w:pPr>
      <w:r>
        <w:rPr>
          <w:b/>
          <w:color w:val="F59E0B"/>
        </w:rPr>
        <w:t xml:space="preserve">4.  </w:t>
      </w:r>
      <w:r>
        <w:t>Information architecture redesign</w:t>
      </w:r>
    </w:p>
    <w:p>
      <w:pPr>
        <w:spacing w:after="40"/>
      </w:pPr>
      <w:r>
        <w:rPr>
          <w:b/>
          <w:color w:val="F59E0B"/>
        </w:rPr>
        <w:t xml:space="preserve">5.  </w:t>
      </w:r>
      <w:r>
        <w:t>Content strategy and standards</w:t>
      </w:r>
    </w:p>
    <w:p>
      <w:pPr>
        <w:spacing w:after="40"/>
      </w:pPr>
      <w:r>
        <w:rPr>
          <w:b/>
          <w:color w:val="F59E0B"/>
        </w:rPr>
        <w:t xml:space="preserve">6.  </w:t>
      </w:r>
      <w:r>
        <w:t>Article roadmap — 90+ new articles</w:t>
      </w:r>
    </w:p>
    <w:p>
      <w:pPr>
        <w:spacing w:after="40"/>
      </w:pPr>
      <w:r>
        <w:rPr>
          <w:b/>
          <w:color w:val="F59E0B"/>
        </w:rPr>
        <w:t xml:space="preserve">7.  </w:t>
      </w:r>
      <w:r>
        <w:t>Existing article improvements</w:t>
      </w:r>
    </w:p>
    <w:p>
      <w:pPr>
        <w:spacing w:after="40"/>
      </w:pPr>
      <w:r>
        <w:rPr>
          <w:b/>
          <w:color w:val="F59E0B"/>
        </w:rPr>
        <w:t xml:space="preserve">8.  </w:t>
      </w:r>
      <w:r>
        <w:t>Design and UX recommendations</w:t>
      </w:r>
    </w:p>
    <w:p>
      <w:pPr>
        <w:spacing w:after="40"/>
      </w:pPr>
      <w:r>
        <w:rPr>
          <w:b/>
          <w:color w:val="F59E0B"/>
        </w:rPr>
        <w:t xml:space="preserve">9.  </w:t>
      </w:r>
      <w:r>
        <w:t>Technical and Hugo implementation</w:t>
      </w:r>
    </w:p>
    <w:p>
      <w:pPr>
        <w:spacing w:after="40"/>
      </w:pPr>
      <w:r>
        <w:rPr>
          <w:b/>
          <w:color w:val="F59E0B"/>
        </w:rPr>
        <w:t xml:space="preserve">10.  </w:t>
      </w:r>
      <w:r>
        <w:t>90-day prioritized roadmap</w:t>
      </w:r>
    </w:p>
    <w:p>
      <w:pPr>
        <w:spacing w:after="40"/>
      </w:pPr>
      <w:r>
        <w:rPr>
          <w:b/>
          <w:color w:val="F59E0B"/>
        </w:rPr>
        <w:t xml:space="preserve">11.  </w:t>
      </w:r>
      <w:r>
        <w:t>Maintenance cadence (post-launch)</w:t>
      </w:r>
    </w:p>
    <w:p>
      <w:pPr>
        <w:spacing w:after="40"/>
      </w:pPr>
      <w:r>
        <w:rPr>
          <w:b/>
          <w:color w:val="F59E0B"/>
        </w:rPr>
        <w:t xml:space="preserve">A.  </w:t>
      </w:r>
      <w:r>
        <w:t>Appendix A — Full new-article catalog with slugs</w:t>
      </w:r>
    </w:p>
    <w:p>
      <w:pPr>
        <w:spacing w:after="40"/>
      </w:pPr>
      <w:r>
        <w:rPr>
          <w:b/>
          <w:color w:val="F59E0B"/>
        </w:rPr>
        <w:t xml:space="preserve">B.  </w:t>
      </w:r>
      <w:r>
        <w:t>Appendix B — Revised tag taxonomy</w:t>
      </w:r>
    </w:p>
    <w:p>
      <w:pPr>
        <w:spacing w:after="40"/>
      </w:pPr>
      <w:r>
        <w:rPr>
          <w:b/>
          <w:color w:val="F59E0B"/>
        </w:rPr>
        <w:t xml:space="preserve">C.  </w:t>
      </w:r>
      <w:r>
        <w:t>Appendix C — Research sources</w:t>
      </w:r>
    </w:p>
    <w:p>
      <w:r>
        <w:br w:type="page"/>
      </w:r>
    </w:p>
    <w:p>
      <w:pPr>
        <w:pStyle w:val="Heading1"/>
      </w:pPr>
      <w:r>
        <w:t>1. Executive summary</w:t>
      </w:r>
    </w:p>
    <w:p>
      <w:r>
        <w:rPr>
          <w:b w:val="0"/>
          <w:i w:val="0"/>
        </w:rPr>
        <w:t>OfficeConnect Pro starts from a strong foundation: 65 well-written articles on a Hugo + Docsy site with consistent tutorial structure, a clean visual identity, and a thoughtful taxonomy already sketched out. The competitive landscape is unusually open — Workday's own docs are dense and gated, partner blogs largely recycle datasheet content, and YouTube and community forums are nearly silent. With focused work, this site can become the canonical reference for OfficeConnect within twelve months.</w:t>
      </w:r>
    </w:p>
    <w:p>
      <w:r>
        <w:rPr>
          <w:b w:val="0"/>
          <w:i w:val="0"/>
        </w:rPr>
        <w:t>Three structural problems are limiting the site today:</w:t>
      </w:r>
    </w:p>
    <w:p>
      <w:pPr>
        <w:pStyle w:val="ListBullet"/>
      </w:pPr>
      <w:r>
        <w:t>Two of the five existing sections (Connect, Share &amp; Publish) are missing from the top navigation; 35 of 65 articles are untagged, so the homepage tag chips lead to near-empty pages; and 19 articles contain zero internal links.</w:t>
      </w:r>
    </w:p>
    <w:p>
      <w:pPr>
        <w:pStyle w:val="ListBullet"/>
      </w:pPr>
      <w:r>
        <w:t>There are zero real screenshots on the site — every {{&lt; figure &gt;}} reference currently renders broken. This is the single biggest production debt and the most visible quality gap to visitors.</w:t>
      </w:r>
    </w:p>
    <w:p>
      <w:pPr>
        <w:pStyle w:val="ListBullet"/>
      </w:pPr>
      <w:r>
        <w:t>IT-admin content is materially thinner than the stated equal-weight audience requires, and several feature areas the market badly needs (Mac/VDI workflows, SSO failure modes, the 2025R1 write-back feature, the brand-new 2026R1 View By and personal what-if scenarios) have minimal or no coverage anywhere on the public web.</w:t>
      </w:r>
    </w:p>
    <w:p>
      <w:r>
        <w:rPr>
          <w:b w:val="0"/>
          <w:i w:val="0"/>
        </w:rPr>
        <w:t>This document proposes:</w:t>
      </w:r>
    </w:p>
    <w:p>
      <w:pPr>
        <w:pStyle w:val="ListBullet"/>
      </w:pPr>
      <w:r>
        <w:t>A new ten-section information architecture that surfaces hidden content (Financials, Performance, Migration) and creates two new pillar sections (Data Entry &amp; Write-Back, Admin).</w:t>
      </w:r>
    </w:p>
    <w:p>
      <w:pPr>
        <w:pStyle w:val="ListBullet"/>
      </w:pPr>
      <w:r>
        <w:t>Roughly 90 new articles staged across three phases, each rationalized against an identified content gap or long-tail search opportunity.</w:t>
      </w:r>
    </w:p>
    <w:p>
      <w:pPr>
        <w:pStyle w:val="ListBullet"/>
      </w:pPr>
      <w:r>
        <w:t>Improvements to all 65 existing articles: standardized closing sections, retroactive tagging, mass cross-link backfill, and a screenshot-capture program.</w:t>
      </w:r>
    </w:p>
    <w:p>
      <w:pPr>
        <w:pStyle w:val="ListBullet"/>
      </w:pPr>
      <w:r>
        <w:t>Design and UX changes to homepage, navigation, article anatomy, and the shortcode library — most of which are small Hugo configuration changes with outsized impact.</w:t>
      </w:r>
    </w:p>
    <w:p>
      <w:pPr>
        <w:pStyle w:val="ListBullet"/>
      </w:pPr>
      <w:r>
        <w:t>A 90-day rollout plan that ships 18 quick-win articles, fixes navigation, completes tagging and cross-linking, and launches a What's New release-notes hub before any of the larger new content series begin.</w:t>
      </w:r>
    </w:p>
    <w:tbl>
      <w:tblPr>
        <w:tblW w:type="auto" w:w="0"/>
        <w:tblLayout w:type="fixed"/>
        <w:tblLook w:firstColumn="1" w:firstRow="1" w:lastColumn="0" w:lastRow="0" w:noHBand="0" w:noVBand="1" w:val="04A0"/>
      </w:tblPr>
      <w:tblGrid>
        <w:gridCol w:w="9360"/>
      </w:tblGrid>
      <w:tr>
        <w:tc>
          <w:tcPr>
            <w:tcW w:type="dxa" w:w="9360"/>
            <w:shd w:val="clear" w:color="auto" w:fill="FEF3C7"/>
          </w:tcPr>
          <w:p>
            <w:r/>
            <w:r>
              <w:rPr>
                <w:b/>
                <w:color w:val="F59E0B"/>
                <w:sz w:val="22"/>
              </w:rPr>
              <w:t>Bottom line</w:t>
            </w:r>
          </w:p>
          <w:p>
            <w:r>
              <w:rPr>
                <w:sz w:val="20"/>
              </w:rPr>
              <w:t>The fastest path to authority is not 'write more articles.' It is (a) fix the navigation and tagging so the existing work is discoverable, (b) capture screenshots so the site looks real, and (c) ship the underserved-topic series the market is openly missing — write-back, 2026R1 features, IT-admin deployment, Mac/VDI, and add-in conflicts. The 90+ new articles in this plan are designed around those gaps.</w:t>
            </w:r>
          </w:p>
        </w:tc>
      </w:tr>
    </w:tbl>
    <w:p>
      <w:pPr>
        <w:spacing w:after="40"/>
      </w:pPr>
    </w:p>
    <w:p>
      <w:r>
        <w:br w:type="page"/>
      </w:r>
    </w:p>
    <w:p>
      <w:pPr>
        <w:pStyle w:val="Heading1"/>
      </w:pPr>
      <w:r>
        <w:t>2. Current state assessment</w:t>
      </w:r>
    </w:p>
    <w:p>
      <w:pPr>
        <w:pStyle w:val="Heading2"/>
      </w:pPr>
      <w:r>
        <w:t>2.1 Inventory snapshot</w:t>
      </w:r>
    </w:p>
    <w:p>
      <w:r>
        <w:rPr>
          <w:b w:val="0"/>
          <w:i w:val="0"/>
        </w:rPr>
        <w:t>Sixty-five articles live across five sections and one sub-section. Median article length is roughly 420 words; the longest is month-end-close-workflow at 971 words, the shortest is numbers-not-shifting at 225.</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2340"/>
        <w:gridCol w:w="2340"/>
        <w:gridCol w:w="2340"/>
        <w:gridCol w:w="2340"/>
      </w:tblGrid>
      <w:tr>
        <w:tc>
          <w:tcPr>
            <w:tcW w:type="dxa" w:w="2304"/>
            <w:shd w:val="clear" w:color="auto" w:fill="18181B"/>
            <w:vAlign w:val="center"/>
          </w:tcPr>
          <w:p>
            <w:r/>
            <w:r>
              <w:rPr>
                <w:b/>
                <w:color w:val="FFFFFF"/>
                <w:sz w:val="20"/>
              </w:rPr>
              <w:t>Section</w:t>
            </w:r>
          </w:p>
        </w:tc>
        <w:tc>
          <w:tcPr>
            <w:tcW w:type="dxa" w:w="1296"/>
            <w:shd w:val="clear" w:color="auto" w:fill="18181B"/>
            <w:vAlign w:val="center"/>
          </w:tcPr>
          <w:p>
            <w:r/>
            <w:r>
              <w:rPr>
                <w:b/>
                <w:color w:val="FFFFFF"/>
                <w:sz w:val="20"/>
              </w:rPr>
              <w:t>Articles</w:t>
            </w:r>
          </w:p>
        </w:tc>
        <w:tc>
          <w:tcPr>
            <w:tcW w:type="dxa" w:w="2304"/>
            <w:shd w:val="clear" w:color="auto" w:fill="18181B"/>
            <w:vAlign w:val="center"/>
          </w:tcPr>
          <w:p>
            <w:r/>
            <w:r>
              <w:rPr>
                <w:b/>
                <w:color w:val="FFFFFF"/>
                <w:sz w:val="20"/>
              </w:rPr>
              <w:t>Depth (thin / med / deep)</w:t>
            </w:r>
          </w:p>
        </w:tc>
        <w:tc>
          <w:tcPr>
            <w:tcW w:type="dxa" w:w="3456"/>
            <w:shd w:val="clear" w:color="auto" w:fill="18181B"/>
            <w:vAlign w:val="center"/>
          </w:tcPr>
          <w:p>
            <w:r/>
            <w:r>
              <w:rPr>
                <w:b/>
                <w:color w:val="FFFFFF"/>
                <w:sz w:val="20"/>
              </w:rPr>
              <w:t>Notes</w:t>
            </w:r>
          </w:p>
        </w:tc>
      </w:tr>
      <w:tr>
        <w:tc>
          <w:tcPr>
            <w:tcW w:type="dxa" w:w="2304"/>
            <w:vAlign w:val="top"/>
          </w:tcPr>
          <w:p>
            <w:r/>
            <w:r>
              <w:rPr>
                <w:sz w:val="20"/>
              </w:rPr>
              <w:t>Get Started</w:t>
            </w:r>
          </w:p>
        </w:tc>
        <w:tc>
          <w:tcPr>
            <w:tcW w:type="dxa" w:w="1296"/>
            <w:vAlign w:val="top"/>
          </w:tcPr>
          <w:p>
            <w:r/>
            <w:r>
              <w:rPr>
                <w:sz w:val="20"/>
              </w:rPr>
              <w:t>5</w:t>
            </w:r>
          </w:p>
        </w:tc>
        <w:tc>
          <w:tcPr>
            <w:tcW w:type="dxa" w:w="2304"/>
            <w:vAlign w:val="top"/>
          </w:tcPr>
          <w:p>
            <w:r/>
            <w:r>
              <w:rPr>
                <w:sz w:val="20"/>
              </w:rPr>
              <w:t>0 / 5 / 0</w:t>
            </w:r>
          </w:p>
        </w:tc>
        <w:tc>
          <w:tcPr>
            <w:tcW w:type="dxa" w:w="3456"/>
            <w:vAlign w:val="top"/>
          </w:tcPr>
          <w:p>
            <w:r/>
            <w:r>
              <w:rPr>
                <w:sz w:val="20"/>
              </w:rPr>
              <w:t>Onboarding flow complete; no first-30-minutes guide</w:t>
            </w:r>
          </w:p>
        </w:tc>
      </w:tr>
      <w:tr>
        <w:tc>
          <w:tcPr>
            <w:tcW w:type="dxa" w:w="2304"/>
            <w:vAlign w:val="top"/>
          </w:tcPr>
          <w:p>
            <w:r/>
            <w:r>
              <w:rPr>
                <w:sz w:val="20"/>
              </w:rPr>
              <w:t>Connect</w:t>
            </w:r>
          </w:p>
        </w:tc>
        <w:tc>
          <w:tcPr>
            <w:tcW w:type="dxa" w:w="1296"/>
            <w:vAlign w:val="top"/>
          </w:tcPr>
          <w:p>
            <w:r/>
            <w:r>
              <w:rPr>
                <w:sz w:val="20"/>
              </w:rPr>
              <w:t>5</w:t>
            </w:r>
          </w:p>
        </w:tc>
        <w:tc>
          <w:tcPr>
            <w:tcW w:type="dxa" w:w="2304"/>
            <w:vAlign w:val="top"/>
          </w:tcPr>
          <w:p>
            <w:r/>
            <w:r>
              <w:rPr>
                <w:sz w:val="20"/>
              </w:rPr>
              <w:t>0 / 5 / 0</w:t>
            </w:r>
          </w:p>
        </w:tc>
        <w:tc>
          <w:tcPr>
            <w:tcW w:type="dxa" w:w="3456"/>
            <w:vAlign w:val="top"/>
          </w:tcPr>
          <w:p>
            <w:r/>
            <w:r>
              <w:rPr>
                <w:sz w:val="20"/>
              </w:rPr>
              <w:t>IT-admin oriented; not in top nav</w:t>
            </w:r>
          </w:p>
        </w:tc>
      </w:tr>
      <w:tr>
        <w:tc>
          <w:tcPr>
            <w:tcW w:type="dxa" w:w="2304"/>
            <w:vAlign w:val="top"/>
          </w:tcPr>
          <w:p>
            <w:r/>
            <w:r>
              <w:rPr>
                <w:sz w:val="20"/>
              </w:rPr>
              <w:t>Build Reports (core)</w:t>
            </w:r>
          </w:p>
        </w:tc>
        <w:tc>
          <w:tcPr>
            <w:tcW w:type="dxa" w:w="1296"/>
            <w:vAlign w:val="top"/>
          </w:tcPr>
          <w:p>
            <w:r/>
            <w:r>
              <w:rPr>
                <w:sz w:val="20"/>
              </w:rPr>
              <w:t>10</w:t>
            </w:r>
          </w:p>
        </w:tc>
        <w:tc>
          <w:tcPr>
            <w:tcW w:type="dxa" w:w="2304"/>
            <w:vAlign w:val="top"/>
          </w:tcPr>
          <w:p>
            <w:r/>
            <w:r>
              <w:rPr>
                <w:sz w:val="20"/>
              </w:rPr>
              <w:t>0 / 8 / 2</w:t>
            </w:r>
          </w:p>
        </w:tc>
        <w:tc>
          <w:tcPr>
            <w:tcW w:type="dxa" w:w="3456"/>
            <w:vAlign w:val="top"/>
          </w:tcPr>
          <w:p>
            <w:r/>
            <w:r>
              <w:rPr>
                <w:sz w:val="20"/>
              </w:rPr>
              <w:t>Strong UI tours; labels never get their own article</w:t>
            </w:r>
          </w:p>
        </w:tc>
      </w:tr>
      <w:tr>
        <w:tc>
          <w:tcPr>
            <w:tcW w:type="dxa" w:w="2304"/>
            <w:vAlign w:val="top"/>
          </w:tcPr>
          <w:p>
            <w:r/>
            <w:r>
              <w:rPr>
                <w:sz w:val="20"/>
              </w:rPr>
              <w:t>Build Reports (Batch 1+2)</w:t>
            </w:r>
          </w:p>
        </w:tc>
        <w:tc>
          <w:tcPr>
            <w:tcW w:type="dxa" w:w="1296"/>
            <w:vAlign w:val="top"/>
          </w:tcPr>
          <w:p>
            <w:r/>
            <w:r>
              <w:rPr>
                <w:sz w:val="20"/>
              </w:rPr>
              <w:t>19</w:t>
            </w:r>
          </w:p>
        </w:tc>
        <w:tc>
          <w:tcPr>
            <w:tcW w:type="dxa" w:w="2304"/>
            <w:vAlign w:val="top"/>
          </w:tcPr>
          <w:p>
            <w:r/>
            <w:r>
              <w:rPr>
                <w:sz w:val="20"/>
              </w:rPr>
              <w:t>0 / 7 / 12</w:t>
            </w:r>
          </w:p>
        </w:tc>
        <w:tc>
          <w:tcPr>
            <w:tcW w:type="dxa" w:w="3456"/>
            <w:vAlign w:val="top"/>
          </w:tcPr>
          <w:p>
            <w:r/>
            <w:r>
              <w:rPr>
                <w:sz w:val="20"/>
              </w:rPr>
              <w:t>Tutorials and recipes — site's best work</w:t>
            </w:r>
          </w:p>
        </w:tc>
      </w:tr>
      <w:tr>
        <w:tc>
          <w:tcPr>
            <w:tcW w:type="dxa" w:w="2304"/>
            <w:vAlign w:val="top"/>
          </w:tcPr>
          <w:p>
            <w:r/>
            <w:r>
              <w:rPr>
                <w:sz w:val="20"/>
              </w:rPr>
              <w:t>Build Reports → Financials</w:t>
            </w:r>
          </w:p>
        </w:tc>
        <w:tc>
          <w:tcPr>
            <w:tcW w:type="dxa" w:w="1296"/>
            <w:vAlign w:val="top"/>
          </w:tcPr>
          <w:p>
            <w:r/>
            <w:r>
              <w:rPr>
                <w:sz w:val="20"/>
              </w:rPr>
              <w:t>14</w:t>
            </w:r>
          </w:p>
        </w:tc>
        <w:tc>
          <w:tcPr>
            <w:tcW w:type="dxa" w:w="2304"/>
            <w:vAlign w:val="top"/>
          </w:tcPr>
          <w:p>
            <w:r/>
            <w:r>
              <w:rPr>
                <w:sz w:val="20"/>
              </w:rPr>
              <w:t>0 / 6 / 8</w:t>
            </w:r>
          </w:p>
        </w:tc>
        <w:tc>
          <w:tcPr>
            <w:tcW w:type="dxa" w:w="3456"/>
            <w:vAlign w:val="top"/>
          </w:tcPr>
          <w:p>
            <w:r/>
            <w:r>
              <w:rPr>
                <w:sz w:val="20"/>
              </w:rPr>
              <w:t>Deepest content; buried two levels deep</w:t>
            </w:r>
          </w:p>
        </w:tc>
      </w:tr>
      <w:tr>
        <w:tc>
          <w:tcPr>
            <w:tcW w:type="dxa" w:w="2304"/>
            <w:vAlign w:val="top"/>
          </w:tcPr>
          <w:p>
            <w:r/>
            <w:r>
              <w:rPr>
                <w:sz w:val="20"/>
              </w:rPr>
              <w:t>Share &amp; Publish</w:t>
            </w:r>
          </w:p>
        </w:tc>
        <w:tc>
          <w:tcPr>
            <w:tcW w:type="dxa" w:w="1296"/>
            <w:vAlign w:val="top"/>
          </w:tcPr>
          <w:p>
            <w:r/>
            <w:r>
              <w:rPr>
                <w:sz w:val="20"/>
              </w:rPr>
              <w:t>3</w:t>
            </w:r>
          </w:p>
        </w:tc>
        <w:tc>
          <w:tcPr>
            <w:tcW w:type="dxa" w:w="2304"/>
            <w:vAlign w:val="top"/>
          </w:tcPr>
          <w:p>
            <w:r/>
            <w:r>
              <w:rPr>
                <w:sz w:val="20"/>
              </w:rPr>
              <w:t>0 / 3 / 0</w:t>
            </w:r>
          </w:p>
        </w:tc>
        <w:tc>
          <w:tcPr>
            <w:tcW w:type="dxa" w:w="3456"/>
            <w:vAlign w:val="top"/>
          </w:tcPr>
          <w:p>
            <w:r/>
            <w:r>
              <w:rPr>
                <w:sz w:val="20"/>
              </w:rPr>
              <w:t>Under-served section; not in top nav</w:t>
            </w:r>
          </w:p>
        </w:tc>
      </w:tr>
      <w:tr>
        <w:tc>
          <w:tcPr>
            <w:tcW w:type="dxa" w:w="2304"/>
            <w:vAlign w:val="top"/>
          </w:tcPr>
          <w:p>
            <w:r/>
            <w:r>
              <w:rPr>
                <w:sz w:val="20"/>
              </w:rPr>
              <w:t>Troubleshoot (original 12)</w:t>
            </w:r>
          </w:p>
        </w:tc>
        <w:tc>
          <w:tcPr>
            <w:tcW w:type="dxa" w:w="1296"/>
            <w:vAlign w:val="top"/>
          </w:tcPr>
          <w:p>
            <w:r/>
            <w:r>
              <w:rPr>
                <w:sz w:val="20"/>
              </w:rPr>
              <w:t>12</w:t>
            </w:r>
          </w:p>
        </w:tc>
        <w:tc>
          <w:tcPr>
            <w:tcW w:type="dxa" w:w="2304"/>
            <w:vAlign w:val="top"/>
          </w:tcPr>
          <w:p>
            <w:r/>
            <w:r>
              <w:rPr>
                <w:sz w:val="20"/>
              </w:rPr>
              <w:t>12 / 0 / 0</w:t>
            </w:r>
          </w:p>
        </w:tc>
        <w:tc>
          <w:tcPr>
            <w:tcW w:type="dxa" w:w="3456"/>
            <w:vAlign w:val="top"/>
          </w:tcPr>
          <w:p>
            <w:r/>
            <w:r>
              <w:rPr>
                <w:sz w:val="20"/>
              </w:rPr>
              <w:t>All under 360 words; few cross-links</w:t>
            </w:r>
          </w:p>
        </w:tc>
      </w:tr>
      <w:tr>
        <w:tc>
          <w:tcPr>
            <w:tcW w:type="dxa" w:w="2304"/>
            <w:vAlign w:val="top"/>
          </w:tcPr>
          <w:p>
            <w:r/>
            <w:r>
              <w:rPr>
                <w:sz w:val="20"/>
              </w:rPr>
              <w:t>Troubleshoot (Batch 2)</w:t>
            </w:r>
          </w:p>
        </w:tc>
        <w:tc>
          <w:tcPr>
            <w:tcW w:type="dxa" w:w="1296"/>
            <w:vAlign w:val="top"/>
          </w:tcPr>
          <w:p>
            <w:r/>
            <w:r>
              <w:rPr>
                <w:sz w:val="20"/>
              </w:rPr>
              <w:t>4</w:t>
            </w:r>
          </w:p>
        </w:tc>
        <w:tc>
          <w:tcPr>
            <w:tcW w:type="dxa" w:w="2304"/>
            <w:vAlign w:val="top"/>
          </w:tcPr>
          <w:p>
            <w:r/>
            <w:r>
              <w:rPr>
                <w:sz w:val="20"/>
              </w:rPr>
              <w:t>0 / 0 / 4</w:t>
            </w:r>
          </w:p>
        </w:tc>
        <w:tc>
          <w:tcPr>
            <w:tcW w:type="dxa" w:w="3456"/>
            <w:vAlign w:val="top"/>
          </w:tcPr>
          <w:p>
            <w:r/>
            <w:r>
              <w:rPr>
                <w:sz w:val="20"/>
              </w:rPr>
              <w:t>Deep recent additions</w:t>
            </w:r>
          </w:p>
        </w:tc>
      </w:tr>
    </w:tbl>
    <w:p>
      <w:pPr>
        <w:pStyle w:val="Heading2"/>
      </w:pPr>
      <w:r>
        <w:t>2.2 What is working</w:t>
      </w:r>
    </w:p>
    <w:p>
      <w:pPr>
        <w:pStyle w:val="ListBullet"/>
      </w:pPr>
      <w:r>
        <w:t>Voice and tutorial structure are consistent across the site — opening 'what you'll need', numbered steps under H2 headings, 'Result' and 'Next steps' tails. The Batch 1 and Batch 2 articles set a high bar for tone and accuracy.</w:t>
      </w:r>
    </w:p>
    <w:p>
      <w:pPr>
        <w:pStyle w:val="ListBullet"/>
      </w:pPr>
      <w:r>
        <w:t>The Docsy theme is configured well: dark/light toggle on, offline Lunr search, breadcrumbs, foldable sidebar, GitInfo for last-modified dates, and a registered LLMsTxt output at /llms.txt (good for AI consumption).</w:t>
      </w:r>
    </w:p>
    <w:p>
      <w:pPr>
        <w:pStyle w:val="ListBullet"/>
      </w:pPr>
      <w:r>
        <w:t>The {{&lt; step &gt;}} and {{&lt; admin-note &gt;}} shortcodes provide a starter component library and are working as designed where used.</w:t>
      </w:r>
    </w:p>
    <w:p>
      <w:pPr>
        <w:pStyle w:val="ListBullet"/>
      </w:pPr>
      <w:r>
        <w:t>Foundational specs and plans are well documented in docs/superpowers/specs/ and docs/superpowers/plans/. The site has a culture of writing things down — extend it.</w:t>
      </w:r>
    </w:p>
    <w:p>
      <w:pPr>
        <w:pStyle w:val="Heading2"/>
      </w:pPr>
      <w:r>
        <w:t>2.3 What is holding the site back</w:t>
      </w:r>
    </w:p>
    <w:p>
      <w:pPr>
        <w:pStyle w:val="ListBullet"/>
      </w:pPr>
      <w:r>
        <w:t>Navigation: menus.toml exposes only Get Started, Build Reports, and Troubleshoot. Connect and Share &amp; Publish are reachable only via sidebar or homepage cards. The same three-up pattern repeats on the homepage cover and feature cards, making two of five sections feel second-class.</w:t>
      </w:r>
    </w:p>
    <w:p>
      <w:pPr>
        <w:pStyle w:val="ListBullet"/>
      </w:pPr>
      <w:r>
        <w:t>Tagging: 35 of 65 articles have no tags. The homepage 'Browse by Topic' chips link to /tags/sharing, /tags/administration, etc., which will be sparse or empty.</w:t>
      </w:r>
    </w:p>
    <w:p>
      <w:pPr>
        <w:pStyle w:val="ListBullet"/>
      </w:pPr>
      <w:r>
        <w:t>Cross-linking: 19 articles contain zero in-content links — including 9 of 16 Troubleshoot articles, all three Share &amp; Publish articles, and several core Build Reports pages (repeating-reports, review-applied-elements, workbook-worksheet-properties, cell-explorer-drill-down).</w:t>
      </w:r>
    </w:p>
    <w:p>
      <w:pPr>
        <w:pStyle w:val="ListBullet"/>
      </w:pPr>
      <w:r>
        <w:t>Screenshots: nine articles reference figures from /images/screenshots/, but static/images/ contains only .gitkeep. Every {{&lt; figure &gt;}} call currently renders broken.</w:t>
      </w:r>
    </w:p>
    <w:p>
      <w:pPr>
        <w:pStyle w:val="ListBullet"/>
      </w:pPr>
      <w:r>
        <w:t>Closing sections: roughly half of articles omit 'Result' and/or 'Next steps' even though the founding spec mandates both.</w:t>
      </w:r>
    </w:p>
    <w:p>
      <w:pPr>
        <w:pStyle w:val="ListBullet"/>
      </w:pPr>
      <w:r>
        <w:t>IT-admin depth: only three admin-oriented articles exist (Connect/deploy-tenants-registry, workday-sso, secure-workbooks) plus install-admin. The {{&lt; admin-note &gt;}} callout is used in only seven files. The stated equal-weight FP&amp;A and IT-admin audiences are not equally served.</w:t>
      </w:r>
    </w:p>
    <w:p>
      <w:pPr>
        <w:pStyle w:val="ListBullet"/>
      </w:pPr>
      <w:r>
        <w:t>Reference layer is absent: no glossary, no formula syntax reference, no release-notes hub, no version-compatibility matrix.</w:t>
      </w:r>
    </w:p>
    <w:p>
      <w:pPr>
        <w:pStyle w:val="ListBullet"/>
      </w:pPr>
      <w:r>
        <w:t>Subsection burial: the 14 Financials articles are two levels deep inside Build Reports → financials/. Discoverability suffers.</w:t>
      </w:r>
    </w:p>
    <w:p>
      <w:pPr>
        <w:pStyle w:val="ListBullet"/>
      </w:pPr>
      <w:r>
        <w:t>Hugo configuration gaps: params.toml is missing github_repo and github_branch, so the 'Edit this page' link is inert despite being wired in the template.</w:t>
      </w:r>
    </w:p>
    <w:p>
      <w:r>
        <w:br w:type="page"/>
      </w:r>
    </w:p>
    <w:p>
      <w:pPr>
        <w:pStyle w:val="Heading1"/>
      </w:pPr>
      <w:r>
        <w:t>3. Competitive landscape and authority opportunities</w:t>
      </w:r>
    </w:p>
    <w:p>
      <w:pPr>
        <w:pStyle w:val="Heading2"/>
      </w:pPr>
      <w:r>
        <w:t>3.1 The market in May 2026</w:t>
      </w:r>
    </w:p>
    <w:p>
      <w:r>
        <w:rPr>
          <w:b w:val="0"/>
          <w:i w:val="0"/>
        </w:rPr>
        <w:t>Workday's official OfficeConnect documentation lives at doc.workday.com but is dense, partially gated, and not designed for SEO discovery. The marketing page at workday.com/en-us/products/adaptive-planning/officeconnect.html is a single overview surface. Public coverage of the product is dominated by implementation-partner blogs: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2304"/>
            <w:shd w:val="clear" w:color="auto" w:fill="18181B"/>
            <w:vAlign w:val="center"/>
          </w:tcPr>
          <w:p>
            <w:r/>
            <w:r>
              <w:rPr>
                <w:b/>
                <w:color w:val="FFFFFF"/>
                <w:sz w:val="20"/>
              </w:rPr>
              <w:t>Publisher</w:t>
            </w:r>
          </w:p>
        </w:tc>
        <w:tc>
          <w:tcPr>
            <w:tcW w:type="dxa" w:w="3456"/>
            <w:shd w:val="clear" w:color="auto" w:fill="18181B"/>
            <w:vAlign w:val="center"/>
          </w:tcPr>
          <w:p>
            <w:r/>
            <w:r>
              <w:rPr>
                <w:b/>
                <w:color w:val="FFFFFF"/>
                <w:sz w:val="20"/>
              </w:rPr>
              <w:t>What they cover</w:t>
            </w:r>
          </w:p>
        </w:tc>
        <w:tc>
          <w:tcPr>
            <w:tcW w:type="dxa" w:w="3600"/>
            <w:shd w:val="clear" w:color="auto" w:fill="18181B"/>
            <w:vAlign w:val="center"/>
          </w:tcPr>
          <w:p>
            <w:r/>
            <w:r>
              <w:rPr>
                <w:b/>
                <w:color w:val="FFFFFF"/>
                <w:sz w:val="20"/>
              </w:rPr>
              <w:t>Where they fall short</w:t>
            </w:r>
          </w:p>
        </w:tc>
      </w:tr>
      <w:tr>
        <w:tc>
          <w:tcPr>
            <w:tcW w:type="dxa" w:w="2304"/>
            <w:vAlign w:val="top"/>
          </w:tcPr>
          <w:p>
            <w:r/>
            <w:r>
              <w:rPr>
                <w:sz w:val="20"/>
              </w:rPr>
              <w:t>Revelwood</w:t>
            </w:r>
          </w:p>
        </w:tc>
        <w:tc>
          <w:tcPr>
            <w:tcW w:type="dxa" w:w="3456"/>
            <w:vAlign w:val="top"/>
          </w:tcPr>
          <w:p>
            <w:r/>
            <w:r>
              <w:rPr>
                <w:sz w:val="20"/>
              </w:rPr>
              <w:t>Write-back, repeating reports, labels, templates ('Tips &amp; Tricks' series)</w:t>
            </w:r>
          </w:p>
        </w:tc>
        <w:tc>
          <w:tcPr>
            <w:tcW w:type="dxa" w:w="3600"/>
            <w:vAlign w:val="top"/>
          </w:tcPr>
          <w:p>
            <w:r/>
            <w:r>
              <w:rPr>
                <w:sz w:val="20"/>
              </w:rPr>
              <w:t>Short-form, marketing-adjacent, aging</w:t>
            </w:r>
          </w:p>
        </w:tc>
      </w:tr>
      <w:tr>
        <w:tc>
          <w:tcPr>
            <w:tcW w:type="dxa" w:w="2304"/>
            <w:vAlign w:val="top"/>
          </w:tcPr>
          <w:p>
            <w:r/>
            <w:r>
              <w:rPr>
                <w:sz w:val="20"/>
              </w:rPr>
              <w:t>QMetrix (AU)</w:t>
            </w:r>
          </w:p>
        </w:tc>
        <w:tc>
          <w:tcPr>
            <w:tcW w:type="dxa" w:w="3456"/>
            <w:vAlign w:val="top"/>
          </w:tcPr>
          <w:p>
            <w:r/>
            <w:r>
              <w:rPr>
                <w:sz w:val="20"/>
              </w:rPr>
              <w:t>Release-notes recaps, Word/PowerPoint linking, report maintenance</w:t>
            </w:r>
          </w:p>
        </w:tc>
        <w:tc>
          <w:tcPr>
            <w:tcW w:type="dxa" w:w="3600"/>
            <w:vAlign w:val="top"/>
          </w:tcPr>
          <w:p>
            <w:r/>
            <w:r>
              <w:rPr>
                <w:sz w:val="20"/>
              </w:rPr>
              <w:t>Weak on troubleshooting and IT admin</w:t>
            </w:r>
          </w:p>
        </w:tc>
      </w:tr>
      <w:tr>
        <w:tc>
          <w:tcPr>
            <w:tcW w:type="dxa" w:w="2304"/>
            <w:vAlign w:val="top"/>
          </w:tcPr>
          <w:p>
            <w:r/>
            <w:r>
              <w:rPr>
                <w:sz w:val="20"/>
              </w:rPr>
              <w:t>QueBIT</w:t>
            </w:r>
          </w:p>
        </w:tc>
        <w:tc>
          <w:tcPr>
            <w:tcW w:type="dxa" w:w="3456"/>
            <w:vAlign w:val="top"/>
          </w:tcPr>
          <w:p>
            <w:r/>
            <w:r>
              <w:rPr>
                <w:sz w:val="20"/>
              </w:rPr>
              <w:t>Q&amp;A format: basics, advanced features, dynamic reports</w:t>
            </w:r>
          </w:p>
        </w:tc>
        <w:tc>
          <w:tcPr>
            <w:tcW w:type="dxa" w:w="3600"/>
            <w:vAlign w:val="top"/>
          </w:tcPr>
          <w:p>
            <w:r/>
            <w:r>
              <w:rPr>
                <w:sz w:val="20"/>
              </w:rPr>
              <w:t>Only ~5 OfficeConnect posts; no troubleshooting depth</w:t>
            </w:r>
          </w:p>
        </w:tc>
      </w:tr>
      <w:tr>
        <w:tc>
          <w:tcPr>
            <w:tcW w:type="dxa" w:w="2304"/>
            <w:vAlign w:val="top"/>
          </w:tcPr>
          <w:p>
            <w:r/>
            <w:r>
              <w:rPr>
                <w:sz w:val="20"/>
              </w:rPr>
              <w:t>Armanino</w:t>
            </w:r>
          </w:p>
        </w:tc>
        <w:tc>
          <w:tcPr>
            <w:tcW w:type="dxa" w:w="3456"/>
            <w:vAlign w:val="top"/>
          </w:tcPr>
          <w:p>
            <w:r/>
            <w:r>
              <w:rPr>
                <w:sz w:val="20"/>
              </w:rPr>
              <w:t>'Ask An Expert' video series including board reporting</w:t>
            </w:r>
          </w:p>
        </w:tc>
        <w:tc>
          <w:tcPr>
            <w:tcW w:type="dxa" w:w="3600"/>
            <w:vAlign w:val="top"/>
          </w:tcPr>
          <w:p>
            <w:r/>
            <w:r>
              <w:rPr>
                <w:sz w:val="20"/>
              </w:rPr>
              <w:t>Gated/lead-gen, not searchable depth</w:t>
            </w:r>
          </w:p>
        </w:tc>
      </w:tr>
      <w:tr>
        <w:tc>
          <w:tcPr>
            <w:tcW w:type="dxa" w:w="2304"/>
            <w:vAlign w:val="top"/>
          </w:tcPr>
          <w:p>
            <w:r/>
            <w:r>
              <w:rPr>
                <w:sz w:val="20"/>
              </w:rPr>
              <w:t>Surety Systems, Accordion, Abaci, Tridant, Kainos, Decision Inc, Deflytics, GK Horizons</w:t>
            </w:r>
          </w:p>
        </w:tc>
        <w:tc>
          <w:tcPr>
            <w:tcW w:type="dxa" w:w="3456"/>
            <w:vAlign w:val="top"/>
          </w:tcPr>
          <w:p>
            <w:r/>
            <w:r>
              <w:rPr>
                <w:sz w:val="20"/>
              </w:rPr>
              <w:t>Evergreen overview posts</w:t>
            </w:r>
          </w:p>
        </w:tc>
        <w:tc>
          <w:tcPr>
            <w:tcW w:type="dxa" w:w="3600"/>
            <w:vAlign w:val="top"/>
          </w:tcPr>
          <w:p>
            <w:r/>
            <w:r>
              <w:rPr>
                <w:sz w:val="20"/>
              </w:rPr>
              <w:t>Recycle datasheet content; many dated 2018-2022</w:t>
            </w:r>
          </w:p>
        </w:tc>
      </w:tr>
      <w:tr>
        <w:tc>
          <w:tcPr>
            <w:tcW w:type="dxa" w:w="2304"/>
            <w:vAlign w:val="top"/>
          </w:tcPr>
          <w:p>
            <w:r/>
            <w:r>
              <w:rPr>
                <w:sz w:val="20"/>
              </w:rPr>
              <w:t>Higher-ed institutional KBs (MSU Denver, WUSTL, VUMC, U. of Nevada)</w:t>
            </w:r>
          </w:p>
        </w:tc>
        <w:tc>
          <w:tcPr>
            <w:tcW w:type="dxa" w:w="3456"/>
            <w:vAlign w:val="top"/>
          </w:tcPr>
          <w:p>
            <w:r/>
            <w:r>
              <w:rPr>
                <w:sz w:val="20"/>
              </w:rPr>
              <w:t>Tenant-specific install guides</w:t>
            </w:r>
          </w:p>
        </w:tc>
        <w:tc>
          <w:tcPr>
            <w:tcW w:type="dxa" w:w="3600"/>
            <w:vAlign w:val="top"/>
          </w:tcPr>
          <w:p>
            <w:r/>
            <w:r>
              <w:rPr>
                <w:sz w:val="20"/>
              </w:rPr>
              <w:t>Rank surprisingly well — proof of low competition</w:t>
            </w:r>
          </w:p>
        </w:tc>
      </w:tr>
      <w:tr>
        <w:tc>
          <w:tcPr>
            <w:tcW w:type="dxa" w:w="2304"/>
            <w:vAlign w:val="top"/>
          </w:tcPr>
          <w:p>
            <w:r/>
            <w:r>
              <w:rPr>
                <w:sz w:val="20"/>
              </w:rPr>
              <w:t>YouTube (no dedicated channel)</w:t>
            </w:r>
          </w:p>
        </w:tc>
        <w:tc>
          <w:tcPr>
            <w:tcW w:type="dxa" w:w="3456"/>
            <w:vAlign w:val="top"/>
          </w:tcPr>
          <w:p>
            <w:r/>
            <w:r>
              <w:rPr>
                <w:sz w:val="20"/>
              </w:rPr>
              <w:t>One Adaptive write-back walkthrough (Jul 2025); Revelwood/QMetrix one-offs</w:t>
            </w:r>
          </w:p>
        </w:tc>
        <w:tc>
          <w:tcPr>
            <w:tcW w:type="dxa" w:w="3600"/>
            <w:vAlign w:val="top"/>
          </w:tcPr>
          <w:p>
            <w:r/>
            <w:r>
              <w:rPr>
                <w:sz w:val="20"/>
              </w:rPr>
              <w:t>No playlists, no series, no consistent voice</w:t>
            </w:r>
          </w:p>
        </w:tc>
      </w:tr>
      <w:tr>
        <w:tc>
          <w:tcPr>
            <w:tcW w:type="dxa" w:w="2304"/>
            <w:vAlign w:val="top"/>
          </w:tcPr>
          <w:p>
            <w:r/>
            <w:r>
              <w:rPr>
                <w:sz w:val="20"/>
              </w:rPr>
              <w:t>Reddit r/workday + Microsoft Q&amp;A</w:t>
            </w:r>
          </w:p>
        </w:tc>
        <w:tc>
          <w:tcPr>
            <w:tcW w:type="dxa" w:w="3456"/>
            <w:vAlign w:val="top"/>
          </w:tcPr>
          <w:p>
            <w:r/>
            <w:r>
              <w:rPr>
                <w:sz w:val="20"/>
              </w:rPr>
              <w:t>Sparse troubleshooting threads</w:t>
            </w:r>
          </w:p>
        </w:tc>
        <w:tc>
          <w:tcPr>
            <w:tcW w:type="dxa" w:w="3600"/>
            <w:vAlign w:val="top"/>
          </w:tcPr>
          <w:p>
            <w:r/>
            <w:r>
              <w:rPr>
                <w:sz w:val="20"/>
              </w:rPr>
              <w:t>Workday-native community help essentially nonexistent</w:t>
            </w:r>
          </w:p>
        </w:tc>
      </w:tr>
    </w:tbl>
    <w:p>
      <w:pPr>
        <w:pStyle w:val="Heading2"/>
      </w:pPr>
      <w:r>
        <w:t>3.2 The authority opportunities</w:t>
      </w:r>
    </w:p>
    <w:p>
      <w:r>
        <w:rPr>
          <w:b w:val="0"/>
          <w:i w:val="0"/>
        </w:rPr>
        <w:t>The wide-open territory falls into seven clusters. Each represents a series of articles, not a single post.</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4680"/>
        <w:gridCol w:w="4680"/>
      </w:tblGrid>
      <w:tr>
        <w:tc>
          <w:tcPr>
            <w:tcW w:type="dxa" w:w="4320"/>
            <w:shd w:val="clear" w:color="auto" w:fill="18181B"/>
            <w:vAlign w:val="center"/>
          </w:tcPr>
          <w:p>
            <w:r/>
            <w:r>
              <w:rPr>
                <w:b/>
                <w:color w:val="FFFFFF"/>
                <w:sz w:val="20"/>
              </w:rPr>
              <w:t>Opportunity cluster</w:t>
            </w:r>
          </w:p>
        </w:tc>
        <w:tc>
          <w:tcPr>
            <w:tcW w:type="dxa" w:w="5040"/>
            <w:shd w:val="clear" w:color="auto" w:fill="18181B"/>
            <w:vAlign w:val="center"/>
          </w:tcPr>
          <w:p>
            <w:r/>
            <w:r>
              <w:rPr>
                <w:b/>
                <w:color w:val="FFFFFF"/>
                <w:sz w:val="20"/>
              </w:rPr>
              <w:t>Why nobody else covers it well</w:t>
            </w:r>
          </w:p>
        </w:tc>
      </w:tr>
      <w:tr>
        <w:tc>
          <w:tcPr>
            <w:tcW w:type="dxa" w:w="4320"/>
            <w:vAlign w:val="top"/>
          </w:tcPr>
          <w:p>
            <w:r/>
            <w:r>
              <w:rPr>
                <w:sz w:val="20"/>
              </w:rPr>
              <w:t>Troubleshooting depth (think-cell conflicts, COM re-enable, refresh failures, SSO loops)</w:t>
            </w:r>
          </w:p>
        </w:tc>
        <w:tc>
          <w:tcPr>
            <w:tcW w:type="dxa" w:w="5040"/>
            <w:vAlign w:val="top"/>
          </w:tcPr>
          <w:p>
            <w:r/>
            <w:r>
              <w:rPr>
                <w:sz w:val="20"/>
              </w:rPr>
              <w:t>Only the competitor (think-cell KB0231) documents its own conflict; SSO bounce-back loops surface only on generic Entra/Okta forums</w:t>
            </w:r>
          </w:p>
        </w:tc>
      </w:tr>
      <w:tr>
        <w:tc>
          <w:tcPr>
            <w:tcW w:type="dxa" w:w="4320"/>
            <w:vAlign w:val="top"/>
          </w:tcPr>
          <w:p>
            <w:r/>
            <w:r>
              <w:rPr>
                <w:sz w:val="20"/>
              </w:rPr>
              <w:t>IT-admin deployment (Intune, SCCM, GPO, version pinning)</w:t>
            </w:r>
          </w:p>
        </w:tc>
        <w:tc>
          <w:tcPr>
            <w:tcW w:type="dxa" w:w="5040"/>
            <w:vAlign w:val="top"/>
          </w:tcPr>
          <w:p>
            <w:r/>
            <w:r>
              <w:rPr>
                <w:sz w:val="20"/>
              </w:rPr>
              <w:t>Workday docs cover tenant XML only; nothing on enterprise rollout</w:t>
            </w:r>
          </w:p>
        </w:tc>
      </w:tr>
      <w:tr>
        <w:tc>
          <w:tcPr>
            <w:tcW w:type="dxa" w:w="4320"/>
            <w:vAlign w:val="top"/>
          </w:tcPr>
          <w:p>
            <w:r/>
            <w:r>
              <w:rPr>
                <w:sz w:val="20"/>
              </w:rPr>
              <w:t>Mac and VDI workflows (Parallels, AVD, AWS WorkSpaces)</w:t>
            </w:r>
          </w:p>
        </w:tc>
        <w:tc>
          <w:tcPr>
            <w:tcW w:type="dxa" w:w="5040"/>
            <w:vAlign w:val="top"/>
          </w:tcPr>
          <w:p>
            <w:r/>
            <w:r>
              <w:rPr>
                <w:sz w:val="20"/>
              </w:rPr>
              <w:t>Universally mentioned as 'Windows only'; nobody publishes a solved workflow</w:t>
            </w:r>
          </w:p>
        </w:tc>
      </w:tr>
      <w:tr>
        <w:tc>
          <w:tcPr>
            <w:tcW w:type="dxa" w:w="4320"/>
            <w:vAlign w:val="top"/>
          </w:tcPr>
          <w:p>
            <w:r/>
            <w:r>
              <w:rPr>
                <w:sz w:val="20"/>
              </w:rPr>
              <w:t>Write-back governance and design (2025R1)</w:t>
            </w:r>
          </w:p>
        </w:tc>
        <w:tc>
          <w:tcPr>
            <w:tcW w:type="dxa" w:w="5040"/>
            <w:vAlign w:val="top"/>
          </w:tcPr>
          <w:p>
            <w:r/>
            <w:r>
              <w:rPr>
                <w:sz w:val="20"/>
              </w:rPr>
              <w:t>Revelwood has one intro post; nothing on permissions design, audit trails, leaf-level rules</w:t>
            </w:r>
          </w:p>
        </w:tc>
      </w:tr>
      <w:tr>
        <w:tc>
          <w:tcPr>
            <w:tcW w:type="dxa" w:w="4320"/>
            <w:vAlign w:val="top"/>
          </w:tcPr>
          <w:p>
            <w:r/>
            <w:r>
              <w:rPr>
                <w:sz w:val="20"/>
              </w:rPr>
              <w:t>2026R1 features (View By, personal what-if scenarios)</w:t>
            </w:r>
          </w:p>
        </w:tc>
        <w:tc>
          <w:tcPr>
            <w:tcW w:type="dxa" w:w="5040"/>
            <w:vAlign w:val="top"/>
          </w:tcPr>
          <w:p>
            <w:r/>
            <w:r>
              <w:rPr>
                <w:sz w:val="20"/>
              </w:rPr>
              <w:t>Released March 14, 2026 with zero independent coverage to date</w:t>
            </w:r>
          </w:p>
        </w:tc>
      </w:tr>
      <w:tr>
        <w:tc>
          <w:tcPr>
            <w:tcW w:type="dxa" w:w="4320"/>
            <w:vAlign w:val="top"/>
          </w:tcPr>
          <w:p>
            <w:r/>
            <w:r>
              <w:rPr>
                <w:sz w:val="20"/>
              </w:rPr>
              <w:t>Migration from SmartView, OneStream, Vena, Anaplan</w:t>
            </w:r>
          </w:p>
        </w:tc>
        <w:tc>
          <w:tcPr>
            <w:tcW w:type="dxa" w:w="5040"/>
            <w:vAlign w:val="top"/>
          </w:tcPr>
          <w:p>
            <w:r/>
            <w:r>
              <w:rPr>
                <w:sz w:val="20"/>
              </w:rPr>
              <w:t>Direct displacement intent; no published migration guides exist</w:t>
            </w:r>
          </w:p>
        </w:tc>
      </w:tr>
      <w:tr>
        <w:tc>
          <w:tcPr>
            <w:tcW w:type="dxa" w:w="4320"/>
            <w:vAlign w:val="top"/>
          </w:tcPr>
          <w:p>
            <w:r/>
            <w:r>
              <w:rPr>
                <w:sz w:val="20"/>
              </w:rPr>
              <w:t>Decision frameworks (OfficeConnect vs Adaptive web reports, vs Excel-native)</w:t>
            </w:r>
          </w:p>
        </w:tc>
        <w:tc>
          <w:tcPr>
            <w:tcW w:type="dxa" w:w="5040"/>
            <w:vAlign w:val="top"/>
          </w:tcPr>
          <w:p>
            <w:r/>
            <w:r>
              <w:rPr>
                <w:sz w:val="20"/>
              </w:rPr>
              <w:t>Referenced in passing on QMetrix; no scoring matrix anywhere</w:t>
            </w:r>
          </w:p>
        </w:tc>
      </w:tr>
    </w:tbl>
    <w:p>
      <w:pPr>
        <w:pStyle w:val="Heading2"/>
      </w:pPr>
      <w:r>
        <w:t>3.3 Twenty long-tail queries worth owning</w:t>
      </w:r>
    </w:p>
    <w:p>
      <w:r>
        <w:rPr>
          <w:b w:val="0"/>
          <w:i w:val="0"/>
        </w:rPr>
        <w:t>Each of these has high commercial or operational intent and minimal authoritative content today:</w:t>
      </w:r>
    </w:p>
    <w:p>
      <w:pPr>
        <w:pStyle w:val="ListBullet"/>
      </w:pPr>
      <w:r>
        <w:t>officeconnect rolling 12 month formula</w:t>
      </w:r>
    </w:p>
    <w:p>
      <w:pPr>
        <w:pStyle w:val="ListBullet"/>
      </w:pPr>
      <w:r>
        <w:t>officeconnect drill through to journal entry</w:t>
      </w:r>
    </w:p>
    <w:p>
      <w:pPr>
        <w:pStyle w:val="ListBullet"/>
      </w:pPr>
      <w:r>
        <w:t>officeconnect attribute hierarchy expand</w:t>
      </w:r>
    </w:p>
    <w:p>
      <w:pPr>
        <w:pStyle w:val="ListBullet"/>
      </w:pPr>
      <w:r>
        <w:t>officeconnect think-cell conflict fix</w:t>
      </w:r>
    </w:p>
    <w:p>
      <w:pPr>
        <w:pStyle w:val="ListBullet"/>
      </w:pPr>
      <w:r>
        <w:t>officeconnect write-back permission setup</w:t>
      </w:r>
    </w:p>
    <w:p>
      <w:pPr>
        <w:pStyle w:val="ListBullet"/>
      </w:pPr>
      <w:r>
        <w:t>officeconnect View By 2026R1 how to</w:t>
      </w:r>
    </w:p>
    <w:p>
      <w:pPr>
        <w:pStyle w:val="ListBullet"/>
      </w:pPr>
      <w:r>
        <w:t>officeconnect personal what-if version</w:t>
      </w:r>
    </w:p>
    <w:p>
      <w:pPr>
        <w:pStyle w:val="ListBullet"/>
      </w:pPr>
      <w:r>
        <w:t>officeconnect tenant XML multi-tenant SSO</w:t>
      </w:r>
    </w:p>
    <w:p>
      <w:pPr>
        <w:pStyle w:val="ListBullet"/>
      </w:pPr>
      <w:r>
        <w:t>officeconnect silent install Intune</w:t>
      </w:r>
    </w:p>
    <w:p>
      <w:pPr>
        <w:pStyle w:val="ListBullet"/>
      </w:pPr>
      <w:r>
        <w:t>officeconnect Mac VDI alternative</w:t>
      </w:r>
    </w:p>
    <w:p>
      <w:pPr>
        <w:pStyle w:val="ListBullet"/>
      </w:pPr>
      <w:r>
        <w:t>officeconnect refresh contact technical support error</w:t>
      </w:r>
    </w:p>
    <w:p>
      <w:pPr>
        <w:pStyle w:val="ListBullet"/>
      </w:pPr>
      <w:r>
        <w:t>officeconnect disabled COM add-in re-enable</w:t>
      </w:r>
    </w:p>
    <w:p>
      <w:pPr>
        <w:pStyle w:val="ListBullet"/>
      </w:pPr>
      <w:r>
        <w:t>officeconnect repeating report sheet name tokens</w:t>
      </w:r>
    </w:p>
    <w:p>
      <w:pPr>
        <w:pStyle w:val="ListBullet"/>
      </w:pPr>
      <w:r>
        <w:t>officeconnect copy paste breaks link</w:t>
      </w:r>
    </w:p>
    <w:p>
      <w:pPr>
        <w:pStyle w:val="ListBullet"/>
      </w:pPr>
      <w:r>
        <w:t>officeconnect comment disappearing after refresh</w:t>
      </w:r>
    </w:p>
    <w:p>
      <w:pPr>
        <w:pStyle w:val="ListBullet"/>
      </w:pPr>
      <w:r>
        <w:t>officeconnect vs Adaptive web reports when to use</w:t>
      </w:r>
    </w:p>
    <w:p>
      <w:pPr>
        <w:pStyle w:val="ListBullet"/>
      </w:pPr>
      <w:r>
        <w:t>officeconnect SSO Okta loop</w:t>
      </w:r>
    </w:p>
    <w:p>
      <w:pPr>
        <w:pStyle w:val="ListBullet"/>
      </w:pPr>
      <w:r>
        <w:t>officeconnect 32-bit vs 64-bit Excel performance</w:t>
      </w:r>
    </w:p>
    <w:p>
      <w:pPr>
        <w:pStyle w:val="ListBullet"/>
      </w:pPr>
      <w:r>
        <w:t>officeconnect cell explorer audit trail SOX</w:t>
      </w:r>
    </w:p>
    <w:p>
      <w:pPr>
        <w:pStyle w:val="ListBullet"/>
      </w:pPr>
      <w:r>
        <w:t>officeconnect board book PowerPoint linked chart refresh</w:t>
      </w:r>
    </w:p>
    <w:p>
      <w:r>
        <w:br w:type="page"/>
      </w:r>
    </w:p>
    <w:p>
      <w:pPr>
        <w:pStyle w:val="Heading1"/>
      </w:pPr>
      <w:r>
        <w:t>4. Information architecture redesign</w:t>
      </w:r>
    </w:p>
    <w:p>
      <w:pPr>
        <w:pStyle w:val="Heading2"/>
      </w:pPr>
      <w:r>
        <w:t>4.1 Current IA</w:t>
      </w:r>
    </w:p>
    <w:p>
      <w:r>
        <w:rPr>
          <w:b w:val="0"/>
          <w:i w:val="0"/>
        </w:rPr>
        <w:t>Five top-level sections, one of them with a nested sub-section, with only three sections exposed in the main navigation:</w:t>
      </w:r>
    </w:p>
    <w:p>
      <w:pPr>
        <w:pStyle w:val="ListBullet"/>
      </w:pPr>
      <w:r>
        <w:t>Get Started (in nav)</w:t>
      </w:r>
    </w:p>
    <w:p>
      <w:pPr>
        <w:pStyle w:val="ListBullet"/>
      </w:pPr>
      <w:r>
        <w:t>Build Reports (in nav) → Financials sub-section (14 articles, two levels deep)</w:t>
      </w:r>
    </w:p>
    <w:p>
      <w:pPr>
        <w:pStyle w:val="ListBullet"/>
      </w:pPr>
      <w:r>
        <w:t>Connect (sidebar only)</w:t>
      </w:r>
    </w:p>
    <w:p>
      <w:pPr>
        <w:pStyle w:val="ListBullet"/>
      </w:pPr>
      <w:r>
        <w:t>Share &amp; Publish (sidebar only)</w:t>
      </w:r>
    </w:p>
    <w:p>
      <w:pPr>
        <w:pStyle w:val="ListBullet"/>
      </w:pPr>
      <w:r>
        <w:t>Troubleshoot (in nav)</w:t>
      </w:r>
    </w:p>
    <w:p>
      <w:pPr>
        <w:pStyle w:val="Heading2"/>
      </w:pPr>
      <w:r>
        <w:t>4.2 Proposed IA</w:t>
      </w:r>
    </w:p>
    <w:p>
      <w:r>
        <w:rPr>
          <w:b w:val="0"/>
          <w:i w:val="0"/>
        </w:rPr>
        <w:t>Ten top-level sections plus a utility nav. The intent: every section has a single clear job, IT-admin work has its own home, and the underserved areas (write-back, performance, migration, release notes) become first-class destinations.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2592"/>
            <w:shd w:val="clear" w:color="auto" w:fill="18181B"/>
            <w:vAlign w:val="center"/>
          </w:tcPr>
          <w:p>
            <w:r/>
            <w:r>
              <w:rPr>
                <w:b/>
                <w:color w:val="FFFFFF"/>
                <w:sz w:val="20"/>
              </w:rPr>
              <w:t>Section</w:t>
            </w:r>
          </w:p>
        </w:tc>
        <w:tc>
          <w:tcPr>
            <w:tcW w:type="dxa" w:w="5040"/>
            <w:shd w:val="clear" w:color="auto" w:fill="18181B"/>
            <w:vAlign w:val="center"/>
          </w:tcPr>
          <w:p>
            <w:r/>
            <w:r>
              <w:rPr>
                <w:b/>
                <w:color w:val="FFFFFF"/>
                <w:sz w:val="20"/>
              </w:rPr>
              <w:t>Job</w:t>
            </w:r>
          </w:p>
        </w:tc>
        <w:tc>
          <w:tcPr>
            <w:tcW w:type="dxa" w:w="1728"/>
            <w:shd w:val="clear" w:color="auto" w:fill="18181B"/>
            <w:vAlign w:val="center"/>
          </w:tcPr>
          <w:p>
            <w:r/>
            <w:r>
              <w:rPr>
                <w:b/>
                <w:color w:val="FFFFFF"/>
                <w:sz w:val="20"/>
              </w:rPr>
              <w:t>Article count after Phase 3</w:t>
            </w:r>
          </w:p>
        </w:tc>
      </w:tr>
      <w:tr>
        <w:tc>
          <w:tcPr>
            <w:tcW w:type="dxa" w:w="2592"/>
            <w:vAlign w:val="top"/>
          </w:tcPr>
          <w:p>
            <w:r/>
            <w:r>
              <w:rPr>
                <w:sz w:val="20"/>
              </w:rPr>
              <w:t>Get Started</w:t>
            </w:r>
          </w:p>
        </w:tc>
        <w:tc>
          <w:tcPr>
            <w:tcW w:type="dxa" w:w="5040"/>
            <w:vAlign w:val="top"/>
          </w:tcPr>
          <w:p>
            <w:r/>
            <w:r>
              <w:rPr>
                <w:sz w:val="20"/>
              </w:rPr>
              <w:t>First 30 minutes for new users; install, connect, decide whether OfficeConnect is right</w:t>
            </w:r>
          </w:p>
        </w:tc>
        <w:tc>
          <w:tcPr>
            <w:tcW w:type="dxa" w:w="1728"/>
            <w:vAlign w:val="top"/>
          </w:tcPr>
          <w:p>
            <w:r/>
            <w:r>
              <w:rPr>
                <w:sz w:val="20"/>
              </w:rPr>
              <w:t>9</w:t>
            </w:r>
          </w:p>
        </w:tc>
      </w:tr>
      <w:tr>
        <w:tc>
          <w:tcPr>
            <w:tcW w:type="dxa" w:w="2592"/>
            <w:vAlign w:val="top"/>
          </w:tcPr>
          <w:p>
            <w:r/>
            <w:r>
              <w:rPr>
                <w:sz w:val="20"/>
              </w:rPr>
              <w:t>Build Reports</w:t>
            </w:r>
          </w:p>
        </w:tc>
        <w:tc>
          <w:tcPr>
            <w:tcW w:type="dxa" w:w="5040"/>
            <w:vAlign w:val="top"/>
          </w:tcPr>
          <w:p>
            <w:r/>
            <w:r>
              <w:rPr>
                <w:sz w:val="20"/>
              </w:rPr>
              <w:t>Core report-building mechanics, FP&amp;A recipes, Financials sub-section</w:t>
            </w:r>
          </w:p>
        </w:tc>
        <w:tc>
          <w:tcPr>
            <w:tcW w:type="dxa" w:w="1728"/>
            <w:vAlign w:val="top"/>
          </w:tcPr>
          <w:p>
            <w:r/>
            <w:r>
              <w:rPr>
                <w:sz w:val="20"/>
              </w:rPr>
              <w:t>55</w:t>
            </w:r>
          </w:p>
        </w:tc>
      </w:tr>
      <w:tr>
        <w:tc>
          <w:tcPr>
            <w:tcW w:type="dxa" w:w="2592"/>
            <w:vAlign w:val="top"/>
          </w:tcPr>
          <w:p>
            <w:r/>
            <w:r>
              <w:rPr>
                <w:sz w:val="20"/>
              </w:rPr>
              <w:t>Word &amp; PowerPoint</w:t>
            </w:r>
          </w:p>
        </w:tc>
        <w:tc>
          <w:tcPr>
            <w:tcW w:type="dxa" w:w="5040"/>
            <w:vAlign w:val="top"/>
          </w:tcPr>
          <w:p>
            <w:r/>
            <w:r>
              <w:rPr>
                <w:sz w:val="20"/>
              </w:rPr>
              <w:t>Board books, narratives, linked decks, recovery from broken links</w:t>
            </w:r>
          </w:p>
        </w:tc>
        <w:tc>
          <w:tcPr>
            <w:tcW w:type="dxa" w:w="1728"/>
            <w:vAlign w:val="top"/>
          </w:tcPr>
          <w:p>
            <w:r/>
            <w:r>
              <w:rPr>
                <w:sz w:val="20"/>
              </w:rPr>
              <w:t>15</w:t>
            </w:r>
          </w:p>
        </w:tc>
      </w:tr>
      <w:tr>
        <w:tc>
          <w:tcPr>
            <w:tcW w:type="dxa" w:w="2592"/>
            <w:vAlign w:val="top"/>
          </w:tcPr>
          <w:p>
            <w:r/>
            <w:r>
              <w:rPr>
                <w:sz w:val="20"/>
              </w:rPr>
              <w:t>Data Entry &amp; Write-Back</w:t>
            </w:r>
          </w:p>
        </w:tc>
        <w:tc>
          <w:tcPr>
            <w:tcW w:type="dxa" w:w="5040"/>
            <w:vAlign w:val="top"/>
          </w:tcPr>
          <w:p>
            <w:r/>
            <w:r>
              <w:rPr>
                <w:sz w:val="20"/>
              </w:rPr>
              <w:t>2025R1 write-back, planning data entry, approval flows</w:t>
            </w:r>
          </w:p>
        </w:tc>
        <w:tc>
          <w:tcPr>
            <w:tcW w:type="dxa" w:w="1728"/>
            <w:vAlign w:val="top"/>
          </w:tcPr>
          <w:p>
            <w:r/>
            <w:r>
              <w:rPr>
                <w:sz w:val="20"/>
              </w:rPr>
              <w:t>8</w:t>
            </w:r>
          </w:p>
        </w:tc>
      </w:tr>
      <w:tr>
        <w:tc>
          <w:tcPr>
            <w:tcW w:type="dxa" w:w="2592"/>
            <w:vAlign w:val="top"/>
          </w:tcPr>
          <w:p>
            <w:r/>
            <w:r>
              <w:rPr>
                <w:sz w:val="20"/>
              </w:rPr>
              <w:t>Admin</w:t>
            </w:r>
          </w:p>
        </w:tc>
        <w:tc>
          <w:tcPr>
            <w:tcW w:type="dxa" w:w="5040"/>
            <w:vAlign w:val="top"/>
          </w:tcPr>
          <w:p>
            <w:r/>
            <w:r>
              <w:rPr>
                <w:sz w:val="20"/>
              </w:rPr>
              <w:t>Deploy, configure, govern, upgrade — formerly Connect, expanded</w:t>
            </w:r>
          </w:p>
        </w:tc>
        <w:tc>
          <w:tcPr>
            <w:tcW w:type="dxa" w:w="1728"/>
            <w:vAlign w:val="top"/>
          </w:tcPr>
          <w:p>
            <w:r/>
            <w:r>
              <w:rPr>
                <w:sz w:val="20"/>
              </w:rPr>
              <w:t>25</w:t>
            </w:r>
          </w:p>
        </w:tc>
      </w:tr>
      <w:tr>
        <w:tc>
          <w:tcPr>
            <w:tcW w:type="dxa" w:w="2592"/>
            <w:vAlign w:val="top"/>
          </w:tcPr>
          <w:p>
            <w:r/>
            <w:r>
              <w:rPr>
                <w:sz w:val="20"/>
              </w:rPr>
              <w:t>Performance</w:t>
            </w:r>
          </w:p>
        </w:tc>
        <w:tc>
          <w:tcPr>
            <w:tcW w:type="dxa" w:w="5040"/>
            <w:vAlign w:val="top"/>
          </w:tcPr>
          <w:p>
            <w:r/>
            <w:r>
              <w:rPr>
                <w:sz w:val="20"/>
              </w:rPr>
              <w:t>Make reports fast; the 32-bit/64-bit conversation; large workbook patterns</w:t>
            </w:r>
          </w:p>
        </w:tc>
        <w:tc>
          <w:tcPr>
            <w:tcW w:type="dxa" w:w="1728"/>
            <w:vAlign w:val="top"/>
          </w:tcPr>
          <w:p>
            <w:r/>
            <w:r>
              <w:rPr>
                <w:sz w:val="20"/>
              </w:rPr>
              <w:t>8</w:t>
            </w:r>
          </w:p>
        </w:tc>
      </w:tr>
      <w:tr>
        <w:tc>
          <w:tcPr>
            <w:tcW w:type="dxa" w:w="2592"/>
            <w:vAlign w:val="top"/>
          </w:tcPr>
          <w:p>
            <w:r/>
            <w:r>
              <w:rPr>
                <w:sz w:val="20"/>
              </w:rPr>
              <w:t>Troubleshoot</w:t>
            </w:r>
          </w:p>
        </w:tc>
        <w:tc>
          <w:tcPr>
            <w:tcW w:type="dxa" w:w="5040"/>
            <w:vAlign w:val="top"/>
          </w:tcPr>
          <w:p>
            <w:r/>
            <w:r>
              <w:rPr>
                <w:sz w:val="20"/>
              </w:rPr>
              <w:t>Symptom-keyed and error-code-keyed fixes; restructured</w:t>
            </w:r>
          </w:p>
        </w:tc>
        <w:tc>
          <w:tcPr>
            <w:tcW w:type="dxa" w:w="1728"/>
            <w:vAlign w:val="top"/>
          </w:tcPr>
          <w:p>
            <w:r/>
            <w:r>
              <w:rPr>
                <w:sz w:val="20"/>
              </w:rPr>
              <w:t>30</w:t>
            </w:r>
          </w:p>
        </w:tc>
      </w:tr>
      <w:tr>
        <w:tc>
          <w:tcPr>
            <w:tcW w:type="dxa" w:w="2592"/>
            <w:vAlign w:val="top"/>
          </w:tcPr>
          <w:p>
            <w:r/>
            <w:r>
              <w:rPr>
                <w:sz w:val="20"/>
              </w:rPr>
              <w:t>Migration &amp; Comparison</w:t>
            </w:r>
          </w:p>
        </w:tc>
        <w:tc>
          <w:tcPr>
            <w:tcW w:type="dxa" w:w="5040"/>
            <w:vAlign w:val="top"/>
          </w:tcPr>
          <w:p>
            <w:r/>
            <w:r>
              <w:rPr>
                <w:sz w:val="20"/>
              </w:rPr>
              <w:t>From SmartView/OneStream/Vena/Anaplan; vs web reports; vs Excel-native</w:t>
            </w:r>
          </w:p>
        </w:tc>
        <w:tc>
          <w:tcPr>
            <w:tcW w:type="dxa" w:w="1728"/>
            <w:vAlign w:val="top"/>
          </w:tcPr>
          <w:p>
            <w:r/>
            <w:r>
              <w:rPr>
                <w:sz w:val="20"/>
              </w:rPr>
              <w:t>8</w:t>
            </w:r>
          </w:p>
        </w:tc>
      </w:tr>
      <w:tr>
        <w:tc>
          <w:tcPr>
            <w:tcW w:type="dxa" w:w="2592"/>
            <w:vAlign w:val="top"/>
          </w:tcPr>
          <w:p>
            <w:r/>
            <w:r>
              <w:rPr>
                <w:sz w:val="20"/>
              </w:rPr>
              <w:t>What's New</w:t>
            </w:r>
          </w:p>
        </w:tc>
        <w:tc>
          <w:tcPr>
            <w:tcW w:type="dxa" w:w="5040"/>
            <w:vAlign w:val="top"/>
          </w:tcPr>
          <w:p>
            <w:r/>
            <w:r>
              <w:rPr>
                <w:sz w:val="20"/>
              </w:rPr>
              <w:t>Release-notes hub keyed to Workday's R1/R2 cadence</w:t>
            </w:r>
          </w:p>
        </w:tc>
        <w:tc>
          <w:tcPr>
            <w:tcW w:type="dxa" w:w="1728"/>
            <w:vAlign w:val="top"/>
          </w:tcPr>
          <w:p>
            <w:r/>
            <w:r>
              <w:rPr>
                <w:sz w:val="20"/>
              </w:rPr>
              <w:t>10</w:t>
            </w:r>
          </w:p>
        </w:tc>
      </w:tr>
      <w:tr>
        <w:tc>
          <w:tcPr>
            <w:tcW w:type="dxa" w:w="2592"/>
            <w:vAlign w:val="top"/>
          </w:tcPr>
          <w:p>
            <w:r/>
            <w:r>
              <w:rPr>
                <w:sz w:val="20"/>
              </w:rPr>
              <w:t>Reference</w:t>
            </w:r>
          </w:p>
        </w:tc>
        <w:tc>
          <w:tcPr>
            <w:tcW w:type="dxa" w:w="5040"/>
            <w:vAlign w:val="top"/>
          </w:tcPr>
          <w:p>
            <w:r/>
            <w:r>
              <w:rPr>
                <w:sz w:val="20"/>
              </w:rPr>
              <w:t>Glossary, formula syntax, element types, keyboard shortcuts, endpoints</w:t>
            </w:r>
          </w:p>
        </w:tc>
        <w:tc>
          <w:tcPr>
            <w:tcW w:type="dxa" w:w="1728"/>
            <w:vAlign w:val="top"/>
          </w:tcPr>
          <w:p>
            <w:r/>
            <w:r>
              <w:rPr>
                <w:sz w:val="20"/>
              </w:rPr>
              <w:t>12</w:t>
            </w:r>
          </w:p>
        </w:tc>
      </w:tr>
      <w:tr>
        <w:tc>
          <w:tcPr>
            <w:tcW w:type="dxa" w:w="2592"/>
            <w:vAlign w:val="top"/>
          </w:tcPr>
          <w:p>
            <w:r/>
            <w:r>
              <w:rPr>
                <w:sz w:val="20"/>
              </w:rPr>
              <w:t>(Utility) Resources</w:t>
            </w:r>
          </w:p>
        </w:tc>
        <w:tc>
          <w:tcPr>
            <w:tcW w:type="dxa" w:w="5040"/>
            <w:vAlign w:val="top"/>
          </w:tcPr>
          <w:p>
            <w:r/>
            <w:r>
              <w:rPr>
                <w:sz w:val="20"/>
              </w:rPr>
              <w:t>Downloadable templates, video library, cheat sheets — small but high-engagement</w:t>
            </w:r>
          </w:p>
        </w:tc>
        <w:tc>
          <w:tcPr>
            <w:tcW w:type="dxa" w:w="1728"/>
            <w:vAlign w:val="top"/>
          </w:tcPr>
          <w:p>
            <w:r/>
            <w:r>
              <w:rPr>
                <w:sz w:val="20"/>
              </w:rPr>
              <w:t>6</w:t>
            </w:r>
          </w:p>
        </w:tc>
      </w:tr>
    </w:tbl>
    <w:p>
      <w:pPr>
        <w:pStyle w:val="Heading2"/>
      </w:pPr>
      <w:r>
        <w:t>4.3 Navigation changes</w:t>
      </w:r>
    </w:p>
    <w:p>
      <w:pPr>
        <w:pStyle w:val="ListBullet"/>
      </w:pPr>
      <w:r>
        <w:t>Top nav (in order): Get Started, Build Reports, Word &amp; PowerPoint, Data Entry, Admin, Troubleshoot, Reference. Seven entries — at the visual edge but manageable.</w:t>
      </w:r>
    </w:p>
    <w:p>
      <w:pPr>
        <w:pStyle w:val="ListBullet"/>
      </w:pPr>
      <w:r>
        <w:t>Utility nav (top right): What's New, Resources, Search. Keep these out of the primary scan path but easy to find.</w:t>
      </w:r>
    </w:p>
    <w:p>
      <w:pPr>
        <w:pStyle w:val="ListBullet"/>
      </w:pPr>
      <w:r>
        <w:t>Promote the Financials cluster: surface it on the Build Reports landing page as a featured sub-section card; keep the URL pattern /build-reports/financials/ but link to it directly from the global nav under Build Reports → 'Financials reports'.</w:t>
      </w:r>
    </w:p>
    <w:p>
      <w:pPr>
        <w:pStyle w:val="ListBullet"/>
      </w:pPr>
      <w:r>
        <w:t>Migrate Connect's three pages into Admin and split SSO into its own subsection so single-sign-on work has room to grow (currently one article, soon five).</w:t>
      </w:r>
    </w:p>
    <w:p>
      <w:pPr>
        <w:pStyle w:val="ListBullet"/>
      </w:pPr>
      <w:r>
        <w:t>Migrate the Performance topics out of Troubleshoot into a dedicated section — slow performance is a design topic as much as a fix topic.</w:t>
      </w:r>
    </w:p>
    <w:p>
      <w:pPr>
        <w:pStyle w:val="ListBullet"/>
      </w:pPr>
      <w:r>
        <w:t>Move enter-budget-data and the new write-back content into Data Entry &amp; Write-Back; this gives the 2025R1 feature its own destination instead of a single buried tutorial.</w:t>
      </w:r>
    </w:p>
    <w:p>
      <w:pPr>
        <w:pStyle w:val="Heading2"/>
      </w:pPr>
      <w:r>
        <w:t>4.4 Homepage redesign</w:t>
      </w:r>
    </w:p>
    <w:p>
      <w:r>
        <w:rPr>
          <w:b w:val="0"/>
          <w:i w:val="0"/>
        </w:rPr>
        <w:t>The current homepage uses a Docsy cover with two CTAs (Get Started, Build Reports) and three feature cards (Get Started, Build Reports, Troubleshoot). It mirrors the three-item nav and skips two of the five sections entirely.</w:t>
      </w:r>
    </w:p>
    <w:p>
      <w:r>
        <w:rPr>
          <w:b w:val="0"/>
          <w:i w:val="0"/>
        </w:rPr>
        <w:t>Recommended homepage anatomy:</w:t>
      </w:r>
    </w:p>
    <w:p>
      <w:pPr>
        <w:pStyle w:val="ListBullet"/>
      </w:pPr>
      <w:r>
        <w:t>Hero with dual-path CTA: 'I build reports' (FP&amp;A path) and 'I deploy and admin' (IT admin path). This sets audience expectations immediately and routes traffic correctly.</w:t>
      </w:r>
    </w:p>
    <w:p>
      <w:pPr>
        <w:pStyle w:val="ListBullet"/>
      </w:pPr>
      <w:r>
        <w:t>'What's new' strip: pinned promo for the latest release (today: 2026R1 View By + Personal Scenarios).</w:t>
      </w:r>
    </w:p>
    <w:p>
      <w:pPr>
        <w:pStyle w:val="ListBullet"/>
      </w:pPr>
      <w:r>
        <w:t>Three featured tutorials below the fold, rotated quarterly — e.g., Build your first report, Rolling 12-month report, Trial balance report.</w:t>
      </w:r>
    </w:p>
    <w:p>
      <w:pPr>
        <w:pStyle w:val="ListBullet"/>
      </w:pPr>
      <w:r>
        <w:t>'Browse by section' grid: six section cards (the five new primary sections plus Troubleshoot) — each with a one-line description and the most popular article inside.</w:t>
      </w:r>
    </w:p>
    <w:p>
      <w:pPr>
        <w:pStyle w:val="ListBullet"/>
      </w:pPr>
      <w:r>
        <w:t>'Browse by topic' chip cloud: keep this, but rebuild against the new tag taxonomy so every chip lands on a populated page.</w:t>
      </w:r>
    </w:p>
    <w:p>
      <w:pPr>
        <w:pStyle w:val="ListBullet"/>
      </w:pPr>
      <w:r>
        <w:t>'For consultants and partners' callout near the bottom — gentle CTA toward Migration &amp; Comparison.</w:t>
      </w:r>
    </w:p>
    <w:p>
      <w:r>
        <w:br w:type="page"/>
      </w:r>
    </w:p>
    <w:p>
      <w:pPr>
        <w:pStyle w:val="Heading1"/>
      </w:pPr>
      <w:r>
        <w:t>5. Content strategy and standards</w:t>
      </w:r>
    </w:p>
    <w:p>
      <w:pPr>
        <w:pStyle w:val="Heading2"/>
      </w:pPr>
      <w:r>
        <w:t>5.1 Three article templates</w:t>
      </w:r>
    </w:p>
    <w:p>
      <w:r>
        <w:rPr>
          <w:b w:val="0"/>
          <w:i w:val="0"/>
        </w:rPr>
        <w:t>Today every article is roughly a tutorial. Define three templates instead, and let each new article pick the right one.</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1872"/>
            <w:shd w:val="clear" w:color="auto" w:fill="18181B"/>
            <w:vAlign w:val="center"/>
          </w:tcPr>
          <w:p>
            <w:r/>
            <w:r>
              <w:rPr>
                <w:b/>
                <w:color w:val="FFFFFF"/>
                <w:sz w:val="20"/>
              </w:rPr>
              <w:t>Template</w:t>
            </w:r>
          </w:p>
        </w:tc>
        <w:tc>
          <w:tcPr>
            <w:tcW w:type="dxa" w:w="5328"/>
            <w:shd w:val="clear" w:color="auto" w:fill="18181B"/>
            <w:vAlign w:val="center"/>
          </w:tcPr>
          <w:p>
            <w:r/>
            <w:r>
              <w:rPr>
                <w:b/>
                <w:color w:val="FFFFFF"/>
                <w:sz w:val="20"/>
              </w:rPr>
              <w:t>Shape</w:t>
            </w:r>
          </w:p>
        </w:tc>
        <w:tc>
          <w:tcPr>
            <w:tcW w:type="dxa" w:w="2880"/>
            <w:shd w:val="clear" w:color="auto" w:fill="18181B"/>
            <w:vAlign w:val="center"/>
          </w:tcPr>
          <w:p>
            <w:r/>
            <w:r>
              <w:rPr>
                <w:b/>
                <w:color w:val="FFFFFF"/>
                <w:sz w:val="20"/>
              </w:rPr>
              <w:t>When to use</w:t>
            </w:r>
          </w:p>
        </w:tc>
      </w:tr>
      <w:tr>
        <w:tc>
          <w:tcPr>
            <w:tcW w:type="dxa" w:w="1872"/>
            <w:vAlign w:val="top"/>
          </w:tcPr>
          <w:p>
            <w:r/>
            <w:r>
              <w:rPr>
                <w:sz w:val="20"/>
              </w:rPr>
              <w:t>Tutorial</w:t>
            </w:r>
          </w:p>
        </w:tc>
        <w:tc>
          <w:tcPr>
            <w:tcW w:type="dxa" w:w="5328"/>
            <w:vAlign w:val="top"/>
          </w:tcPr>
          <w:p>
            <w:r/>
            <w:r>
              <w:rPr>
                <w:sz w:val="20"/>
              </w:rPr>
              <w:t>What you'll build → What you'll need → numbered Steps → Result → Next steps</w:t>
            </w:r>
          </w:p>
        </w:tc>
        <w:tc>
          <w:tcPr>
            <w:tcW w:type="dxa" w:w="2880"/>
            <w:vAlign w:val="top"/>
          </w:tcPr>
          <w:p>
            <w:r/>
            <w:r>
              <w:rPr>
                <w:sz w:val="20"/>
              </w:rPr>
              <w:t>Step-by-step build of one concrete artifact</w:t>
            </w:r>
          </w:p>
        </w:tc>
      </w:tr>
      <w:tr>
        <w:tc>
          <w:tcPr>
            <w:tcW w:type="dxa" w:w="1872"/>
            <w:vAlign w:val="top"/>
          </w:tcPr>
          <w:p>
            <w:r/>
            <w:r>
              <w:rPr>
                <w:sz w:val="20"/>
              </w:rPr>
              <w:t>Reference</w:t>
            </w:r>
          </w:p>
        </w:tc>
        <w:tc>
          <w:tcPr>
            <w:tcW w:type="dxa" w:w="5328"/>
            <w:vAlign w:val="top"/>
          </w:tcPr>
          <w:p>
            <w:r/>
            <w:r>
              <w:rPr>
                <w:sz w:val="20"/>
              </w:rPr>
              <w:t>One-glance summary → tables/syntax → examples → Related references</w:t>
            </w:r>
          </w:p>
        </w:tc>
        <w:tc>
          <w:tcPr>
            <w:tcW w:type="dxa" w:w="2880"/>
            <w:vAlign w:val="top"/>
          </w:tcPr>
          <w:p>
            <w:r/>
            <w:r>
              <w:rPr>
                <w:sz w:val="20"/>
              </w:rPr>
              <w:t>Stable factual surfaces (formula syntax, element types, endpoints, error codes)</w:t>
            </w:r>
          </w:p>
        </w:tc>
      </w:tr>
      <w:tr>
        <w:tc>
          <w:tcPr>
            <w:tcW w:type="dxa" w:w="1872"/>
            <w:vAlign w:val="top"/>
          </w:tcPr>
          <w:p>
            <w:r/>
            <w:r>
              <w:rPr>
                <w:sz w:val="20"/>
              </w:rPr>
              <w:t>Troubleshoot</w:t>
            </w:r>
          </w:p>
        </w:tc>
        <w:tc>
          <w:tcPr>
            <w:tcW w:type="dxa" w:w="5328"/>
            <w:vAlign w:val="top"/>
          </w:tcPr>
          <w:p>
            <w:r/>
            <w:r>
              <w:rPr>
                <w:sz w:val="20"/>
              </w:rPr>
              <w:t>Symptom → What you'll see → Root causes → numbered Fix paths → If this didn't work, try… → Escalate</w:t>
            </w:r>
          </w:p>
        </w:tc>
        <w:tc>
          <w:tcPr>
            <w:tcW w:type="dxa" w:w="2880"/>
            <w:vAlign w:val="top"/>
          </w:tcPr>
          <w:p>
            <w:r/>
            <w:r>
              <w:rPr>
                <w:sz w:val="20"/>
              </w:rPr>
              <w:t>Anything that begins with 'why doesn't…' or 'error: …'</w:t>
            </w:r>
          </w:p>
        </w:tc>
      </w:tr>
    </w:tbl>
    <w:p>
      <w:pPr>
        <w:pStyle w:val="Heading2"/>
      </w:pPr>
      <w:r>
        <w:t>5.2 Audience badges</w:t>
      </w:r>
    </w:p>
    <w:p>
      <w:r>
        <w:rPr>
          <w:b w:val="0"/>
          <w:i w:val="0"/>
        </w:rPr>
        <w:t>Add an explicit audience badge in every article's header and front matter. This (a) sets reader expectations and (b) drives a per-section audience filter in the template.</w:t>
      </w:r>
    </w:p>
    <w:p>
      <w:pPr>
        <w:pStyle w:val="ListBullet"/>
      </w:pPr>
      <w:r>
        <w:t>FP&amp;A — finance teams building reports</w:t>
      </w:r>
    </w:p>
    <w:p>
      <w:pPr>
        <w:pStyle w:val="ListBullet"/>
      </w:pPr>
      <w:r>
        <w:t>IT Admin — deployment, identity, governance</w:t>
      </w:r>
    </w:p>
    <w:p>
      <w:pPr>
        <w:pStyle w:val="ListBullet"/>
      </w:pPr>
      <w:r>
        <w:t>Consultant — implementers covering both audiences</w:t>
      </w:r>
    </w:p>
    <w:p>
      <w:pPr>
        <w:pStyle w:val="ListBullet"/>
      </w:pPr>
      <w:r>
        <w:t>Executive — comparison and decision-framework content</w:t>
      </w:r>
    </w:p>
    <w:p>
      <w:r>
        <w:rPr>
          <w:b w:val="0"/>
          <w:i w:val="0"/>
        </w:rPr>
        <w:t>Render the badge as a colored pill in the article header (amber for IT, blue for FP&amp;A, etc.) so visitors orient instantly.</w:t>
      </w:r>
    </w:p>
    <w:p>
      <w:pPr>
        <w:pStyle w:val="Heading2"/>
      </w:pPr>
      <w:r>
        <w:t>5.3 Version-compatibility metadata</w:t>
      </w:r>
    </w:p>
    <w:p>
      <w:r>
        <w:rPr>
          <w:b w:val="0"/>
          <w:i w:val="0"/>
        </w:rPr>
        <w:t>Workday ships OfficeConnect with a forced-upgrade cadence (2025R1, 2025R2, 2026R1, etc.). Every article should carry compatibility metadata in front matter:</w:t>
      </w:r>
    </w:p>
    <w:p>
      <w:pPr>
        <w:pStyle w:val="ListBullet"/>
      </w:pPr>
      <w:r>
        <w:t>minVersion: '2025R1' — minimum OfficeConnect release the article applies to</w:t>
      </w:r>
    </w:p>
    <w:p>
      <w:pPr>
        <w:pStyle w:val="ListBullet"/>
      </w:pPr>
      <w:r>
        <w:t>releaseAdded: '2026R1' — for new-feature articles, the release the feature shipped in</w:t>
      </w:r>
    </w:p>
    <w:p>
      <w:pPr>
        <w:pStyle w:val="ListBullet"/>
      </w:pPr>
      <w:r>
        <w:t>lastVerified: '2026-05-19' — when the article was last fact-checked against current product</w:t>
      </w:r>
    </w:p>
    <w:p>
      <w:r>
        <w:rPr>
          <w:b w:val="0"/>
          <w:i w:val="0"/>
        </w:rPr>
        <w:t>Render lastVerified visibly under the title. Articles older than 12 months get a soft 'verify before use' nudge. The metadata also drives an automatic Version-Compatibility Matrix page under Reference.</w:t>
      </w:r>
    </w:p>
    <w:p>
      <w:pPr>
        <w:pStyle w:val="Heading2"/>
      </w:pPr>
      <w:r>
        <w:t>5.4 Cross-linking patterns</w:t>
      </w:r>
    </w:p>
    <w:p>
      <w:r>
        <w:rPr>
          <w:b w:val="0"/>
          <w:i w:val="0"/>
        </w:rPr>
        <w:t>Cross-linking is the weakest dimension of the current site. Adopt three patterns and apply them mechanically:</w:t>
      </w:r>
    </w:p>
    <w:p>
      <w:pPr>
        <w:pStyle w:val="ListBullet"/>
      </w:pPr>
      <w:r>
        <w:t>Inline links in the prose to prerequisite articles (e.g., 'before starting, install OfficeConnect') and to follow-on articles ('to scope this report to one department, see Filter Data'). Target: 3+ inline links per article.</w:t>
      </w:r>
    </w:p>
    <w:p>
      <w:pPr>
        <w:pStyle w:val="ListBullet"/>
      </w:pPr>
      <w:r>
        <w:t>'Related' module at the article bottom — three cards generated from tag overlap, with manual override via a 'related:' front-matter list when needed.</w:t>
      </w:r>
    </w:p>
    <w:p>
      <w:pPr>
        <w:pStyle w:val="ListBullet"/>
      </w:pPr>
      <w:r>
        <w:t>Troubleshoot tail: every Troubleshoot article ends with 'If this didn't fix it, try…' linking to the next-most-likely article (manually curated). This builds a navigable diagnostic graph.</w:t>
      </w:r>
    </w:p>
    <w:p>
      <w:pPr>
        <w:pStyle w:val="Heading2"/>
      </w:pPr>
      <w:r>
        <w:t>5.5 Screenshot system</w:t>
      </w:r>
    </w:p>
    <w:p>
      <w:r>
        <w:rPr>
          <w:b w:val="0"/>
          <w:i w:val="0"/>
        </w:rPr>
        <w:t>The single most visible quality gap. Establish a capture standard and ship it as a one-time program.</w:t>
      </w:r>
    </w:p>
    <w:p>
      <w:pPr>
        <w:pStyle w:val="ListBullet"/>
      </w:pPr>
      <w:r>
        <w:t>Aspect and size: 16:10, 1440px wide, retina-2x (2880px) source PNG.</w:t>
      </w:r>
    </w:p>
    <w:p>
      <w:pPr>
        <w:pStyle w:val="ListBullet"/>
      </w:pPr>
      <w:r>
        <w:t>Excel theme: Office light theme, no add-in clutter, anonymized tenant name 'Acme Corp' or 'Demo Tenant'.</w:t>
      </w:r>
    </w:p>
    <w:p>
      <w:pPr>
        <w:pStyle w:val="ListBullet"/>
      </w:pPr>
      <w:r>
        <w:t>Annotation: red 3px stroke for highlight rectangles, yellow filled circles with white numbers for step callouts, dark caption bar at the bottom of the image when context is needed.</w:t>
      </w:r>
    </w:p>
    <w:p>
      <w:pPr>
        <w:pStyle w:val="ListBullet"/>
      </w:pPr>
      <w:r>
        <w:t>File location: static/images/screenshots/{section}/{slug}-{n}.png; commit optimized .webp alongside .png for modern browsers.</w:t>
      </w:r>
    </w:p>
    <w:p>
      <w:pPr>
        <w:pStyle w:val="ListBullet"/>
      </w:pPr>
      <w:r>
        <w:t>Source files (Figma, OmniGraffle, or original .pptx): in static/screenshots-src/ (gitignored if too large; otherwise checked in).</w:t>
      </w:r>
    </w:p>
    <w:p>
      <w:pPr>
        <w:pStyle w:val="ListBullet"/>
      </w:pPr>
      <w:r>
        <w:t>Caption convention: descriptive ('The Reporting pane docked to the right of the worksheet'), never deictic ('as shown above').</w:t>
      </w:r>
    </w:p>
    <w:p>
      <w:pPr>
        <w:pStyle w:val="Heading2"/>
      </w:pPr>
      <w:r>
        <w:t>5.6 Tag taxonomy</w:t>
      </w:r>
    </w:p>
    <w:p>
      <w:r>
        <w:rPr>
          <w:b w:val="0"/>
          <w:i w:val="0"/>
        </w:rPr>
        <w:t>Replace the current loose tag set with a structured four-axis taxonomy. Every article must carry at least one tag from each of the first three axes: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4680"/>
        <w:gridCol w:w="4680"/>
      </w:tblGrid>
      <w:tr>
        <w:tc>
          <w:tcPr>
            <w:tcW w:type="dxa" w:w="2016"/>
            <w:shd w:val="clear" w:color="auto" w:fill="18181B"/>
            <w:vAlign w:val="center"/>
          </w:tcPr>
          <w:p>
            <w:r/>
            <w:r>
              <w:rPr>
                <w:b/>
                <w:color w:val="FFFFFF"/>
                <w:sz w:val="20"/>
              </w:rPr>
              <w:t>Axis</w:t>
            </w:r>
          </w:p>
        </w:tc>
        <w:tc>
          <w:tcPr>
            <w:tcW w:type="dxa" w:w="7344"/>
            <w:shd w:val="clear" w:color="auto" w:fill="18181B"/>
            <w:vAlign w:val="center"/>
          </w:tcPr>
          <w:p>
            <w:r/>
            <w:r>
              <w:rPr>
                <w:b/>
                <w:color w:val="FFFFFF"/>
                <w:sz w:val="20"/>
              </w:rPr>
              <w:t>Tags</w:t>
            </w:r>
          </w:p>
        </w:tc>
      </w:tr>
      <w:tr>
        <w:tc>
          <w:tcPr>
            <w:tcW w:type="dxa" w:w="2016"/>
            <w:vAlign w:val="top"/>
          </w:tcPr>
          <w:p>
            <w:r/>
            <w:r>
              <w:rPr>
                <w:sz w:val="20"/>
              </w:rPr>
              <w:t>Topic</w:t>
            </w:r>
          </w:p>
        </w:tc>
        <w:tc>
          <w:tcPr>
            <w:tcW w:type="dxa" w:w="7344"/>
            <w:vAlign w:val="top"/>
          </w:tcPr>
          <w:p>
            <w:r/>
            <w:r>
              <w:rPr>
                <w:sz w:val="20"/>
              </w:rPr>
              <w:t>adaptive-planning, financials, reporting, data-entry, write-back, sharing, performance, security, sso, deployment, integration</w:t>
            </w:r>
          </w:p>
        </w:tc>
      </w:tr>
      <w:tr>
        <w:tc>
          <w:tcPr>
            <w:tcW w:type="dxa" w:w="2016"/>
            <w:vAlign w:val="top"/>
          </w:tcPr>
          <w:p>
            <w:r/>
            <w:r>
              <w:rPr>
                <w:sz w:val="20"/>
              </w:rPr>
              <w:t>Audience</w:t>
            </w:r>
          </w:p>
        </w:tc>
        <w:tc>
          <w:tcPr>
            <w:tcW w:type="dxa" w:w="7344"/>
            <w:vAlign w:val="top"/>
          </w:tcPr>
          <w:p>
            <w:r/>
            <w:r>
              <w:rPr>
                <w:sz w:val="20"/>
              </w:rPr>
              <w:t>fp-and-a, it-admin, consultant</w:t>
            </w:r>
          </w:p>
        </w:tc>
      </w:tr>
      <w:tr>
        <w:tc>
          <w:tcPr>
            <w:tcW w:type="dxa" w:w="2016"/>
            <w:vAlign w:val="top"/>
          </w:tcPr>
          <w:p>
            <w:r/>
            <w:r>
              <w:rPr>
                <w:sz w:val="20"/>
              </w:rPr>
              <w:t>Content type</w:t>
            </w:r>
          </w:p>
        </w:tc>
        <w:tc>
          <w:tcPr>
            <w:tcW w:type="dxa" w:w="7344"/>
            <w:vAlign w:val="top"/>
          </w:tcPr>
          <w:p>
            <w:r/>
            <w:r>
              <w:rPr>
                <w:sz w:val="20"/>
              </w:rPr>
              <w:t>tutorial, recipe, reference, troubleshoot, comparison, release-notes, how-to</w:t>
            </w:r>
          </w:p>
        </w:tc>
      </w:tr>
      <w:tr>
        <w:tc>
          <w:tcPr>
            <w:tcW w:type="dxa" w:w="2016"/>
            <w:vAlign w:val="top"/>
          </w:tcPr>
          <w:p>
            <w:r/>
            <w:r>
              <w:rPr>
                <w:sz w:val="20"/>
              </w:rPr>
              <w:t>Skill level (optional)</w:t>
            </w:r>
          </w:p>
        </w:tc>
        <w:tc>
          <w:tcPr>
            <w:tcW w:type="dxa" w:w="7344"/>
            <w:vAlign w:val="top"/>
          </w:tcPr>
          <w:p>
            <w:r/>
            <w:r>
              <w:rPr>
                <w:sz w:val="20"/>
              </w:rPr>
              <w:t>beginner, intermediate, advanced</w:t>
            </w:r>
          </w:p>
        </w:tc>
      </w:tr>
    </w:tbl>
    <w:p>
      <w:r>
        <w:rPr>
          <w:b w:val="0"/>
          <w:i w:val="0"/>
        </w:rPr>
        <w:t>Run a one-time retroactive tagging sweep across all 65 existing articles (the founding-spec 35 are untagged today). Once complete, every homepage tag chip lands on a populated page.</w:t>
      </w:r>
    </w:p>
    <w:p>
      <w:r>
        <w:br w:type="page"/>
      </w:r>
    </w:p>
    <w:p>
      <w:pPr>
        <w:pStyle w:val="Heading1"/>
      </w:pPr>
      <w:r>
        <w:t>6. Article roadmap — 90+ new articles</w:t>
      </w:r>
    </w:p>
    <w:p>
      <w:r>
        <w:rPr>
          <w:b w:val="0"/>
          <w:i w:val="0"/>
        </w:rPr>
        <w:t>Articles are staged in three phases. Phase 1 prioritizes the highest-impact gaps you can ship without new infrastructure. Phase 2 builds out the authority territory identified in §3. Phase 3 fills the long tail and reaches definitive-coverage status. Full slug-by-slug catalog appears in Appendix A.</w:t>
      </w:r>
    </w:p>
    <w:p>
      <w:pPr>
        <w:pStyle w:val="Heading2"/>
      </w:pPr>
      <w:r>
        <w:t>6.1 Phase 1 — Quick wins (Weeks 1-4, 18 articles)</w:t>
      </w:r>
    </w:p>
    <w:p>
      <w:r>
        <w:rPr>
          <w:b w:val="0"/>
          <w:i w:val="0"/>
        </w:rPr>
        <w:t>Each Phase 1 article either closes a glaring gap, anchors a new section shell, or captures a high-intent long-tail query already returning thin results.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3888"/>
            <w:shd w:val="clear" w:color="auto" w:fill="18181B"/>
            <w:vAlign w:val="center"/>
          </w:tcPr>
          <w:p>
            <w:r/>
            <w:r>
              <w:rPr>
                <w:b/>
                <w:color w:val="FFFFFF"/>
                <w:sz w:val="20"/>
              </w:rPr>
              <w:t>Title</w:t>
            </w:r>
          </w:p>
        </w:tc>
        <w:tc>
          <w:tcPr>
            <w:tcW w:type="dxa" w:w="2304"/>
            <w:shd w:val="clear" w:color="auto" w:fill="18181B"/>
            <w:vAlign w:val="center"/>
          </w:tcPr>
          <w:p>
            <w:r/>
            <w:r>
              <w:rPr>
                <w:b/>
                <w:color w:val="FFFFFF"/>
                <w:sz w:val="20"/>
              </w:rPr>
              <w:t>New section</w:t>
            </w:r>
          </w:p>
        </w:tc>
        <w:tc>
          <w:tcPr>
            <w:tcW w:type="dxa" w:w="3168"/>
            <w:shd w:val="clear" w:color="auto" w:fill="18181B"/>
            <w:vAlign w:val="center"/>
          </w:tcPr>
          <w:p>
            <w:r/>
            <w:r>
              <w:rPr>
                <w:b/>
                <w:color w:val="FFFFFF"/>
                <w:sz w:val="20"/>
              </w:rPr>
              <w:t>Why now</w:t>
            </w:r>
          </w:p>
        </w:tc>
      </w:tr>
      <w:tr>
        <w:tc>
          <w:tcPr>
            <w:tcW w:type="dxa" w:w="3888"/>
            <w:vAlign w:val="top"/>
          </w:tcPr>
          <w:p>
            <w:r/>
            <w:r>
              <w:rPr>
                <w:sz w:val="20"/>
              </w:rPr>
              <w:t>Your first 30 minutes with OfficeConnect</w:t>
            </w:r>
          </w:p>
        </w:tc>
        <w:tc>
          <w:tcPr>
            <w:tcW w:type="dxa" w:w="2304"/>
            <w:vAlign w:val="top"/>
          </w:tcPr>
          <w:p>
            <w:r/>
            <w:r>
              <w:rPr>
                <w:sz w:val="20"/>
              </w:rPr>
              <w:t>Get Started</w:t>
            </w:r>
          </w:p>
        </w:tc>
        <w:tc>
          <w:tcPr>
            <w:tcW w:type="dxa" w:w="3168"/>
            <w:vAlign w:val="top"/>
          </w:tcPr>
          <w:p>
            <w:r/>
            <w:r>
              <w:rPr>
                <w:sz w:val="20"/>
              </w:rPr>
              <w:t>Anchors the onboarding flow; pairs naturally with existing install articles</w:t>
            </w:r>
          </w:p>
        </w:tc>
      </w:tr>
      <w:tr>
        <w:tc>
          <w:tcPr>
            <w:tcW w:type="dxa" w:w="3888"/>
            <w:vAlign w:val="top"/>
          </w:tcPr>
          <w:p>
            <w:r/>
            <w:r>
              <w:rPr>
                <w:sz w:val="20"/>
              </w:rPr>
              <w:t>OfficeConnect vs Adaptive web reports: a decision framework</w:t>
            </w:r>
          </w:p>
        </w:tc>
        <w:tc>
          <w:tcPr>
            <w:tcW w:type="dxa" w:w="2304"/>
            <w:vAlign w:val="top"/>
          </w:tcPr>
          <w:p>
            <w:r/>
            <w:r>
              <w:rPr>
                <w:sz w:val="20"/>
              </w:rPr>
              <w:t>Migration &amp; Comparison</w:t>
            </w:r>
          </w:p>
        </w:tc>
        <w:tc>
          <w:tcPr>
            <w:tcW w:type="dxa" w:w="3168"/>
            <w:vAlign w:val="top"/>
          </w:tcPr>
          <w:p>
            <w:r/>
            <w:r>
              <w:rPr>
                <w:sz w:val="20"/>
              </w:rPr>
              <w:t>Captures a long-tail query with zero authoritative content</w:t>
            </w:r>
          </w:p>
        </w:tc>
      </w:tr>
      <w:tr>
        <w:tc>
          <w:tcPr>
            <w:tcW w:type="dxa" w:w="3888"/>
            <w:vAlign w:val="top"/>
          </w:tcPr>
          <w:p>
            <w:r/>
            <w:r>
              <w:rPr>
                <w:sz w:val="20"/>
              </w:rPr>
              <w:t>What's new in OfficeConnect 2026R1</w:t>
            </w:r>
          </w:p>
        </w:tc>
        <w:tc>
          <w:tcPr>
            <w:tcW w:type="dxa" w:w="2304"/>
            <w:vAlign w:val="top"/>
          </w:tcPr>
          <w:p>
            <w:r/>
            <w:r>
              <w:rPr>
                <w:sz w:val="20"/>
              </w:rPr>
              <w:t>What's New</w:t>
            </w:r>
          </w:p>
        </w:tc>
        <w:tc>
          <w:tcPr>
            <w:tcW w:type="dxa" w:w="3168"/>
            <w:vAlign w:val="top"/>
          </w:tcPr>
          <w:p>
            <w:r/>
            <w:r>
              <w:rPr>
                <w:sz w:val="20"/>
              </w:rPr>
              <w:t>Anchors release-notes hub; Workday's most recent release has zero independent coverage</w:t>
            </w:r>
          </w:p>
        </w:tc>
      </w:tr>
      <w:tr>
        <w:tc>
          <w:tcPr>
            <w:tcW w:type="dxa" w:w="3888"/>
            <w:vAlign w:val="top"/>
          </w:tcPr>
          <w:p>
            <w:r/>
            <w:r>
              <w:rPr>
                <w:sz w:val="20"/>
              </w:rPr>
              <w:t>View By: open cell data in a new sheet (2026R1)</w:t>
            </w:r>
          </w:p>
        </w:tc>
        <w:tc>
          <w:tcPr>
            <w:tcW w:type="dxa" w:w="2304"/>
            <w:vAlign w:val="top"/>
          </w:tcPr>
          <w:p>
            <w:r/>
            <w:r>
              <w:rPr>
                <w:sz w:val="20"/>
              </w:rPr>
              <w:t>What's New</w:t>
            </w:r>
          </w:p>
        </w:tc>
        <w:tc>
          <w:tcPr>
            <w:tcW w:type="dxa" w:w="3168"/>
            <w:vAlign w:val="top"/>
          </w:tcPr>
          <w:p>
            <w:r/>
            <w:r>
              <w:rPr>
                <w:sz w:val="20"/>
              </w:rPr>
              <w:t>Brand-new feature, demand exists, no competition</w:t>
            </w:r>
          </w:p>
        </w:tc>
      </w:tr>
      <w:tr>
        <w:tc>
          <w:tcPr>
            <w:tcW w:type="dxa" w:w="3888"/>
            <w:vAlign w:val="top"/>
          </w:tcPr>
          <w:p>
            <w:r/>
            <w:r>
              <w:rPr>
                <w:sz w:val="20"/>
              </w:rPr>
              <w:t>Personal what-if scenarios (2026R1)</w:t>
            </w:r>
          </w:p>
        </w:tc>
        <w:tc>
          <w:tcPr>
            <w:tcW w:type="dxa" w:w="2304"/>
            <w:vAlign w:val="top"/>
          </w:tcPr>
          <w:p>
            <w:r/>
            <w:r>
              <w:rPr>
                <w:sz w:val="20"/>
              </w:rPr>
              <w:t>What's New</w:t>
            </w:r>
          </w:p>
        </w:tc>
        <w:tc>
          <w:tcPr>
            <w:tcW w:type="dxa" w:w="3168"/>
            <w:vAlign w:val="top"/>
          </w:tcPr>
          <w:p>
            <w:r/>
            <w:r>
              <w:rPr>
                <w:sz w:val="20"/>
              </w:rPr>
              <w:t>Same — early-mover advantage</w:t>
            </w:r>
          </w:p>
        </w:tc>
      </w:tr>
      <w:tr>
        <w:tc>
          <w:tcPr>
            <w:tcW w:type="dxa" w:w="3888"/>
            <w:vAlign w:val="top"/>
          </w:tcPr>
          <w:p>
            <w:r/>
            <w:r>
              <w:rPr>
                <w:sz w:val="20"/>
              </w:rPr>
              <w:t>Write-back to Adaptive from Excel: a complete guide (2025R1)</w:t>
            </w:r>
          </w:p>
        </w:tc>
        <w:tc>
          <w:tcPr>
            <w:tcW w:type="dxa" w:w="2304"/>
            <w:vAlign w:val="top"/>
          </w:tcPr>
          <w:p>
            <w:r/>
            <w:r>
              <w:rPr>
                <w:sz w:val="20"/>
              </w:rPr>
              <w:t>Data Entry &amp; Write-Back</w:t>
            </w:r>
          </w:p>
        </w:tc>
        <w:tc>
          <w:tcPr>
            <w:tcW w:type="dxa" w:w="3168"/>
            <w:vAlign w:val="top"/>
          </w:tcPr>
          <w:p>
            <w:r/>
            <w:r>
              <w:rPr>
                <w:sz w:val="20"/>
              </w:rPr>
              <w:t>Only Revelwood has covered this and only at intro depth</w:t>
            </w:r>
          </w:p>
        </w:tc>
      </w:tr>
      <w:tr>
        <w:tc>
          <w:tcPr>
            <w:tcW w:type="dxa" w:w="3888"/>
            <w:vAlign w:val="top"/>
          </w:tcPr>
          <w:p>
            <w:r/>
            <w:r>
              <w:rPr>
                <w:sz w:val="20"/>
              </w:rPr>
              <w:t>The OfficeConnect glossary</w:t>
            </w:r>
          </w:p>
        </w:tc>
        <w:tc>
          <w:tcPr>
            <w:tcW w:type="dxa" w:w="2304"/>
            <w:vAlign w:val="top"/>
          </w:tcPr>
          <w:p>
            <w:r/>
            <w:r>
              <w:rPr>
                <w:sz w:val="20"/>
              </w:rPr>
              <w:t>Reference</w:t>
            </w:r>
          </w:p>
        </w:tc>
        <w:tc>
          <w:tcPr>
            <w:tcW w:type="dxa" w:w="3168"/>
            <w:vAlign w:val="top"/>
          </w:tcPr>
          <w:p>
            <w:r/>
            <w:r>
              <w:rPr>
                <w:sz w:val="20"/>
              </w:rPr>
              <w:t>Anchors Reference section; immediate utility for new users</w:t>
            </w:r>
          </w:p>
        </w:tc>
      </w:tr>
      <w:tr>
        <w:tc>
          <w:tcPr>
            <w:tcW w:type="dxa" w:w="3888"/>
            <w:vAlign w:val="top"/>
          </w:tcPr>
          <w:p>
            <w:r/>
            <w:r>
              <w:rPr>
                <w:sz w:val="20"/>
              </w:rPr>
              <w:t>The OfficeConnect formula reference</w:t>
            </w:r>
          </w:p>
        </w:tc>
        <w:tc>
          <w:tcPr>
            <w:tcW w:type="dxa" w:w="2304"/>
            <w:vAlign w:val="top"/>
          </w:tcPr>
          <w:p>
            <w:r/>
            <w:r>
              <w:rPr>
                <w:sz w:val="20"/>
              </w:rPr>
              <w:t>Reference</w:t>
            </w:r>
          </w:p>
        </w:tc>
        <w:tc>
          <w:tcPr>
            <w:tcW w:type="dxa" w:w="3168"/>
            <w:vAlign w:val="top"/>
          </w:tcPr>
          <w:p>
            <w:r/>
            <w:r>
              <w:rPr>
                <w:sz w:val="20"/>
              </w:rPr>
              <w:t>Nobody else documents the cell-link formula structure publicly</w:t>
            </w:r>
          </w:p>
        </w:tc>
      </w:tr>
      <w:tr>
        <w:tc>
          <w:tcPr>
            <w:tcW w:type="dxa" w:w="3888"/>
            <w:vAlign w:val="top"/>
          </w:tcPr>
          <w:p>
            <w:r/>
            <w:r>
              <w:rPr>
                <w:sz w:val="20"/>
              </w:rPr>
              <w:t>Element types reference</w:t>
            </w:r>
          </w:p>
        </w:tc>
        <w:tc>
          <w:tcPr>
            <w:tcW w:type="dxa" w:w="2304"/>
            <w:vAlign w:val="top"/>
          </w:tcPr>
          <w:p>
            <w:r/>
            <w:r>
              <w:rPr>
                <w:sz w:val="20"/>
              </w:rPr>
              <w:t>Reference</w:t>
            </w:r>
          </w:p>
        </w:tc>
        <w:tc>
          <w:tcPr>
            <w:tcW w:type="dxa" w:w="3168"/>
            <w:vAlign w:val="top"/>
          </w:tcPr>
          <w:p>
            <w:r/>
            <w:r>
              <w:rPr>
                <w:sz w:val="20"/>
              </w:rPr>
              <w:t>Anchors Reference section; supports new tutorials</w:t>
            </w:r>
          </w:p>
        </w:tc>
      </w:tr>
      <w:tr>
        <w:tc>
          <w:tcPr>
            <w:tcW w:type="dxa" w:w="3888"/>
            <w:vAlign w:val="top"/>
          </w:tcPr>
          <w:p>
            <w:r/>
            <w:r>
              <w:rPr>
                <w:sz w:val="20"/>
              </w:rPr>
              <w:t>Re-enabling a disabled OfficeConnect COM add-in</w:t>
            </w:r>
          </w:p>
        </w:tc>
        <w:tc>
          <w:tcPr>
            <w:tcW w:type="dxa" w:w="2304"/>
            <w:vAlign w:val="top"/>
          </w:tcPr>
          <w:p>
            <w:r/>
            <w:r>
              <w:rPr>
                <w:sz w:val="20"/>
              </w:rPr>
              <w:t>Troubleshoot</w:t>
            </w:r>
          </w:p>
        </w:tc>
        <w:tc>
          <w:tcPr>
            <w:tcW w:type="dxa" w:w="3168"/>
            <w:vAlign w:val="top"/>
          </w:tcPr>
          <w:p>
            <w:r/>
            <w:r>
              <w:rPr>
                <w:sz w:val="20"/>
              </w:rPr>
              <w:t>Common pain point, ranks today on tangential Microsoft pages</w:t>
            </w:r>
          </w:p>
        </w:tc>
      </w:tr>
      <w:tr>
        <w:tc>
          <w:tcPr>
            <w:tcW w:type="dxa" w:w="3888"/>
            <w:vAlign w:val="top"/>
          </w:tcPr>
          <w:p>
            <w:r/>
            <w:r>
              <w:rPr>
                <w:sz w:val="20"/>
              </w:rPr>
              <w:t>Why your Refresh shows 'Contact technical support'</w:t>
            </w:r>
          </w:p>
        </w:tc>
        <w:tc>
          <w:tcPr>
            <w:tcW w:type="dxa" w:w="2304"/>
            <w:vAlign w:val="top"/>
          </w:tcPr>
          <w:p>
            <w:r/>
            <w:r>
              <w:rPr>
                <w:sz w:val="20"/>
              </w:rPr>
              <w:t>Troubleshoot</w:t>
            </w:r>
          </w:p>
        </w:tc>
        <w:tc>
          <w:tcPr>
            <w:tcW w:type="dxa" w:w="3168"/>
            <w:vAlign w:val="top"/>
          </w:tcPr>
          <w:p>
            <w:r/>
            <w:r>
              <w:rPr>
                <w:sz w:val="20"/>
              </w:rPr>
              <w:t>Specific error string, high-intent query, no canonical fix anywhere</w:t>
            </w:r>
          </w:p>
        </w:tc>
      </w:tr>
      <w:tr>
        <w:tc>
          <w:tcPr>
            <w:tcW w:type="dxa" w:w="3888"/>
            <w:vAlign w:val="top"/>
          </w:tcPr>
          <w:p>
            <w:r/>
            <w:r>
              <w:rPr>
                <w:sz w:val="20"/>
              </w:rPr>
              <w:t>OfficeConnect + think-cell: resolving the conflict</w:t>
            </w:r>
          </w:p>
        </w:tc>
        <w:tc>
          <w:tcPr>
            <w:tcW w:type="dxa" w:w="2304"/>
            <w:vAlign w:val="top"/>
          </w:tcPr>
          <w:p>
            <w:r/>
            <w:r>
              <w:rPr>
                <w:sz w:val="20"/>
              </w:rPr>
              <w:t>Troubleshoot</w:t>
            </w:r>
          </w:p>
        </w:tc>
        <w:tc>
          <w:tcPr>
            <w:tcW w:type="dxa" w:w="3168"/>
            <w:vAlign w:val="top"/>
          </w:tcPr>
          <w:p>
            <w:r/>
            <w:r>
              <w:rPr>
                <w:sz w:val="20"/>
              </w:rPr>
              <w:t>Currently only think-cell themselves document this</w:t>
            </w:r>
          </w:p>
        </w:tc>
      </w:tr>
      <w:tr>
        <w:tc>
          <w:tcPr>
            <w:tcW w:type="dxa" w:w="3888"/>
            <w:vAlign w:val="top"/>
          </w:tcPr>
          <w:p>
            <w:r/>
            <w:r>
              <w:rPr>
                <w:sz w:val="20"/>
              </w:rPr>
              <w:t>OfficeConnect on Mac: the VDI workflow</w:t>
            </w:r>
          </w:p>
        </w:tc>
        <w:tc>
          <w:tcPr>
            <w:tcW w:type="dxa" w:w="2304"/>
            <w:vAlign w:val="top"/>
          </w:tcPr>
          <w:p>
            <w:r/>
            <w:r>
              <w:rPr>
                <w:sz w:val="20"/>
              </w:rPr>
              <w:t>Troubleshoot (or Get Started)</w:t>
            </w:r>
          </w:p>
        </w:tc>
        <w:tc>
          <w:tcPr>
            <w:tcW w:type="dxa" w:w="3168"/>
            <w:vAlign w:val="top"/>
          </w:tcPr>
          <w:p>
            <w:r/>
            <w:r>
              <w:rPr>
                <w:sz w:val="20"/>
              </w:rPr>
              <w:t>The 'Windows only' limitation is mentioned everywhere but never solved</w:t>
            </w:r>
          </w:p>
        </w:tc>
      </w:tr>
      <w:tr>
        <w:tc>
          <w:tcPr>
            <w:tcW w:type="dxa" w:w="3888"/>
            <w:vAlign w:val="top"/>
          </w:tcPr>
          <w:p>
            <w:r/>
            <w:r>
              <w:rPr>
                <w:sz w:val="20"/>
              </w:rPr>
              <w:t>Silent install with Intune Win32 packaging</w:t>
            </w:r>
          </w:p>
        </w:tc>
        <w:tc>
          <w:tcPr>
            <w:tcW w:type="dxa" w:w="2304"/>
            <w:vAlign w:val="top"/>
          </w:tcPr>
          <w:p>
            <w:r/>
            <w:r>
              <w:rPr>
                <w:sz w:val="20"/>
              </w:rPr>
              <w:t>Admin → Deploy</w:t>
            </w:r>
          </w:p>
        </w:tc>
        <w:tc>
          <w:tcPr>
            <w:tcW w:type="dxa" w:w="3168"/>
            <w:vAlign w:val="top"/>
          </w:tcPr>
          <w:p>
            <w:r/>
            <w:r>
              <w:rPr>
                <w:sz w:val="20"/>
              </w:rPr>
              <w:t>IT-admin gap; high-value query</w:t>
            </w:r>
          </w:p>
        </w:tc>
      </w:tr>
      <w:tr>
        <w:tc>
          <w:tcPr>
            <w:tcW w:type="dxa" w:w="3888"/>
            <w:vAlign w:val="top"/>
          </w:tcPr>
          <w:p>
            <w:r/>
            <w:r>
              <w:rPr>
                <w:sz w:val="20"/>
              </w:rPr>
              <w:t>Silent install with SCCM/MECM</w:t>
            </w:r>
          </w:p>
        </w:tc>
        <w:tc>
          <w:tcPr>
            <w:tcW w:type="dxa" w:w="2304"/>
            <w:vAlign w:val="top"/>
          </w:tcPr>
          <w:p>
            <w:r/>
            <w:r>
              <w:rPr>
                <w:sz w:val="20"/>
              </w:rPr>
              <w:t>Admin → Deploy</w:t>
            </w:r>
          </w:p>
        </w:tc>
        <w:tc>
          <w:tcPr>
            <w:tcW w:type="dxa" w:w="3168"/>
            <w:vAlign w:val="top"/>
          </w:tcPr>
          <w:p>
            <w:r/>
            <w:r>
              <w:rPr>
                <w:sz w:val="20"/>
              </w:rPr>
              <w:t>Same</w:t>
            </w:r>
          </w:p>
        </w:tc>
      </w:tr>
      <w:tr>
        <w:tc>
          <w:tcPr>
            <w:tcW w:type="dxa" w:w="3888"/>
            <w:vAlign w:val="top"/>
          </w:tcPr>
          <w:p>
            <w:r/>
            <w:r>
              <w:rPr>
                <w:sz w:val="20"/>
              </w:rPr>
              <w:t>SSO with Okta: configuration and troubleshooting</w:t>
            </w:r>
          </w:p>
        </w:tc>
        <w:tc>
          <w:tcPr>
            <w:tcW w:type="dxa" w:w="2304"/>
            <w:vAlign w:val="top"/>
          </w:tcPr>
          <w:p>
            <w:r/>
            <w:r>
              <w:rPr>
                <w:sz w:val="20"/>
              </w:rPr>
              <w:t>Admin → Configure → SSO</w:t>
            </w:r>
          </w:p>
        </w:tc>
        <w:tc>
          <w:tcPr>
            <w:tcW w:type="dxa" w:w="3168"/>
            <w:vAlign w:val="top"/>
          </w:tcPr>
          <w:p>
            <w:r/>
            <w:r>
              <w:rPr>
                <w:sz w:val="20"/>
              </w:rPr>
              <w:t>Current single SSO article doesn't split by IdP</w:t>
            </w:r>
          </w:p>
        </w:tc>
      </w:tr>
      <w:tr>
        <w:tc>
          <w:tcPr>
            <w:tcW w:type="dxa" w:w="3888"/>
            <w:vAlign w:val="top"/>
          </w:tcPr>
          <w:p>
            <w:r/>
            <w:r>
              <w:rPr>
                <w:sz w:val="20"/>
              </w:rPr>
              <w:t>SSO with Microsoft Entra ID</w:t>
            </w:r>
          </w:p>
        </w:tc>
        <w:tc>
          <w:tcPr>
            <w:tcW w:type="dxa" w:w="2304"/>
            <w:vAlign w:val="top"/>
          </w:tcPr>
          <w:p>
            <w:r/>
            <w:r>
              <w:rPr>
                <w:sz w:val="20"/>
              </w:rPr>
              <w:t>Admin → Configure → SSO</w:t>
            </w:r>
          </w:p>
        </w:tc>
        <w:tc>
          <w:tcPr>
            <w:tcW w:type="dxa" w:w="3168"/>
            <w:vAlign w:val="top"/>
          </w:tcPr>
          <w:p>
            <w:r/>
            <w:r>
              <w:rPr>
                <w:sz w:val="20"/>
              </w:rPr>
              <w:t>Same</w:t>
            </w:r>
          </w:p>
        </w:tc>
      </w:tr>
      <w:tr>
        <w:tc>
          <w:tcPr>
            <w:tcW w:type="dxa" w:w="3888"/>
            <w:vAlign w:val="top"/>
          </w:tcPr>
          <w:p>
            <w:r/>
            <w:r>
              <w:rPr>
                <w:sz w:val="20"/>
              </w:rPr>
              <w:t>OfficeConnect version compatibility matrix</w:t>
            </w:r>
          </w:p>
        </w:tc>
        <w:tc>
          <w:tcPr>
            <w:tcW w:type="dxa" w:w="2304"/>
            <w:vAlign w:val="top"/>
          </w:tcPr>
          <w:p>
            <w:r/>
            <w:r>
              <w:rPr>
                <w:sz w:val="20"/>
              </w:rPr>
              <w:t>Reference</w:t>
            </w:r>
          </w:p>
        </w:tc>
        <w:tc>
          <w:tcPr>
            <w:tcW w:type="dxa" w:w="3168"/>
            <w:vAlign w:val="top"/>
          </w:tcPr>
          <w:p>
            <w:r/>
            <w:r>
              <w:rPr>
                <w:sz w:val="20"/>
              </w:rPr>
              <w:t>Auto-generated from the new lastVerified/minVersion front matter</w:t>
            </w:r>
          </w:p>
        </w:tc>
      </w:tr>
    </w:tbl>
    <w:p>
      <w:pPr>
        <w:pStyle w:val="Heading2"/>
      </w:pPr>
      <w:r>
        <w:t>6.2 Phase 2 — Authority builders (Months 2-3, 32 articles)</w:t>
      </w:r>
    </w:p>
    <w:p>
      <w:r>
        <w:rPr>
          <w:b w:val="0"/>
          <w:i w:val="0"/>
        </w:rPr>
        <w:t>Phase 2 builds depth in the underserved-topic clusters identified in §3. Where Phase 1 captures specific high-intent queries, Phase 2 establishes the site as the recognized authority on a topic area.</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4680"/>
        <w:gridCol w:w="4680"/>
      </w:tblGrid>
      <w:tr>
        <w:tc>
          <w:tcPr>
            <w:tcW w:type="dxa" w:w="2880"/>
            <w:shd w:val="clear" w:color="auto" w:fill="18181B"/>
            <w:vAlign w:val="center"/>
          </w:tcPr>
          <w:p>
            <w:r/>
            <w:r>
              <w:rPr>
                <w:b/>
                <w:color w:val="FFFFFF"/>
                <w:sz w:val="20"/>
              </w:rPr>
              <w:t>Cluster (chapter)</w:t>
            </w:r>
          </w:p>
        </w:tc>
        <w:tc>
          <w:tcPr>
            <w:tcW w:type="dxa" w:w="6480"/>
            <w:shd w:val="clear" w:color="auto" w:fill="18181B"/>
            <w:vAlign w:val="center"/>
          </w:tcPr>
          <w:p>
            <w:r/>
            <w:r>
              <w:rPr>
                <w:b/>
                <w:color w:val="FFFFFF"/>
                <w:sz w:val="20"/>
              </w:rPr>
              <w:t>Articles</w:t>
            </w:r>
          </w:p>
        </w:tc>
      </w:tr>
      <w:tr>
        <w:tc>
          <w:tcPr>
            <w:tcW w:type="dxa" w:w="2880"/>
            <w:vAlign w:val="top"/>
          </w:tcPr>
          <w:p>
            <w:r/>
            <w:r>
              <w:rPr>
                <w:sz w:val="20"/>
              </w:rPr>
              <w:t>Build Reports — recipes (10)</w:t>
            </w:r>
          </w:p>
        </w:tc>
        <w:tc>
          <w:tcPr>
            <w:tcW w:type="dxa" w:w="6480"/>
            <w:vAlign w:val="top"/>
          </w:tcPr>
          <w:p>
            <w:r/>
            <w:r>
              <w:rPr>
                <w:sz w:val="20"/>
              </w:rPr>
              <w:t>KPI dashboard tutorial · Quarterly board pack · Operating expense waterfall · Forecast accuracy report · Sales pipeline-to-revenue · Workforce plan with attrition · Multi-entity consolidations recipe · Cohort revenue retention · CapEx tracker · 13-week cash forecast</w:t>
            </w:r>
          </w:p>
        </w:tc>
      </w:tr>
      <w:tr>
        <w:tc>
          <w:tcPr>
            <w:tcW w:type="dxa" w:w="2880"/>
            <w:vAlign w:val="top"/>
          </w:tcPr>
          <w:p>
            <w:r/>
            <w:r>
              <w:rPr>
                <w:sz w:val="20"/>
              </w:rPr>
              <w:t>Build Reports — core mechanics (5)</w:t>
            </w:r>
          </w:p>
        </w:tc>
        <w:tc>
          <w:tcPr>
            <w:tcW w:type="dxa" w:w="6480"/>
            <w:vAlign w:val="top"/>
          </w:tcPr>
          <w:p>
            <w:r/>
            <w:r>
              <w:rPr>
                <w:sz w:val="20"/>
              </w:rPr>
              <w:t>Labels: the missing dedicated guide · Calculated rows and Excel-side formulas · Suppression rules (zeros, blanks, empty rows) · Find and replace within OfficeConnect reports · Element groups vs individual elements (performance tradeoffs)</w:t>
            </w:r>
          </w:p>
        </w:tc>
      </w:tr>
      <w:tr>
        <w:tc>
          <w:tcPr>
            <w:tcW w:type="dxa" w:w="2880"/>
            <w:vAlign w:val="top"/>
          </w:tcPr>
          <w:p>
            <w:r/>
            <w:r>
              <w:rPr>
                <w:sz w:val="20"/>
              </w:rPr>
              <w:t>Word &amp; PowerPoint (5)</w:t>
            </w:r>
          </w:p>
        </w:tc>
        <w:tc>
          <w:tcPr>
            <w:tcW w:type="dxa" w:w="6480"/>
            <w:vAlign w:val="top"/>
          </w:tcPr>
          <w:p>
            <w:r/>
            <w:r>
              <w:rPr>
                <w:sz w:val="20"/>
              </w:rPr>
              <w:t>Designing a board-pack template · Refreshing all slides safely · Recovering broken links · Charts that update with the period · MD&amp;A automated draft</w:t>
            </w:r>
          </w:p>
        </w:tc>
      </w:tr>
      <w:tr>
        <w:tc>
          <w:tcPr>
            <w:tcW w:type="dxa" w:w="2880"/>
            <w:vAlign w:val="top"/>
          </w:tcPr>
          <w:p>
            <w:r/>
            <w:r>
              <w:rPr>
                <w:sz w:val="20"/>
              </w:rPr>
              <w:t>Data Entry &amp; Write-Back (5)</w:t>
            </w:r>
          </w:p>
        </w:tc>
        <w:tc>
          <w:tcPr>
            <w:tcW w:type="dxa" w:w="6480"/>
            <w:vAlign w:val="top"/>
          </w:tcPr>
          <w:p>
            <w:r/>
            <w:r>
              <w:rPr>
                <w:sz w:val="20"/>
              </w:rPr>
              <w:t>Write-back permissions design · Valid leaf-level intersections · Audit trail for write-back · Approval workflow integration · Common write-back errors</w:t>
            </w:r>
          </w:p>
        </w:tc>
      </w:tr>
      <w:tr>
        <w:tc>
          <w:tcPr>
            <w:tcW w:type="dxa" w:w="2880"/>
            <w:vAlign w:val="top"/>
          </w:tcPr>
          <w:p>
            <w:r/>
            <w:r>
              <w:rPr>
                <w:sz w:val="20"/>
              </w:rPr>
              <w:t>Admin — Deploy (3)</w:t>
            </w:r>
          </w:p>
        </w:tc>
        <w:tc>
          <w:tcPr>
            <w:tcW w:type="dxa" w:w="6480"/>
            <w:vAlign w:val="top"/>
          </w:tcPr>
          <w:p>
            <w:r/>
            <w:r>
              <w:rPr>
                <w:sz w:val="20"/>
              </w:rPr>
              <w:t>GPO templates for OfficeConnect · Per-user vs per-machine install · Silent install switches reference</w:t>
            </w:r>
          </w:p>
        </w:tc>
      </w:tr>
      <w:tr>
        <w:tc>
          <w:tcPr>
            <w:tcW w:type="dxa" w:w="2880"/>
            <w:vAlign w:val="top"/>
          </w:tcPr>
          <w:p>
            <w:r/>
            <w:r>
              <w:rPr>
                <w:sz w:val="20"/>
              </w:rPr>
              <w:t>Admin — Configure SSO (2)</w:t>
            </w:r>
          </w:p>
        </w:tc>
        <w:tc>
          <w:tcPr>
            <w:tcW w:type="dxa" w:w="6480"/>
            <w:vAlign w:val="top"/>
          </w:tcPr>
          <w:p>
            <w:r/>
            <w:r>
              <w:rPr>
                <w:sz w:val="20"/>
              </w:rPr>
              <w:t>SSO with Ping Identity · Tenant XML reference</w:t>
            </w:r>
          </w:p>
        </w:tc>
      </w:tr>
      <w:tr>
        <w:tc>
          <w:tcPr>
            <w:tcW w:type="dxa" w:w="2880"/>
            <w:vAlign w:val="top"/>
          </w:tcPr>
          <w:p>
            <w:r/>
            <w:r>
              <w:rPr>
                <w:sz w:val="20"/>
              </w:rPr>
              <w:t>Admin — Upgrade (2)</w:t>
            </w:r>
          </w:p>
        </w:tc>
        <w:tc>
          <w:tcPr>
            <w:tcW w:type="dxa" w:w="6480"/>
            <w:vAlign w:val="top"/>
          </w:tcPr>
          <w:p>
            <w:r/>
            <w:r>
              <w:rPr>
                <w:sz w:val="20"/>
              </w:rPr>
              <w:t>Upgrade governance: managing the forced-upgrade cadence · Preparing users for the upgrade prompt</w:t>
            </w:r>
          </w:p>
        </w:tc>
      </w:tr>
    </w:tbl>
    <w:p>
      <w:pPr>
        <w:pStyle w:val="Heading2"/>
      </w:pPr>
      <w:r>
        <w:t>6.3 Phase 3 — Definitive coverage (Months 4-6, 40 articles)</w:t>
      </w:r>
    </w:p>
    <w:p>
      <w:r>
        <w:rPr>
          <w:b w:val="0"/>
          <w:i w:val="0"/>
        </w:rPr>
        <w:t>Phase 3 takes the site to definitive coverage status: every error you can hit, every persona's typical recipe, every comparison a buyer might want.</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4680"/>
        <w:gridCol w:w="4680"/>
      </w:tblGrid>
      <w:tr>
        <w:tc>
          <w:tcPr>
            <w:tcW w:type="dxa" w:w="2880"/>
            <w:shd w:val="clear" w:color="auto" w:fill="18181B"/>
            <w:vAlign w:val="center"/>
          </w:tcPr>
          <w:p>
            <w:r/>
            <w:r>
              <w:rPr>
                <w:b/>
                <w:color w:val="FFFFFF"/>
                <w:sz w:val="20"/>
              </w:rPr>
              <w:t>Cluster (chapter)</w:t>
            </w:r>
          </w:p>
        </w:tc>
        <w:tc>
          <w:tcPr>
            <w:tcW w:type="dxa" w:w="6480"/>
            <w:shd w:val="clear" w:color="auto" w:fill="18181B"/>
            <w:vAlign w:val="center"/>
          </w:tcPr>
          <w:p>
            <w:r/>
            <w:r>
              <w:rPr>
                <w:b/>
                <w:color w:val="FFFFFF"/>
                <w:sz w:val="20"/>
              </w:rPr>
              <w:t>Articles</w:t>
            </w:r>
          </w:p>
        </w:tc>
      </w:tr>
      <w:tr>
        <w:tc>
          <w:tcPr>
            <w:tcW w:type="dxa" w:w="2880"/>
            <w:vAlign w:val="top"/>
          </w:tcPr>
          <w:p>
            <w:r/>
            <w:r>
              <w:rPr>
                <w:sz w:val="20"/>
              </w:rPr>
              <w:t>Financials reports (4)</w:t>
            </w:r>
          </w:p>
        </w:tc>
        <w:tc>
          <w:tcPr>
            <w:tcW w:type="dxa" w:w="6480"/>
            <w:vAlign w:val="top"/>
          </w:tcPr>
          <w:p>
            <w:r/>
            <w:r>
              <w:rPr>
                <w:sz w:val="20"/>
              </w:rPr>
              <w:t>Period-over-period bridge analysis · Spend by supplier · Allocations and intercompany matrix · Audit-ready financial pack</w:t>
            </w:r>
          </w:p>
        </w:tc>
      </w:tr>
      <w:tr>
        <w:tc>
          <w:tcPr>
            <w:tcW w:type="dxa" w:w="2880"/>
            <w:vAlign w:val="top"/>
          </w:tcPr>
          <w:p>
            <w:r/>
            <w:r>
              <w:rPr>
                <w:sz w:val="20"/>
              </w:rPr>
              <w:t>Word &amp; PowerPoint (4)</w:t>
            </w:r>
          </w:p>
        </w:tc>
        <w:tc>
          <w:tcPr>
            <w:tcW w:type="dxa" w:w="6480"/>
            <w:vAlign w:val="top"/>
          </w:tcPr>
          <w:p>
            <w:r/>
            <w:r>
              <w:rPr>
                <w:sz w:val="20"/>
              </w:rPr>
              <w:t>Investor letter template · Named ranges in Word reference · Excel Online limitations · Email distribution patterns</w:t>
            </w:r>
          </w:p>
        </w:tc>
      </w:tr>
      <w:tr>
        <w:tc>
          <w:tcPr>
            <w:tcW w:type="dxa" w:w="2880"/>
            <w:vAlign w:val="top"/>
          </w:tcPr>
          <w:p>
            <w:r/>
            <w:r>
              <w:rPr>
                <w:sz w:val="20"/>
              </w:rPr>
              <w:t>Admin — Govern (4)</w:t>
            </w:r>
          </w:p>
        </w:tc>
        <w:tc>
          <w:tcPr>
            <w:tcW w:type="dxa" w:w="6480"/>
            <w:vAlign w:val="top"/>
          </w:tcPr>
          <w:p>
            <w:r/>
            <w:r>
              <w:rPr>
                <w:sz w:val="20"/>
              </w:rPr>
              <w:t>License and entitlement management · API client secret rotation · Audit logging · Tenant migration runbook</w:t>
            </w:r>
          </w:p>
        </w:tc>
      </w:tr>
      <w:tr>
        <w:tc>
          <w:tcPr>
            <w:tcW w:type="dxa" w:w="2880"/>
            <w:vAlign w:val="top"/>
          </w:tcPr>
          <w:p>
            <w:r/>
            <w:r>
              <w:rPr>
                <w:sz w:val="20"/>
              </w:rPr>
              <w:t>Admin — Configure (2)</w:t>
            </w:r>
          </w:p>
        </w:tc>
        <w:tc>
          <w:tcPr>
            <w:tcW w:type="dxa" w:w="6480"/>
            <w:vAlign w:val="top"/>
          </w:tcPr>
          <w:p>
            <w:r/>
            <w:r>
              <w:rPr>
                <w:sz w:val="20"/>
              </w:rPr>
              <w:t>Proxy and firewall allowlist · Logging and diagnostics</w:t>
            </w:r>
          </w:p>
        </w:tc>
      </w:tr>
      <w:tr>
        <w:tc>
          <w:tcPr>
            <w:tcW w:type="dxa" w:w="2880"/>
            <w:vAlign w:val="top"/>
          </w:tcPr>
          <w:p>
            <w:r/>
            <w:r>
              <w:rPr>
                <w:sz w:val="20"/>
              </w:rPr>
              <w:t>Admin — Upgrade (2)</w:t>
            </w:r>
          </w:p>
        </w:tc>
        <w:tc>
          <w:tcPr>
            <w:tcW w:type="dxa" w:w="6480"/>
            <w:vAlign w:val="top"/>
          </w:tcPr>
          <w:p>
            <w:r/>
            <w:r>
              <w:rPr>
                <w:sz w:val="20"/>
              </w:rPr>
              <w:t>Rollback procedure · Multi-region migration runbook</w:t>
            </w:r>
          </w:p>
        </w:tc>
      </w:tr>
      <w:tr>
        <w:tc>
          <w:tcPr>
            <w:tcW w:type="dxa" w:w="2880"/>
            <w:vAlign w:val="top"/>
          </w:tcPr>
          <w:p>
            <w:r/>
            <w:r>
              <w:rPr>
                <w:sz w:val="20"/>
              </w:rPr>
              <w:t>Performance (6)</w:t>
            </w:r>
          </w:p>
        </w:tc>
        <w:tc>
          <w:tcPr>
            <w:tcW w:type="dxa" w:w="6480"/>
            <w:vAlign w:val="top"/>
          </w:tcPr>
          <w:p>
            <w:r/>
            <w:r>
              <w:rPr>
                <w:sz w:val="20"/>
              </w:rPr>
              <w:t>Refresh time benchmarks · 32-bit vs 64-bit Excel · Reducing element count · Sheet count limits · Cell explorer memory · Large repeating reports</w:t>
            </w:r>
          </w:p>
        </w:tc>
      </w:tr>
      <w:tr>
        <w:tc>
          <w:tcPr>
            <w:tcW w:type="dxa" w:w="2880"/>
            <w:vAlign w:val="top"/>
          </w:tcPr>
          <w:p>
            <w:r/>
            <w:r>
              <w:rPr>
                <w:sz w:val="20"/>
              </w:rPr>
              <w:t>Troubleshoot — Auth (3)</w:t>
            </w:r>
          </w:p>
        </w:tc>
        <w:tc>
          <w:tcPr>
            <w:tcW w:type="dxa" w:w="6480"/>
            <w:vAlign w:val="top"/>
          </w:tcPr>
          <w:p>
            <w:r/>
            <w:r>
              <w:rPr>
                <w:sz w:val="20"/>
              </w:rPr>
              <w:t>SSO bounce loop · Tenant switcher missing · MFA prompt issues</w:t>
            </w:r>
          </w:p>
        </w:tc>
      </w:tr>
      <w:tr>
        <w:tc>
          <w:tcPr>
            <w:tcW w:type="dxa" w:w="2880"/>
            <w:vAlign w:val="top"/>
          </w:tcPr>
          <w:p>
            <w:r/>
            <w:r>
              <w:rPr>
                <w:sz w:val="20"/>
              </w:rPr>
              <w:t>Troubleshoot — Install/startup (2)</w:t>
            </w:r>
          </w:p>
        </w:tc>
        <w:tc>
          <w:tcPr>
            <w:tcW w:type="dxa" w:w="6480"/>
            <w:vAlign w:val="top"/>
          </w:tcPr>
          <w:p>
            <w:r/>
            <w:r>
              <w:rPr>
                <w:sz w:val="20"/>
              </w:rPr>
              <w:t>Ribbon missing · OfficeConnect tab disappeared after Excel update</w:t>
            </w:r>
          </w:p>
        </w:tc>
      </w:tr>
      <w:tr>
        <w:tc>
          <w:tcPr>
            <w:tcW w:type="dxa" w:w="2880"/>
            <w:vAlign w:val="top"/>
          </w:tcPr>
          <w:p>
            <w:r/>
            <w:r>
              <w:rPr>
                <w:sz w:val="20"/>
              </w:rPr>
              <w:t>Troubleshoot — Refresh/data (2)</w:t>
            </w:r>
          </w:p>
        </w:tc>
        <w:tc>
          <w:tcPr>
            <w:tcW w:type="dxa" w:w="6480"/>
            <w:vAlign w:val="top"/>
          </w:tcPr>
          <w:p>
            <w:r/>
            <w:r>
              <w:rPr>
                <w:sz w:val="20"/>
              </w:rPr>
              <w:t>n/a values everywhere after refresh · Stale cells after refresh</w:t>
            </w:r>
          </w:p>
        </w:tc>
      </w:tr>
      <w:tr>
        <w:tc>
          <w:tcPr>
            <w:tcW w:type="dxa" w:w="2880"/>
            <w:vAlign w:val="top"/>
          </w:tcPr>
          <w:p>
            <w:r/>
            <w:r>
              <w:rPr>
                <w:sz w:val="20"/>
              </w:rPr>
              <w:t>Troubleshoot — Add-in conflicts (3)</w:t>
            </w:r>
          </w:p>
        </w:tc>
        <w:tc>
          <w:tcPr>
            <w:tcW w:type="dxa" w:w="6480"/>
            <w:vAlign w:val="top"/>
          </w:tcPr>
          <w:p>
            <w:r/>
            <w:r>
              <w:rPr>
                <w:sz w:val="20"/>
              </w:rPr>
              <w:t>Bloomberg add-in conflict · Power Pivot conflict · Macabacus conflict</w:t>
            </w:r>
          </w:p>
        </w:tc>
      </w:tr>
      <w:tr>
        <w:tc>
          <w:tcPr>
            <w:tcW w:type="dxa" w:w="2880"/>
            <w:vAlign w:val="top"/>
          </w:tcPr>
          <w:p>
            <w:r/>
            <w:r>
              <w:rPr>
                <w:sz w:val="20"/>
              </w:rPr>
              <w:t>Troubleshoot — Mac/VDI (2)</w:t>
            </w:r>
          </w:p>
        </w:tc>
        <w:tc>
          <w:tcPr>
            <w:tcW w:type="dxa" w:w="6480"/>
            <w:vAlign w:val="top"/>
          </w:tcPr>
          <w:p>
            <w:r/>
            <w:r>
              <w:rPr>
                <w:sz w:val="20"/>
              </w:rPr>
              <w:t>Parallels setup walkthrough · AWS WorkSpaces for OfficeConnect</w:t>
            </w:r>
          </w:p>
        </w:tc>
      </w:tr>
      <w:tr>
        <w:tc>
          <w:tcPr>
            <w:tcW w:type="dxa" w:w="2880"/>
            <w:vAlign w:val="top"/>
          </w:tcPr>
          <w:p>
            <w:r/>
            <w:r>
              <w:rPr>
                <w:sz w:val="20"/>
              </w:rPr>
              <w:t>Troubleshoot — Diagnostic tools (2)</w:t>
            </w:r>
          </w:p>
        </w:tc>
        <w:tc>
          <w:tcPr>
            <w:tcW w:type="dxa" w:w="6480"/>
            <w:vAlign w:val="top"/>
          </w:tcPr>
          <w:p>
            <w:r/>
            <w:r>
              <w:rPr>
                <w:sz w:val="20"/>
              </w:rPr>
              <w:t>Capturing logs for Workday support · What to send when you open a ticket</w:t>
            </w:r>
          </w:p>
        </w:tc>
      </w:tr>
      <w:tr>
        <w:tc>
          <w:tcPr>
            <w:tcW w:type="dxa" w:w="2880"/>
            <w:vAlign w:val="top"/>
          </w:tcPr>
          <w:p>
            <w:r/>
            <w:r>
              <w:rPr>
                <w:sz w:val="20"/>
              </w:rPr>
              <w:t>Migration &amp; Comparison (6)</w:t>
            </w:r>
          </w:p>
        </w:tc>
        <w:tc>
          <w:tcPr>
            <w:tcW w:type="dxa" w:w="6480"/>
            <w:vAlign w:val="top"/>
          </w:tcPr>
          <w:p>
            <w:r/>
            <w:r>
              <w:rPr>
                <w:sz w:val="20"/>
              </w:rPr>
              <w:t>Migrating from Hyperion SmartView · Migrating from OneStream · Migrating from Vena · Migrating from Anaplan · Replacing macro-heavy Excel workbooks · OfficeConnect vs native Excel power tools</w:t>
            </w:r>
          </w:p>
        </w:tc>
      </w:tr>
      <w:tr>
        <w:tc>
          <w:tcPr>
            <w:tcW w:type="dxa" w:w="2880"/>
            <w:vAlign w:val="top"/>
          </w:tcPr>
          <w:p>
            <w:r/>
            <w:r>
              <w:rPr>
                <w:sz w:val="20"/>
              </w:rPr>
              <w:t>What's New (3)</w:t>
            </w:r>
          </w:p>
        </w:tc>
        <w:tc>
          <w:tcPr>
            <w:tcW w:type="dxa" w:w="6480"/>
            <w:vAlign w:val="top"/>
          </w:tcPr>
          <w:p>
            <w:r/>
            <w:r>
              <w:rPr>
                <w:sz w:val="20"/>
              </w:rPr>
              <w:t>What's new in 2025R2 · Write-back deep dive (2025R1) retrospective · Release-notes archive index</w:t>
            </w:r>
          </w:p>
        </w:tc>
      </w:tr>
      <w:tr>
        <w:tc>
          <w:tcPr>
            <w:tcW w:type="dxa" w:w="2880"/>
            <w:vAlign w:val="top"/>
          </w:tcPr>
          <w:p>
            <w:r/>
            <w:r>
              <w:rPr>
                <w:sz w:val="20"/>
              </w:rPr>
              <w:t>Reference (5)</w:t>
            </w:r>
          </w:p>
        </w:tc>
        <w:tc>
          <w:tcPr>
            <w:tcW w:type="dxa" w:w="6480"/>
            <w:vAlign w:val="top"/>
          </w:tcPr>
          <w:p>
            <w:r/>
            <w:r>
              <w:rPr>
                <w:sz w:val="20"/>
              </w:rPr>
              <w:t>Filter behavior reference · Time context tokens cheat sheet · Keyboard shortcuts · Ribbon command reference · Network endpoints reference</w:t>
            </w:r>
          </w:p>
        </w:tc>
      </w:tr>
    </w:tbl>
    <w:p>
      <w:r>
        <w:rPr>
          <w:b w:val="0"/>
          <w:i w:val="0"/>
        </w:rPr>
        <w:t>Article totals: Phase 1 = 18, Phase 2 = 32, Phase 3 = 40 — total 90 new articles. Combined with the 65 existing articles, the site ends Phase 3 at roughly 155 articles, with deep coverage across both audiences.</w:t>
      </w:r>
    </w:p>
    <w:p>
      <w:r>
        <w:br w:type="page"/>
      </w:r>
    </w:p>
    <w:p>
      <w:pPr>
        <w:pStyle w:val="Heading1"/>
      </w:pPr>
      <w:r>
        <w:t>7. Existing article improvements</w:t>
      </w:r>
    </w:p>
    <w:p>
      <w:pPr>
        <w:pStyle w:val="Heading2"/>
      </w:pPr>
      <w:r>
        <w:t>7.1 Articles to expand</w:t>
      </w:r>
    </w:p>
    <w:p>
      <w:r>
        <w:rPr>
          <w:b w:val="0"/>
          <w:i w:val="0"/>
        </w:rPr>
        <w:t>These existing articles are thin (under ~350 words) on topics that deserve more depth. Recommended target length and what to add:</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032"/>
            <w:shd w:val="clear" w:color="auto" w:fill="18181B"/>
            <w:vAlign w:val="center"/>
          </w:tcPr>
          <w:p>
            <w:r/>
            <w:r>
              <w:rPr>
                <w:b/>
                <w:color w:val="FFFFFF"/>
                <w:sz w:val="20"/>
              </w:rPr>
              <w:t>Article (current words)</w:t>
            </w:r>
          </w:p>
        </w:tc>
        <w:tc>
          <w:tcPr>
            <w:tcW w:type="dxa" w:w="1008"/>
            <w:shd w:val="clear" w:color="auto" w:fill="18181B"/>
            <w:vAlign w:val="center"/>
          </w:tcPr>
          <w:p>
            <w:r/>
            <w:r>
              <w:rPr>
                <w:b/>
                <w:color w:val="FFFFFF"/>
                <w:sz w:val="20"/>
              </w:rPr>
              <w:t>Target</w:t>
            </w:r>
          </w:p>
        </w:tc>
        <w:tc>
          <w:tcPr>
            <w:tcW w:type="dxa" w:w="4320"/>
            <w:shd w:val="clear" w:color="auto" w:fill="18181B"/>
            <w:vAlign w:val="center"/>
          </w:tcPr>
          <w:p>
            <w:r/>
            <w:r>
              <w:rPr>
                <w:b/>
                <w:color w:val="FFFFFF"/>
                <w:sz w:val="20"/>
              </w:rPr>
              <w:t>What to add</w:t>
            </w:r>
          </w:p>
        </w:tc>
      </w:tr>
      <w:tr>
        <w:tc>
          <w:tcPr>
            <w:tcW w:type="dxa" w:w="4032"/>
            <w:vAlign w:val="top"/>
          </w:tcPr>
          <w:p>
            <w:r/>
            <w:r>
              <w:rPr>
                <w:sz w:val="20"/>
              </w:rPr>
              <w:t>troubleshoot/numbers-not-shifting (225)</w:t>
            </w:r>
          </w:p>
        </w:tc>
        <w:tc>
          <w:tcPr>
            <w:tcW w:type="dxa" w:w="1008"/>
            <w:vAlign w:val="top"/>
          </w:tcPr>
          <w:p>
            <w:r/>
            <w:r>
              <w:rPr>
                <w:sz w:val="20"/>
              </w:rPr>
              <w:t>700</w:t>
            </w:r>
          </w:p>
        </w:tc>
        <w:tc>
          <w:tcPr>
            <w:tcW w:type="dxa" w:w="4320"/>
            <w:vAlign w:val="top"/>
          </w:tcPr>
          <w:p>
            <w:r/>
            <w:r>
              <w:rPr>
                <w:sz w:val="20"/>
              </w:rPr>
              <w:t>Delete-row behavior, named ranges, frozen panes, sort-order traps</w:t>
            </w:r>
          </w:p>
        </w:tc>
      </w:tr>
      <w:tr>
        <w:tc>
          <w:tcPr>
            <w:tcW w:type="dxa" w:w="4032"/>
            <w:vAlign w:val="top"/>
          </w:tcPr>
          <w:p>
            <w:r/>
            <w:r>
              <w:rPr>
                <w:sz w:val="20"/>
              </w:rPr>
              <w:t>troubleshoot/update-errors (265)</w:t>
            </w:r>
          </w:p>
        </w:tc>
        <w:tc>
          <w:tcPr>
            <w:tcW w:type="dxa" w:w="1008"/>
            <w:vAlign w:val="top"/>
          </w:tcPr>
          <w:p>
            <w:r/>
            <w:r>
              <w:rPr>
                <w:sz w:val="20"/>
              </w:rPr>
              <w:t>650</w:t>
            </w:r>
          </w:p>
        </w:tc>
        <w:tc>
          <w:tcPr>
            <w:tcW w:type="dxa" w:w="4320"/>
            <w:vAlign w:val="top"/>
          </w:tcPr>
          <w:p>
            <w:r/>
            <w:r>
              <w:rPr>
                <w:sz w:val="20"/>
              </w:rPr>
              <w:t>Error-code matrix; differentiate by Excel version; reinstall paths</w:t>
            </w:r>
          </w:p>
        </w:tc>
      </w:tr>
      <w:tr>
        <w:tc>
          <w:tcPr>
            <w:tcW w:type="dxa" w:w="4032"/>
            <w:vAlign w:val="top"/>
          </w:tcPr>
          <w:p>
            <w:r/>
            <w:r>
              <w:rPr>
                <w:sz w:val="20"/>
              </w:rPr>
              <w:t>troubleshoot/task-pane-not-displaying (258)</w:t>
            </w:r>
          </w:p>
        </w:tc>
        <w:tc>
          <w:tcPr>
            <w:tcW w:type="dxa" w:w="1008"/>
            <w:vAlign w:val="top"/>
          </w:tcPr>
          <w:p>
            <w:r/>
            <w:r>
              <w:rPr>
                <w:sz w:val="20"/>
              </w:rPr>
              <w:t>600</w:t>
            </w:r>
          </w:p>
        </w:tc>
        <w:tc>
          <w:tcPr>
            <w:tcW w:type="dxa" w:w="4320"/>
            <w:vAlign w:val="top"/>
          </w:tcPr>
          <w:p>
            <w:r/>
            <w:r>
              <w:rPr>
                <w:sz w:val="20"/>
              </w:rPr>
              <w:t>DPI scaling, multi-monitor, restoring docked panes, registry tweaks</w:t>
            </w:r>
          </w:p>
        </w:tc>
      </w:tr>
      <w:tr>
        <w:tc>
          <w:tcPr>
            <w:tcW w:type="dxa" w:w="4032"/>
            <w:vAlign w:val="top"/>
          </w:tcPr>
          <w:p>
            <w:r/>
            <w:r>
              <w:rPr>
                <w:sz w:val="20"/>
              </w:rPr>
              <w:t>troubleshoot/suppress-zeros-blanks (280)</w:t>
            </w:r>
          </w:p>
        </w:tc>
        <w:tc>
          <w:tcPr>
            <w:tcW w:type="dxa" w:w="1008"/>
            <w:vAlign w:val="top"/>
          </w:tcPr>
          <w:p>
            <w:r/>
            <w:r>
              <w:rPr>
                <w:sz w:val="20"/>
              </w:rPr>
              <w:t>550</w:t>
            </w:r>
          </w:p>
        </w:tc>
        <w:tc>
          <w:tcPr>
            <w:tcW w:type="dxa" w:w="4320"/>
            <w:vAlign w:val="top"/>
          </w:tcPr>
          <w:p>
            <w:r/>
            <w:r>
              <w:rPr>
                <w:sz w:val="20"/>
              </w:rPr>
              <w:t>Workbook-vs-worksheet scope; interaction with conditional formatting</w:t>
            </w:r>
          </w:p>
        </w:tc>
      </w:tr>
      <w:tr>
        <w:tc>
          <w:tcPr>
            <w:tcW w:type="dxa" w:w="4032"/>
            <w:vAlign w:val="top"/>
          </w:tcPr>
          <w:p>
            <w:r/>
            <w:r>
              <w:rPr>
                <w:sz w:val="20"/>
              </w:rPr>
              <w:t>troubleshoot/remove-elements (262)</w:t>
            </w:r>
          </w:p>
        </w:tc>
        <w:tc>
          <w:tcPr>
            <w:tcW w:type="dxa" w:w="1008"/>
            <w:vAlign w:val="top"/>
          </w:tcPr>
          <w:p>
            <w:r/>
            <w:r>
              <w:rPr>
                <w:sz w:val="20"/>
              </w:rPr>
              <w:t>500</w:t>
            </w:r>
          </w:p>
        </w:tc>
        <w:tc>
          <w:tcPr>
            <w:tcW w:type="dxa" w:w="4320"/>
            <w:vAlign w:val="top"/>
          </w:tcPr>
          <w:p>
            <w:r/>
            <w:r>
              <w:rPr>
                <w:sz w:val="20"/>
              </w:rPr>
              <w:t>Differentiate clear vs delete; restoring an accidentally removed element</w:t>
            </w:r>
          </w:p>
        </w:tc>
      </w:tr>
      <w:tr>
        <w:tc>
          <w:tcPr>
            <w:tcW w:type="dxa" w:w="4032"/>
            <w:vAlign w:val="top"/>
          </w:tcPr>
          <w:p>
            <w:r/>
            <w:r>
              <w:rPr>
                <w:sz w:val="20"/>
              </w:rPr>
              <w:t>troubleshoot/change-rounding-settings (315)</w:t>
            </w:r>
          </w:p>
        </w:tc>
        <w:tc>
          <w:tcPr>
            <w:tcW w:type="dxa" w:w="1008"/>
            <w:vAlign w:val="top"/>
          </w:tcPr>
          <w:p>
            <w:r/>
            <w:r>
              <w:rPr>
                <w:sz w:val="20"/>
              </w:rPr>
              <w:t>550</w:t>
            </w:r>
          </w:p>
        </w:tc>
        <w:tc>
          <w:tcPr>
            <w:tcW w:type="dxa" w:w="4320"/>
            <w:vAlign w:val="top"/>
          </w:tcPr>
          <w:p>
            <w:r/>
            <w:r>
              <w:rPr>
                <w:sz w:val="20"/>
              </w:rPr>
              <w:t>Display vs underlying value; export interactions; reporting unit tradeoffs</w:t>
            </w:r>
          </w:p>
        </w:tc>
      </w:tr>
      <w:tr>
        <w:tc>
          <w:tcPr>
            <w:tcW w:type="dxa" w:w="4032"/>
            <w:vAlign w:val="top"/>
          </w:tcPr>
          <w:p>
            <w:r/>
            <w:r>
              <w:rPr>
                <w:sz w:val="20"/>
              </w:rPr>
              <w:t>troubleshoot/fixed-date-columns (296)</w:t>
            </w:r>
          </w:p>
        </w:tc>
        <w:tc>
          <w:tcPr>
            <w:tcW w:type="dxa" w:w="1008"/>
            <w:vAlign w:val="top"/>
          </w:tcPr>
          <w:p>
            <w:r/>
            <w:r>
              <w:rPr>
                <w:sz w:val="20"/>
              </w:rPr>
              <w:t>650</w:t>
            </w:r>
          </w:p>
        </w:tc>
        <w:tc>
          <w:tcPr>
            <w:tcW w:type="dxa" w:w="4320"/>
            <w:vAlign w:val="top"/>
          </w:tcPr>
          <w:p>
            <w:r/>
            <w:r>
              <w:rPr>
                <w:sz w:val="20"/>
              </w:rPr>
              <w:t>Anchored date references; rolling vs fixed semantics; year-end behavior</w:t>
            </w:r>
          </w:p>
        </w:tc>
      </w:tr>
      <w:tr>
        <w:tc>
          <w:tcPr>
            <w:tcW w:type="dxa" w:w="4032"/>
            <w:vAlign w:val="top"/>
          </w:tcPr>
          <w:p>
            <w:r/>
            <w:r>
              <w:rPr>
                <w:sz w:val="20"/>
              </w:rPr>
              <w:t>troubleshoot/link-external-excel-files (270)</w:t>
            </w:r>
          </w:p>
        </w:tc>
        <w:tc>
          <w:tcPr>
            <w:tcW w:type="dxa" w:w="1008"/>
            <w:vAlign w:val="top"/>
          </w:tcPr>
          <w:p>
            <w:r/>
            <w:r>
              <w:rPr>
                <w:sz w:val="20"/>
              </w:rPr>
              <w:t>550</w:t>
            </w:r>
          </w:p>
        </w:tc>
        <w:tc>
          <w:tcPr>
            <w:tcW w:type="dxa" w:w="4320"/>
            <w:vAlign w:val="top"/>
          </w:tcPr>
          <w:p>
            <w:r/>
            <w:r>
              <w:rPr>
                <w:sz w:val="20"/>
              </w:rPr>
              <w:t>Path resolution rules; relative vs absolute; SharePoint paths</w:t>
            </w:r>
          </w:p>
        </w:tc>
      </w:tr>
      <w:tr>
        <w:tc>
          <w:tcPr>
            <w:tcW w:type="dxa" w:w="4032"/>
            <w:vAlign w:val="top"/>
          </w:tcPr>
          <w:p>
            <w:r/>
            <w:r>
              <w:rPr>
                <w:sz w:val="20"/>
              </w:rPr>
              <w:t>build-reports/compare-planning-versions (296)</w:t>
            </w:r>
          </w:p>
        </w:tc>
        <w:tc>
          <w:tcPr>
            <w:tcW w:type="dxa" w:w="1008"/>
            <w:vAlign w:val="top"/>
          </w:tcPr>
          <w:p>
            <w:r/>
            <w:r>
              <w:rPr>
                <w:sz w:val="20"/>
              </w:rPr>
              <w:t>700</w:t>
            </w:r>
          </w:p>
        </w:tc>
        <w:tc>
          <w:tcPr>
            <w:tcW w:type="dxa" w:w="4320"/>
            <w:vAlign w:val="top"/>
          </w:tcPr>
          <w:p>
            <w:r/>
            <w:r>
              <w:rPr>
                <w:sz w:val="20"/>
              </w:rPr>
              <w:t>Multi-version layouts; variance calc; locked version vs draft</w:t>
            </w:r>
          </w:p>
        </w:tc>
      </w:tr>
      <w:tr>
        <w:tc>
          <w:tcPr>
            <w:tcW w:type="dxa" w:w="4032"/>
            <w:vAlign w:val="top"/>
          </w:tcPr>
          <w:p>
            <w:r/>
            <w:r>
              <w:rPr>
                <w:sz w:val="20"/>
              </w:rPr>
              <w:t>build-reports/headcount-in-financial-report (348)</w:t>
            </w:r>
          </w:p>
        </w:tc>
        <w:tc>
          <w:tcPr>
            <w:tcW w:type="dxa" w:w="1008"/>
            <w:vAlign w:val="top"/>
          </w:tcPr>
          <w:p>
            <w:r/>
            <w:r>
              <w:rPr>
                <w:sz w:val="20"/>
              </w:rPr>
              <w:t>700</w:t>
            </w:r>
          </w:p>
        </w:tc>
        <w:tc>
          <w:tcPr>
            <w:tcW w:type="dxa" w:w="4320"/>
            <w:vAlign w:val="top"/>
          </w:tcPr>
          <w:p>
            <w:r/>
            <w:r>
              <w:rPr>
                <w:sz w:val="20"/>
              </w:rPr>
              <w:t>FTE vs head; period-end vs average; salary roll-up examples</w:t>
            </w:r>
          </w:p>
        </w:tc>
      </w:tr>
      <w:tr>
        <w:tc>
          <w:tcPr>
            <w:tcW w:type="dxa" w:w="4032"/>
            <w:vAlign w:val="top"/>
          </w:tcPr>
          <w:p>
            <w:r/>
            <w:r>
              <w:rPr>
                <w:sz w:val="20"/>
              </w:rPr>
              <w:t>share-publish/* (all three under 510)</w:t>
            </w:r>
          </w:p>
        </w:tc>
        <w:tc>
          <w:tcPr>
            <w:tcW w:type="dxa" w:w="1008"/>
            <w:vAlign w:val="top"/>
          </w:tcPr>
          <w:p>
            <w:r/>
            <w:r>
              <w:rPr>
                <w:sz w:val="20"/>
              </w:rPr>
              <w:t>750 each</w:t>
            </w:r>
          </w:p>
        </w:tc>
        <w:tc>
          <w:tcPr>
            <w:tcW w:type="dxa" w:w="4320"/>
            <w:vAlign w:val="top"/>
          </w:tcPr>
          <w:p>
            <w:r/>
            <w:r>
              <w:rPr>
                <w:sz w:val="20"/>
              </w:rPr>
              <w:t>Add the missing co-author safety, version-conflict recovery, recipient permission troubleshooting content</w:t>
            </w:r>
          </w:p>
        </w:tc>
      </w:tr>
      <w:tr>
        <w:tc>
          <w:tcPr>
            <w:tcW w:type="dxa" w:w="4032"/>
            <w:vAlign w:val="top"/>
          </w:tcPr>
          <w:p>
            <w:r/>
            <w:r>
              <w:rPr>
                <w:sz w:val="20"/>
              </w:rPr>
              <w:t>connect/* (all five medium)</w:t>
            </w:r>
          </w:p>
        </w:tc>
        <w:tc>
          <w:tcPr>
            <w:tcW w:type="dxa" w:w="1008"/>
            <w:vAlign w:val="top"/>
          </w:tcPr>
          <w:p>
            <w:r/>
            <w:r>
              <w:rPr>
                <w:sz w:val="20"/>
              </w:rPr>
              <w:t>650 each</w:t>
            </w:r>
          </w:p>
        </w:tc>
        <w:tc>
          <w:tcPr>
            <w:tcW w:type="dxa" w:w="4320"/>
            <w:vAlign w:val="top"/>
          </w:tcPr>
          <w:p>
            <w:r/>
            <w:r>
              <w:rPr>
                <w:sz w:val="20"/>
              </w:rPr>
              <w:t>Add 'Next steps' sections; cross-link into new Admin sub-sections</w:t>
            </w:r>
          </w:p>
        </w:tc>
      </w:tr>
    </w:tbl>
    <w:p>
      <w:pPr>
        <w:pStyle w:val="Heading2"/>
      </w:pPr>
      <w:r>
        <w:t>7.2 Cross-link backfill</w:t>
      </w:r>
    </w:p>
    <w:p>
      <w:r>
        <w:rPr>
          <w:b w:val="0"/>
          <w:i w:val="0"/>
        </w:rPr>
        <w:t>Nineteen articles currently have zero internal links. Run a focused two-pass sweep:</w:t>
      </w:r>
    </w:p>
    <w:p>
      <w:pPr>
        <w:pStyle w:val="ListBullet"/>
      </w:pPr>
      <w:r>
        <w:t>Pass 1 — prerequisite link in opening paragraph: e.g., 'Before you begin, make sure OfficeConnect is installed (link).' Apply to every tutorial and troubleshoot article.</w:t>
      </w:r>
    </w:p>
    <w:p>
      <w:pPr>
        <w:pStyle w:val="ListBullet"/>
      </w:pPr>
      <w:r>
        <w:t>Pass 2 — follow-on link in closing paragraph: 'Next, scope your report by department (link to Filter Data).' Apply to every tutorial.</w:t>
      </w:r>
    </w:p>
    <w:p>
      <w:r>
        <w:rPr>
          <w:b w:val="0"/>
          <w:i w:val="0"/>
        </w:rPr>
        <w:t>Specifically affected articles (list, with section in brackets):</w:t>
      </w:r>
    </w:p>
    <w:p>
      <w:pPr>
        <w:pStyle w:val="ListBullet"/>
      </w:pPr>
      <w:r>
        <w:t>troubleshoot/not-refreshing</w:t>
      </w:r>
    </w:p>
    <w:p>
      <w:pPr>
        <w:pStyle w:val="ListBullet"/>
      </w:pPr>
      <w:r>
        <w:t>troubleshoot/authentication-token-errors</w:t>
      </w:r>
    </w:p>
    <w:p>
      <w:pPr>
        <w:pStyle w:val="ListBullet"/>
      </w:pPr>
      <w:r>
        <w:t>troubleshoot/slow-performance</w:t>
      </w:r>
    </w:p>
    <w:p>
      <w:pPr>
        <w:pStyle w:val="ListBullet"/>
      </w:pPr>
      <w:r>
        <w:t>troubleshoot/com-registration-error</w:t>
      </w:r>
    </w:p>
    <w:p>
      <w:pPr>
        <w:pStyle w:val="ListBullet"/>
      </w:pPr>
      <w:r>
        <w:t>troubleshoot/numbers-not-shifting</w:t>
      </w:r>
    </w:p>
    <w:p>
      <w:pPr>
        <w:pStyle w:val="ListBullet"/>
      </w:pPr>
      <w:r>
        <w:t>troubleshoot/suppress-zeros-blanks</w:t>
      </w:r>
    </w:p>
    <w:p>
      <w:pPr>
        <w:pStyle w:val="ListBullet"/>
      </w:pPr>
      <w:r>
        <w:t>troubleshoot/remove-elements</w:t>
      </w:r>
    </w:p>
    <w:p>
      <w:pPr>
        <w:pStyle w:val="ListBullet"/>
      </w:pPr>
      <w:r>
        <w:t>troubleshoot/change-rounding-settings</w:t>
      </w:r>
    </w:p>
    <w:p>
      <w:pPr>
        <w:pStyle w:val="ListBullet"/>
      </w:pPr>
      <w:r>
        <w:t>troubleshoot/display-percentage-values</w:t>
      </w:r>
    </w:p>
    <w:p>
      <w:pPr>
        <w:pStyle w:val="ListBullet"/>
      </w:pPr>
      <w:r>
        <w:t>share-publish/share-teams-sharepoint-onedrive</w:t>
      </w:r>
    </w:p>
    <w:p>
      <w:pPr>
        <w:pStyle w:val="ListBullet"/>
      </w:pPr>
      <w:r>
        <w:t>share-publish/officeconnect-for-powerpoint</w:t>
      </w:r>
    </w:p>
    <w:p>
      <w:pPr>
        <w:pStyle w:val="ListBullet"/>
      </w:pPr>
      <w:r>
        <w:t>share-publish/officeconnect-for-word</w:t>
      </w:r>
    </w:p>
    <w:p>
      <w:pPr>
        <w:pStyle w:val="ListBullet"/>
      </w:pPr>
      <w:r>
        <w:t>build-reports/repeating-reports</w:t>
      </w:r>
    </w:p>
    <w:p>
      <w:pPr>
        <w:pStyle w:val="ListBullet"/>
      </w:pPr>
      <w:r>
        <w:t>build-reports/review-applied-elements</w:t>
      </w:r>
    </w:p>
    <w:p>
      <w:pPr>
        <w:pStyle w:val="ListBullet"/>
      </w:pPr>
      <w:r>
        <w:t>build-reports/workbook-worksheet-properties</w:t>
      </w:r>
    </w:p>
    <w:p>
      <w:pPr>
        <w:pStyle w:val="ListBullet"/>
      </w:pPr>
      <w:r>
        <w:t>build-reports/cell-explorer-drill-down</w:t>
      </w:r>
    </w:p>
    <w:p>
      <w:pPr>
        <w:pStyle w:val="ListBullet"/>
      </w:pPr>
      <w:r>
        <w:t>build-reports/financials-vs-adaptive-planning</w:t>
      </w:r>
    </w:p>
    <w:p>
      <w:pPr>
        <w:pStyle w:val="ListBullet"/>
      </w:pPr>
      <w:r>
        <w:t>connect/secure-workbooks</w:t>
      </w:r>
    </w:p>
    <w:p>
      <w:pPr>
        <w:pStyle w:val="ListBullet"/>
      </w:pPr>
      <w:r>
        <w:t>connect/sign-in-create-tenant</w:t>
      </w:r>
    </w:p>
    <w:p>
      <w:pPr>
        <w:pStyle w:val="Heading2"/>
      </w:pPr>
      <w:r>
        <w:t>7.3 Screenshot capture program</w:t>
      </w:r>
    </w:p>
    <w:p>
      <w:r>
        <w:rPr>
          <w:b w:val="0"/>
          <w:i w:val="0"/>
        </w:rPr>
        <w:t>Treat screenshots as a one-time program, not an ongoing chore. Plan a single capture sprint that produces the full set in two to three working sessions:</w:t>
      </w:r>
    </w:p>
    <w:p>
      <w:pPr>
        <w:pStyle w:val="ListBullet"/>
      </w:pPr>
      <w:r>
        <w:t>Pre-flight: stand up a clean demo tenant ('Acme Corp' or 'Demo Tenant') in Adaptive Planning with reusable data — accounts, time periods, two versions, three levels, one custom dimension.</w:t>
      </w:r>
    </w:p>
    <w:p>
      <w:pPr>
        <w:pStyle w:val="ListBullet"/>
      </w:pPr>
      <w:r>
        <w:t>Capture list: roughly 90 screenshots covering the Reporting pane (open, each tab, elements expanded), the ribbon (each major command), each tutorial article (3-5 screenshots), each Connect/Admin article (auth flows, tenant config UI), and 30 troubleshoot articles (the relevant error dialog or symptom).</w:t>
      </w:r>
    </w:p>
    <w:p>
      <w:pPr>
        <w:pStyle w:val="ListBullet"/>
      </w:pPr>
      <w:r>
        <w:t>Annotation pass: apply the standard from §5.5; produce both .png and .webp.</w:t>
      </w:r>
    </w:p>
    <w:p>
      <w:pPr>
        <w:pStyle w:val="ListBullet"/>
      </w:pPr>
      <w:r>
        <w:t>Commit and reference: every existing article that today references a missing image gets its real image; capture additional images for the 56 articles that currently have none.</w:t>
      </w:r>
    </w:p>
    <w:p>
      <w:pPr>
        <w:pStyle w:val="Heading2"/>
      </w:pPr>
      <w:r>
        <w:t>7.4 Relocate and reorganize</w:t>
      </w:r>
    </w:p>
    <w:p>
      <w:r>
        <w:rPr>
          <w:b w:val="0"/>
          <w:i w:val="0"/>
        </w:rPr>
        <w:t>Several existing articles are in the wrong section under the new IA. Migrate URLs and add redirects in Hugo's aliases front-matter so existing inbound links continue to work:</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3168"/>
            <w:shd w:val="clear" w:color="auto" w:fill="18181B"/>
            <w:vAlign w:val="center"/>
          </w:tcPr>
          <w:p>
            <w:r/>
            <w:r>
              <w:rPr>
                <w:b/>
                <w:color w:val="FFFFFF"/>
                <w:sz w:val="20"/>
              </w:rPr>
              <w:t>Article</w:t>
            </w:r>
          </w:p>
        </w:tc>
        <w:tc>
          <w:tcPr>
            <w:tcW w:type="dxa" w:w="3600"/>
            <w:shd w:val="clear" w:color="auto" w:fill="18181B"/>
            <w:vAlign w:val="center"/>
          </w:tcPr>
          <w:p>
            <w:r/>
            <w:r>
              <w:rPr>
                <w:b/>
                <w:color w:val="FFFFFF"/>
                <w:sz w:val="20"/>
              </w:rPr>
              <w:t>From → To</w:t>
            </w:r>
          </w:p>
        </w:tc>
        <w:tc>
          <w:tcPr>
            <w:tcW w:type="dxa" w:w="2592"/>
            <w:shd w:val="clear" w:color="auto" w:fill="18181B"/>
            <w:vAlign w:val="center"/>
          </w:tcPr>
          <w:p>
            <w:r/>
            <w:r>
              <w:rPr>
                <w:b/>
                <w:color w:val="FFFFFF"/>
                <w:sz w:val="20"/>
              </w:rPr>
              <w:t>Notes</w:t>
            </w:r>
          </w:p>
        </w:tc>
      </w:tr>
      <w:tr>
        <w:tc>
          <w:tcPr>
            <w:tcW w:type="dxa" w:w="3168"/>
            <w:vAlign w:val="top"/>
          </w:tcPr>
          <w:p>
            <w:r/>
            <w:r>
              <w:rPr>
                <w:sz w:val="20"/>
              </w:rPr>
              <w:t>officeconnect-on-mac</w:t>
            </w:r>
          </w:p>
        </w:tc>
        <w:tc>
          <w:tcPr>
            <w:tcW w:type="dxa" w:w="3600"/>
            <w:vAlign w:val="top"/>
          </w:tcPr>
          <w:p>
            <w:r/>
            <w:r>
              <w:rPr>
                <w:sz w:val="20"/>
              </w:rPr>
              <w:t>build-reports/ → troubleshoot/mac-cross-platform/</w:t>
            </w:r>
          </w:p>
        </w:tc>
        <w:tc>
          <w:tcPr>
            <w:tcW w:type="dxa" w:w="2592"/>
            <w:vAlign w:val="top"/>
          </w:tcPr>
          <w:p>
            <w:r/>
            <w:r>
              <w:rPr>
                <w:sz w:val="20"/>
              </w:rPr>
              <w:t>Mac is a deployment/platform issue, not a reporting one</w:t>
            </w:r>
          </w:p>
        </w:tc>
      </w:tr>
      <w:tr>
        <w:tc>
          <w:tcPr>
            <w:tcW w:type="dxa" w:w="3168"/>
            <w:vAlign w:val="top"/>
          </w:tcPr>
          <w:p>
            <w:r/>
            <w:r>
              <w:rPr>
                <w:sz w:val="20"/>
              </w:rPr>
              <w:t>financials-vs-adaptive-planning</w:t>
            </w:r>
          </w:p>
        </w:tc>
        <w:tc>
          <w:tcPr>
            <w:tcW w:type="dxa" w:w="3600"/>
            <w:vAlign w:val="top"/>
          </w:tcPr>
          <w:p>
            <w:r/>
            <w:r>
              <w:rPr>
                <w:sz w:val="20"/>
              </w:rPr>
              <w:t>build-reports/ → migration-comparison/</w:t>
            </w:r>
          </w:p>
        </w:tc>
        <w:tc>
          <w:tcPr>
            <w:tcW w:type="dxa" w:w="2592"/>
            <w:vAlign w:val="top"/>
          </w:tcPr>
          <w:p>
            <w:r/>
            <w:r>
              <w:rPr>
                <w:sz w:val="20"/>
              </w:rPr>
              <w:t>Belongs with the new decision-framework content</w:t>
            </w:r>
          </w:p>
        </w:tc>
      </w:tr>
      <w:tr>
        <w:tc>
          <w:tcPr>
            <w:tcW w:type="dxa" w:w="3168"/>
            <w:vAlign w:val="top"/>
          </w:tcPr>
          <w:p>
            <w:r/>
            <w:r>
              <w:rPr>
                <w:sz w:val="20"/>
              </w:rPr>
              <w:t>enter-budget-data</w:t>
            </w:r>
          </w:p>
        </w:tc>
        <w:tc>
          <w:tcPr>
            <w:tcW w:type="dxa" w:w="3600"/>
            <w:vAlign w:val="top"/>
          </w:tcPr>
          <w:p>
            <w:r/>
            <w:r>
              <w:rPr>
                <w:sz w:val="20"/>
              </w:rPr>
              <w:t>build-reports/ → data-entry-writeback/</w:t>
            </w:r>
          </w:p>
        </w:tc>
        <w:tc>
          <w:tcPr>
            <w:tcW w:type="dxa" w:w="2592"/>
            <w:vAlign w:val="top"/>
          </w:tcPr>
          <w:p>
            <w:r/>
            <w:r>
              <w:rPr>
                <w:sz w:val="20"/>
              </w:rPr>
              <w:t>Anchor of the new write-back section</w:t>
            </w:r>
          </w:p>
        </w:tc>
      </w:tr>
      <w:tr>
        <w:tc>
          <w:tcPr>
            <w:tcW w:type="dxa" w:w="3168"/>
            <w:vAlign w:val="top"/>
          </w:tcPr>
          <w:p>
            <w:r/>
            <w:r>
              <w:rPr>
                <w:sz w:val="20"/>
              </w:rPr>
              <w:t>optimize-performance</w:t>
            </w:r>
          </w:p>
        </w:tc>
        <w:tc>
          <w:tcPr>
            <w:tcW w:type="dxa" w:w="3600"/>
            <w:vAlign w:val="top"/>
          </w:tcPr>
          <w:p>
            <w:r/>
            <w:r>
              <w:rPr>
                <w:sz w:val="20"/>
              </w:rPr>
              <w:t>build-reports/ → performance/</w:t>
            </w:r>
          </w:p>
        </w:tc>
        <w:tc>
          <w:tcPr>
            <w:tcW w:type="dxa" w:w="2592"/>
            <w:vAlign w:val="top"/>
          </w:tcPr>
          <w:p>
            <w:r/>
            <w:r>
              <w:rPr>
                <w:sz w:val="20"/>
              </w:rPr>
              <w:t>Anchor of the new Performance section</w:t>
            </w:r>
          </w:p>
        </w:tc>
      </w:tr>
      <w:tr>
        <w:tc>
          <w:tcPr>
            <w:tcW w:type="dxa" w:w="3168"/>
            <w:vAlign w:val="top"/>
          </w:tcPr>
          <w:p>
            <w:r/>
            <w:r>
              <w:rPr>
                <w:sz w:val="20"/>
              </w:rPr>
              <w:t>refresh-with-power-automate</w:t>
            </w:r>
          </w:p>
        </w:tc>
        <w:tc>
          <w:tcPr>
            <w:tcW w:type="dxa" w:w="3600"/>
            <w:vAlign w:val="top"/>
          </w:tcPr>
          <w:p>
            <w:r/>
            <w:r>
              <w:rPr>
                <w:sz w:val="20"/>
              </w:rPr>
              <w:t>build-reports/ → integration/ (new subsection under Admin)</w:t>
            </w:r>
          </w:p>
        </w:tc>
        <w:tc>
          <w:tcPr>
            <w:tcW w:type="dxa" w:w="2592"/>
            <w:vAlign w:val="top"/>
          </w:tcPr>
          <w:p>
            <w:r/>
            <w:r>
              <w:rPr>
                <w:sz w:val="20"/>
              </w:rPr>
              <w:t>Integration topic, not a recipe</w:t>
            </w:r>
          </w:p>
        </w:tc>
      </w:tr>
      <w:tr>
        <w:tc>
          <w:tcPr>
            <w:tcW w:type="dxa" w:w="3168"/>
            <w:vAlign w:val="top"/>
          </w:tcPr>
          <w:p>
            <w:r/>
            <w:r>
              <w:rPr>
                <w:sz w:val="20"/>
              </w:rPr>
              <w:t>financials/* (14 articles)</w:t>
            </w:r>
          </w:p>
        </w:tc>
        <w:tc>
          <w:tcPr>
            <w:tcW w:type="dxa" w:w="3600"/>
            <w:vAlign w:val="top"/>
          </w:tcPr>
          <w:p>
            <w:r/>
            <w:r>
              <w:rPr>
                <w:sz w:val="20"/>
              </w:rPr>
              <w:t>URLs unchanged; navigation surfaces it under Build Reports → Financials reports</w:t>
            </w:r>
          </w:p>
        </w:tc>
        <w:tc>
          <w:tcPr>
            <w:tcW w:type="dxa" w:w="2592"/>
            <w:vAlign w:val="top"/>
          </w:tcPr>
          <w:p>
            <w:r/>
            <w:r>
              <w:rPr>
                <w:sz w:val="20"/>
              </w:rPr>
              <w:t>Don't break URLs; just surface the cluster better</w:t>
            </w:r>
          </w:p>
        </w:tc>
      </w:tr>
      <w:tr>
        <w:tc>
          <w:tcPr>
            <w:tcW w:type="dxa" w:w="3168"/>
            <w:vAlign w:val="top"/>
          </w:tcPr>
          <w:p>
            <w:r/>
            <w:r>
              <w:rPr>
                <w:sz w:val="20"/>
              </w:rPr>
              <w:t>check-version</w:t>
            </w:r>
          </w:p>
        </w:tc>
        <w:tc>
          <w:tcPr>
            <w:tcW w:type="dxa" w:w="3600"/>
            <w:vAlign w:val="top"/>
          </w:tcPr>
          <w:p>
            <w:r/>
            <w:r>
              <w:rPr>
                <w:sz w:val="20"/>
              </w:rPr>
              <w:t>Stay in Get Started; also surface as a link in Admin → Upgrade</w:t>
            </w:r>
          </w:p>
        </w:tc>
        <w:tc>
          <w:tcPr>
            <w:tcW w:type="dxa" w:w="2592"/>
            <w:vAlign w:val="top"/>
          </w:tcPr>
          <w:p>
            <w:r/>
            <w:r>
              <w:rPr>
                <w:sz w:val="20"/>
              </w:rPr>
              <w:t>Single source, multiple links</w:t>
            </w:r>
          </w:p>
        </w:tc>
      </w:tr>
      <w:tr>
        <w:tc>
          <w:tcPr>
            <w:tcW w:type="dxa" w:w="3168"/>
            <w:vAlign w:val="top"/>
          </w:tcPr>
          <w:p>
            <w:r/>
            <w:r>
              <w:rPr>
                <w:sz w:val="20"/>
              </w:rPr>
              <w:t>install-admin</w:t>
            </w:r>
          </w:p>
        </w:tc>
        <w:tc>
          <w:tcPr>
            <w:tcW w:type="dxa" w:w="3600"/>
            <w:vAlign w:val="top"/>
          </w:tcPr>
          <w:p>
            <w:r/>
            <w:r>
              <w:rPr>
                <w:sz w:val="20"/>
              </w:rPr>
              <w:t>Stay in Get Started; primary link from Admin → Deploy landing</w:t>
            </w:r>
          </w:p>
        </w:tc>
        <w:tc>
          <w:tcPr>
            <w:tcW w:type="dxa" w:w="2592"/>
            <w:vAlign w:val="top"/>
          </w:tcPr>
          <w:p>
            <w:r/>
            <w:r>
              <w:rPr>
                <w:sz w:val="20"/>
              </w:rPr>
              <w:t>Same</w:t>
            </w:r>
          </w:p>
        </w:tc>
      </w:tr>
    </w:tbl>
    <w:p>
      <w:pPr>
        <w:pStyle w:val="Heading2"/>
      </w:pPr>
      <w:r>
        <w:t>7.5 Apply standardized closing sections</w:t>
      </w:r>
    </w:p>
    <w:p>
      <w:r>
        <w:rPr>
          <w:b w:val="0"/>
          <w:i w:val="0"/>
        </w:rPr>
        <w:t>The founding spec mandates Result and Next steps. Half the site omits one or both. Run a closing-section sweep:</w:t>
      </w:r>
    </w:p>
    <w:p>
      <w:pPr>
        <w:pStyle w:val="ListBullet"/>
      </w:pPr>
      <w:r>
        <w:t>Add 'Result' to every Troubleshoot article (a one-line confirmation the fix worked: 'OfficeConnect now shows the Refresh button enabled on the ribbon.').</w:t>
      </w:r>
    </w:p>
    <w:p>
      <w:pPr>
        <w:pStyle w:val="ListBullet"/>
      </w:pPr>
      <w:r>
        <w:t>Add 'Next steps' to every Connect / Admin / Share &amp; Publish article (one to three forward links).</w:t>
      </w:r>
    </w:p>
    <w:p>
      <w:pPr>
        <w:pStyle w:val="ListBullet"/>
      </w:pPr>
      <w:r>
        <w:t>Add 'What you'll need' to every tutorial that omits it.</w:t>
      </w:r>
    </w:p>
    <w:p>
      <w:pPr>
        <w:pStyle w:val="ListBullet"/>
      </w:pPr>
      <w:r>
        <w:t>Add the standardized video-placeholder comment block to every tutorial (today only build-first-report has it).</w:t>
      </w:r>
    </w:p>
    <w:p>
      <w:r>
        <w:br w:type="page"/>
      </w:r>
    </w:p>
    <w:p>
      <w:pPr>
        <w:pStyle w:val="Heading1"/>
      </w:pPr>
      <w:r>
        <w:t>8. Design and UX recommendations</w:t>
      </w:r>
    </w:p>
    <w:p>
      <w:pPr>
        <w:pStyle w:val="Heading2"/>
      </w:pPr>
      <w:r>
        <w:t>8.1 Navigation</w:t>
      </w:r>
    </w:p>
    <w:p>
      <w:pPr>
        <w:pStyle w:val="ListBullet"/>
      </w:pPr>
      <w:r>
        <w:t>Rebuild menus.toml with seven top-level entries (see §4.3).</w:t>
      </w:r>
    </w:p>
    <w:p>
      <w:pPr>
        <w:pStyle w:val="ListBullet"/>
      </w:pPr>
      <w:r>
        <w:t>Add a utility nav (top-right) for What's New, Resources, Search. Docsy supports this through a second menu or a partial override.</w:t>
      </w:r>
    </w:p>
    <w:p>
      <w:pPr>
        <w:pStyle w:val="ListBullet"/>
      </w:pPr>
      <w:r>
        <w:t>Sidebar: keep the foldable per-section sidebar; nest Admin → Deploy/Configure/Govern/Upgrade with clear group headers (Docsy supports nested sections natively).</w:t>
      </w:r>
    </w:p>
    <w:p>
      <w:pPr>
        <w:pStyle w:val="ListBullet"/>
      </w:pPr>
      <w:r>
        <w:t>Breadcrumbs: keep on; add the section landing page name into the trail (currently breadcrumbs already cover this — verify).</w:t>
      </w:r>
    </w:p>
    <w:p>
      <w:pPr>
        <w:pStyle w:val="Heading2"/>
      </w:pPr>
      <w:r>
        <w:t>8.2 Homepage</w:t>
      </w:r>
    </w:p>
    <w:p>
      <w:pPr>
        <w:pStyle w:val="ListBullet"/>
      </w:pPr>
      <w:r>
        <w:t>Replace the current 3-feature card row with a dual-path hero (FP&amp;A / IT Admin).</w:t>
      </w:r>
    </w:p>
    <w:p>
      <w:pPr>
        <w:pStyle w:val="ListBullet"/>
      </w:pPr>
      <w:r>
        <w:t>Add a 'What's new' strip pinned to the current release. Rotate quarterly or per release.</w:t>
      </w:r>
    </w:p>
    <w:p>
      <w:pPr>
        <w:pStyle w:val="ListBullet"/>
      </w:pPr>
      <w:r>
        <w:t>Add a 'Featured tutorials' row of three (rotated quarterly) with thumbnail screenshots.</w:t>
      </w:r>
    </w:p>
    <w:p>
      <w:pPr>
        <w:pStyle w:val="ListBullet"/>
      </w:pPr>
      <w:r>
        <w:t>Rebuild the 'Browse by Topic' chip cloud against the new tag taxonomy; every chip must lead to a populated page.</w:t>
      </w:r>
    </w:p>
    <w:p>
      <w:pPr>
        <w:pStyle w:val="ListBullet"/>
      </w:pPr>
      <w:r>
        <w:t>Add a 'For consultants and partners' card near the bottom — gentle CTA toward Migration &amp; Comparison and the upcoming video library.</w:t>
      </w:r>
    </w:p>
    <w:p>
      <w:pPr>
        <w:pStyle w:val="Heading2"/>
      </w:pPr>
      <w:r>
        <w:t>8.3 Article page anatomy</w:t>
      </w:r>
    </w:p>
    <w:p>
      <w:r>
        <w:rPr>
          <w:b w:val="0"/>
          <w:i w:val="0"/>
        </w:rPr>
        <w:t>Standardize the article template (Docsy single-page layout override). From top to bottom:</w:t>
      </w:r>
    </w:p>
    <w:p>
      <w:pPr>
        <w:pStyle w:val="ListBullet"/>
      </w:pPr>
      <w:r>
        <w:t>Title</w:t>
      </w:r>
    </w:p>
    <w:p>
      <w:pPr>
        <w:pStyle w:val="ListBullet"/>
      </w:pPr>
      <w:r>
        <w:t>Audience badge (pill) + version compatibility badge + 'last verified' date + estimated reading time</w:t>
      </w:r>
    </w:p>
    <w:p>
      <w:pPr>
        <w:pStyle w:val="ListBullet"/>
      </w:pPr>
      <w:r>
        <w:t>Optional summary callout for long articles (&gt;800 words)</w:t>
      </w:r>
    </w:p>
    <w:p>
      <w:pPr>
        <w:pStyle w:val="ListBullet"/>
      </w:pPr>
      <w:r>
        <w:t>Sticky table of contents in right rail for long articles</w:t>
      </w:r>
    </w:p>
    <w:p>
      <w:pPr>
        <w:pStyle w:val="ListBullet"/>
      </w:pPr>
      <w:r>
        <w:t>Body content (using the three templates from §5.1)</w:t>
      </w:r>
    </w:p>
    <w:p>
      <w:pPr>
        <w:pStyle w:val="ListBullet"/>
      </w:pPr>
      <w:r>
        <w:t>'Result' panel — visually distinct callout, accent-amber border</w:t>
      </w:r>
    </w:p>
    <w:p>
      <w:pPr>
        <w:pStyle w:val="ListBullet"/>
      </w:pPr>
      <w:r>
        <w:t>'Next steps' or 'Related' module — three cards, generated from tag overlap or manual 'related:' front-matter</w:t>
      </w:r>
    </w:p>
    <w:p>
      <w:pPr>
        <w:pStyle w:val="ListBullet"/>
      </w:pPr>
      <w:r>
        <w:t>'Was this helpful?' microsurvey (3-button: yes / kind of / no) — out of original spec scope, but high signal-to-cost</w:t>
      </w:r>
    </w:p>
    <w:p>
      <w:pPr>
        <w:pStyle w:val="ListBullet"/>
      </w:pPr>
      <w:r>
        <w:t>'View as markdown' link — preserve the existing LLMsTxt-friendly surface</w:t>
      </w:r>
    </w:p>
    <w:p>
      <w:pPr>
        <w:pStyle w:val="ListBullet"/>
      </w:pPr>
      <w:r>
        <w:t>'Edit this page on GitHub' link — re-enable by setting github_repo</w:t>
      </w:r>
    </w:p>
    <w:p>
      <w:pPr>
        <w:pStyle w:val="ListBullet"/>
      </w:pPr>
      <w:r>
        <w:t>'Last updated' date from GitInfo</w:t>
      </w:r>
    </w:p>
    <w:p>
      <w:pPr>
        <w:pStyle w:val="Heading2"/>
      </w:pPr>
      <w:r>
        <w:t>8.4 Visual identity</w:t>
      </w:r>
    </w:p>
    <w:p>
      <w:pPr>
        <w:pStyle w:val="ListBullet"/>
      </w:pPr>
      <w:r>
        <w:t>Confirm the 'Dark + Amber' identity is implemented in assets/scss/_variables_project.scss (sidebar #18181B, primary amber #F59E0B). The founding spec calls for it; the audit didn't verify it shipped.</w:t>
      </w:r>
    </w:p>
    <w:p>
      <w:pPr>
        <w:pStyle w:val="ListBullet"/>
      </w:pPr>
      <w:r>
        <w:t>Develop a small custom OC icon set for the Reporting pane: cell-explorer, refresh, drill, view-by, write-back. Use them in tutorials alongside Font Awesome.</w:t>
      </w:r>
    </w:p>
    <w:p>
      <w:pPr>
        <w:pStyle w:val="ListBullet"/>
      </w:pPr>
      <w:r>
        <w:t>Brand all screenshots consistently: standard tenant name, standard scratch workbook, standard light theme.</w:t>
      </w:r>
    </w:p>
    <w:p>
      <w:pPr>
        <w:pStyle w:val="ListBullet"/>
      </w:pPr>
      <w:r>
        <w:t>Cover image rotation: replace the static homepage cover image quarterly with a fresh demo screenshot — keep the page feeling alive.</w:t>
      </w:r>
    </w:p>
    <w:p>
      <w:pPr>
        <w:pStyle w:val="Heading2"/>
      </w:pPr>
      <w:r>
        <w:t>8.5 Callout/shortcode library</w:t>
      </w:r>
    </w:p>
    <w:p>
      <w:r>
        <w:rPr>
          <w:b w:val="0"/>
          <w:i w:val="0"/>
        </w:rPr>
        <w:t>Expand beyond the single {{&lt; admin-note &gt;}} shortcode. Suggested set:</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3744"/>
            <w:shd w:val="clear" w:color="auto" w:fill="18181B"/>
            <w:vAlign w:val="center"/>
          </w:tcPr>
          <w:p>
            <w:r/>
            <w:r>
              <w:rPr>
                <w:b/>
                <w:color w:val="FFFFFF"/>
                <w:sz w:val="20"/>
              </w:rPr>
              <w:t>Shortcode</w:t>
            </w:r>
          </w:p>
        </w:tc>
        <w:tc>
          <w:tcPr>
            <w:tcW w:type="dxa" w:w="1440"/>
            <w:shd w:val="clear" w:color="auto" w:fill="18181B"/>
            <w:vAlign w:val="center"/>
          </w:tcPr>
          <w:p>
            <w:r/>
            <w:r>
              <w:rPr>
                <w:b/>
                <w:color w:val="FFFFFF"/>
                <w:sz w:val="20"/>
              </w:rPr>
              <w:t>Color</w:t>
            </w:r>
          </w:p>
        </w:tc>
        <w:tc>
          <w:tcPr>
            <w:tcW w:type="dxa" w:w="4176"/>
            <w:shd w:val="clear" w:color="auto" w:fill="18181B"/>
            <w:vAlign w:val="center"/>
          </w:tcPr>
          <w:p>
            <w:r/>
            <w:r>
              <w:rPr>
                <w:b/>
                <w:color w:val="FFFFFF"/>
                <w:sz w:val="20"/>
              </w:rPr>
              <w:t>Use case</w:t>
            </w:r>
          </w:p>
        </w:tc>
      </w:tr>
      <w:tr>
        <w:tc>
          <w:tcPr>
            <w:tcW w:type="dxa" w:w="3744"/>
            <w:vAlign w:val="top"/>
          </w:tcPr>
          <w:p>
            <w:r/>
            <w:r>
              <w:rPr>
                <w:sz w:val="20"/>
              </w:rPr>
              <w:t>{{&lt; admin-note &gt;}}</w:t>
            </w:r>
          </w:p>
        </w:tc>
        <w:tc>
          <w:tcPr>
            <w:tcW w:type="dxa" w:w="1440"/>
            <w:vAlign w:val="top"/>
          </w:tcPr>
          <w:p>
            <w:r/>
            <w:r>
              <w:rPr>
                <w:sz w:val="20"/>
              </w:rPr>
              <w:t>Amber</w:t>
            </w:r>
          </w:p>
        </w:tc>
        <w:tc>
          <w:tcPr>
            <w:tcW w:type="dxa" w:w="4176"/>
            <w:vAlign w:val="top"/>
          </w:tcPr>
          <w:p>
            <w:r/>
            <w:r>
              <w:rPr>
                <w:sz w:val="20"/>
              </w:rPr>
              <w:t>Existing — actions only IT admins take</w:t>
            </w:r>
          </w:p>
        </w:tc>
      </w:tr>
      <w:tr>
        <w:tc>
          <w:tcPr>
            <w:tcW w:type="dxa" w:w="3744"/>
            <w:vAlign w:val="top"/>
          </w:tcPr>
          <w:p>
            <w:r/>
            <w:r>
              <w:rPr>
                <w:sz w:val="20"/>
              </w:rPr>
              <w:t>{{&lt; tip &gt;}}</w:t>
            </w:r>
          </w:p>
        </w:tc>
        <w:tc>
          <w:tcPr>
            <w:tcW w:type="dxa" w:w="1440"/>
            <w:vAlign w:val="top"/>
          </w:tcPr>
          <w:p>
            <w:r/>
            <w:r>
              <w:rPr>
                <w:sz w:val="20"/>
              </w:rPr>
              <w:t>Blue</w:t>
            </w:r>
          </w:p>
        </w:tc>
        <w:tc>
          <w:tcPr>
            <w:tcW w:type="dxa" w:w="4176"/>
            <w:vAlign w:val="top"/>
          </w:tcPr>
          <w:p>
            <w:r/>
            <w:r>
              <w:rPr>
                <w:sz w:val="20"/>
              </w:rPr>
              <w:t>Optional better-practice or shortcut</w:t>
            </w:r>
          </w:p>
        </w:tc>
      </w:tr>
      <w:tr>
        <w:tc>
          <w:tcPr>
            <w:tcW w:type="dxa" w:w="3744"/>
            <w:vAlign w:val="top"/>
          </w:tcPr>
          <w:p>
            <w:r/>
            <w:r>
              <w:rPr>
                <w:sz w:val="20"/>
              </w:rPr>
              <w:t>{{&lt; warning &gt;}}</w:t>
            </w:r>
          </w:p>
        </w:tc>
        <w:tc>
          <w:tcPr>
            <w:tcW w:type="dxa" w:w="1440"/>
            <w:vAlign w:val="top"/>
          </w:tcPr>
          <w:p>
            <w:r/>
            <w:r>
              <w:rPr>
                <w:sz w:val="20"/>
              </w:rPr>
              <w:t>Red</w:t>
            </w:r>
          </w:p>
        </w:tc>
        <w:tc>
          <w:tcPr>
            <w:tcW w:type="dxa" w:w="4176"/>
            <w:vAlign w:val="top"/>
          </w:tcPr>
          <w:p>
            <w:r/>
            <w:r>
              <w:rPr>
                <w:sz w:val="20"/>
              </w:rPr>
              <w:t>Will-break-something risks</w:t>
            </w:r>
          </w:p>
        </w:tc>
      </w:tr>
      <w:tr>
        <w:tc>
          <w:tcPr>
            <w:tcW w:type="dxa" w:w="3744"/>
            <w:vAlign w:val="top"/>
          </w:tcPr>
          <w:p>
            <w:r/>
            <w:r>
              <w:rPr>
                <w:sz w:val="20"/>
              </w:rPr>
              <w:t>{{&lt; new-in-release version="2026R1" &gt;}}</w:t>
            </w:r>
          </w:p>
        </w:tc>
        <w:tc>
          <w:tcPr>
            <w:tcW w:type="dxa" w:w="1440"/>
            <w:vAlign w:val="top"/>
          </w:tcPr>
          <w:p>
            <w:r/>
            <w:r>
              <w:rPr>
                <w:sz w:val="20"/>
              </w:rPr>
              <w:t>Green</w:t>
            </w:r>
          </w:p>
        </w:tc>
        <w:tc>
          <w:tcPr>
            <w:tcW w:type="dxa" w:w="4176"/>
            <w:vAlign w:val="top"/>
          </w:tcPr>
          <w:p>
            <w:r/>
            <w:r>
              <w:rPr>
                <w:sz w:val="20"/>
              </w:rPr>
              <w:t>New feature badge — also drives version-compatibility automation</w:t>
            </w:r>
          </w:p>
        </w:tc>
      </w:tr>
      <w:tr>
        <w:tc>
          <w:tcPr>
            <w:tcW w:type="dxa" w:w="3744"/>
            <w:vAlign w:val="top"/>
          </w:tcPr>
          <w:p>
            <w:r/>
            <w:r>
              <w:rPr>
                <w:sz w:val="20"/>
              </w:rPr>
              <w:t>{{&lt; deprecated since="2025R1" &gt;}}</w:t>
            </w:r>
          </w:p>
        </w:tc>
        <w:tc>
          <w:tcPr>
            <w:tcW w:type="dxa" w:w="1440"/>
            <w:vAlign w:val="top"/>
          </w:tcPr>
          <w:p>
            <w:r/>
            <w:r>
              <w:rPr>
                <w:sz w:val="20"/>
              </w:rPr>
              <w:t>Gray</w:t>
            </w:r>
          </w:p>
        </w:tc>
        <w:tc>
          <w:tcPr>
            <w:tcW w:type="dxa" w:w="4176"/>
            <w:vAlign w:val="top"/>
          </w:tcPr>
          <w:p>
            <w:r/>
            <w:r>
              <w:rPr>
                <w:sz w:val="20"/>
              </w:rPr>
              <w:t>Faded callout for content that may not apply to newer versions</w:t>
            </w:r>
          </w:p>
        </w:tc>
      </w:tr>
      <w:tr>
        <w:tc>
          <w:tcPr>
            <w:tcW w:type="dxa" w:w="3744"/>
            <w:vAlign w:val="top"/>
          </w:tcPr>
          <w:p>
            <w:r/>
            <w:r>
              <w:rPr>
                <w:sz w:val="20"/>
              </w:rPr>
              <w:t>{{&lt; prerequisite &gt;}}</w:t>
            </w:r>
          </w:p>
        </w:tc>
        <w:tc>
          <w:tcPr>
            <w:tcW w:type="dxa" w:w="1440"/>
            <w:vAlign w:val="top"/>
          </w:tcPr>
          <w:p>
            <w:r/>
            <w:r>
              <w:rPr>
                <w:sz w:val="20"/>
              </w:rPr>
              <w:t>Neutral</w:t>
            </w:r>
          </w:p>
        </w:tc>
        <w:tc>
          <w:tcPr>
            <w:tcW w:type="dxa" w:w="4176"/>
            <w:vAlign w:val="top"/>
          </w:tcPr>
          <w:p>
            <w:r/>
            <w:r>
              <w:rPr>
                <w:sz w:val="20"/>
              </w:rPr>
              <w:t>What you need to have done before starting; replaces ad-hoc 'What you'll need' lists</w:t>
            </w:r>
          </w:p>
        </w:tc>
      </w:tr>
      <w:tr>
        <w:tc>
          <w:tcPr>
            <w:tcW w:type="dxa" w:w="3744"/>
            <w:vAlign w:val="top"/>
          </w:tcPr>
          <w:p>
            <w:r/>
            <w:r>
              <w:rPr>
                <w:sz w:val="20"/>
              </w:rPr>
              <w:t>{{&lt; result &gt;}}</w:t>
            </w:r>
          </w:p>
        </w:tc>
        <w:tc>
          <w:tcPr>
            <w:tcW w:type="dxa" w:w="1440"/>
            <w:vAlign w:val="top"/>
          </w:tcPr>
          <w:p>
            <w:r/>
            <w:r>
              <w:rPr>
                <w:sz w:val="20"/>
              </w:rPr>
              <w:t>Amber accent</w:t>
            </w:r>
          </w:p>
        </w:tc>
        <w:tc>
          <w:tcPr>
            <w:tcW w:type="dxa" w:w="4176"/>
            <w:vAlign w:val="top"/>
          </w:tcPr>
          <w:p>
            <w:r/>
            <w:r>
              <w:rPr>
                <w:sz w:val="20"/>
              </w:rPr>
              <w:t>Replaces today's bare 'Result' heading with a visual panel</w:t>
            </w:r>
          </w:p>
        </w:tc>
      </w:tr>
    </w:tbl>
    <w:p>
      <w:pPr>
        <w:pStyle w:val="Heading2"/>
      </w:pPr>
      <w:r>
        <w:t>8.6 Search</w:t>
      </w:r>
    </w:p>
    <w:p>
      <w:pPr>
        <w:pStyle w:val="ListBullet"/>
      </w:pPr>
      <w:r>
        <w:t>Lunr is enabled — verify it indexes article titles, headings, tags, and body. Boost tags and headings.</w:t>
      </w:r>
    </w:p>
    <w:p>
      <w:pPr>
        <w:pStyle w:val="ListBullet"/>
      </w:pPr>
      <w:r>
        <w:t>Add error-code keywords to troubleshoot articles' front matter as a 'keywords' field; surface in Lunr index.</w:t>
      </w:r>
    </w:p>
    <w:p>
      <w:pPr>
        <w:pStyle w:val="ListBullet"/>
      </w:pPr>
      <w:r>
        <w:t>Long-term: when the site outgrows Lunr (~250 articles), evaluate Pagefind (static, no service) before reaching for Algolia.</w:t>
      </w:r>
    </w:p>
    <w:p>
      <w:r>
        <w:br w:type="page"/>
      </w:r>
    </w:p>
    <w:p>
      <w:pPr>
        <w:pStyle w:val="Heading1"/>
      </w:pPr>
      <w:r>
        <w:t>9. Technical and Hugo implementation</w:t>
      </w:r>
    </w:p>
    <w:p>
      <w:pPr>
        <w:pStyle w:val="Heading2"/>
      </w:pPr>
      <w:r>
        <w:t>9.1 Configuration fixes</w:t>
      </w:r>
    </w:p>
    <w:p>
      <w:pPr>
        <w:pStyle w:val="ListBullet"/>
      </w:pPr>
      <w:r>
        <w:t>config/_default/params.toml: add github_repo = 'https://github.com/s-mcintosh/officeconnectpro' (or correct repo) and github_branch = 'main'. This activates 'Edit this page'.</w:t>
      </w:r>
    </w:p>
    <w:p>
      <w:pPr>
        <w:pStyle w:val="ListBullet"/>
      </w:pPr>
      <w:r>
        <w:t>config/_default/menus.toml: replace the three-entry top-level menu with seven (see §4.3). Add a 'utility' menu for What's New, Resources, Search if Docsy supports it; otherwise render the utility nav in a partial override.</w:t>
      </w:r>
    </w:p>
    <w:p>
      <w:pPr>
        <w:pStyle w:val="ListBullet"/>
      </w:pPr>
      <w:r>
        <w:t>config/_default/config.toml: add taxonomies for audience, contentType, and (optionally) skillLevel. Tags already exist.</w:t>
      </w:r>
    </w:p>
    <w:p>
      <w:pPr>
        <w:pStyle w:val="ListBullet"/>
      </w:pPr>
      <w:r>
        <w:t>Add Hugo aliases on relocated articles so existing inbound links continue to work (front-matter aliases: ['/build-reports/officeconnect-on-mac/']).</w:t>
      </w:r>
    </w:p>
    <w:p>
      <w:pPr>
        <w:pStyle w:val="Heading2"/>
      </w:pPr>
      <w:r>
        <w:t>9.2 New shortcodes to author</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3456"/>
            <w:shd w:val="clear" w:color="auto" w:fill="18181B"/>
            <w:vAlign w:val="center"/>
          </w:tcPr>
          <w:p>
            <w:r/>
            <w:r>
              <w:rPr>
                <w:b/>
                <w:color w:val="FFFFFF"/>
                <w:sz w:val="20"/>
              </w:rPr>
              <w:t>Shortcode</w:t>
            </w:r>
          </w:p>
        </w:tc>
        <w:tc>
          <w:tcPr>
            <w:tcW w:type="dxa" w:w="2448"/>
            <w:shd w:val="clear" w:color="auto" w:fill="18181B"/>
            <w:vAlign w:val="center"/>
          </w:tcPr>
          <w:p>
            <w:r/>
            <w:r>
              <w:rPr>
                <w:b/>
                <w:color w:val="FFFFFF"/>
                <w:sz w:val="20"/>
              </w:rPr>
              <w:t>Parameters</w:t>
            </w:r>
          </w:p>
        </w:tc>
        <w:tc>
          <w:tcPr>
            <w:tcW w:type="dxa" w:w="3456"/>
            <w:shd w:val="clear" w:color="auto" w:fill="18181B"/>
            <w:vAlign w:val="center"/>
          </w:tcPr>
          <w:p>
            <w:r/>
            <w:r>
              <w:rPr>
                <w:b/>
                <w:color w:val="FFFFFF"/>
                <w:sz w:val="20"/>
              </w:rPr>
              <w:t>Output behavior</w:t>
            </w:r>
          </w:p>
        </w:tc>
      </w:tr>
      <w:tr>
        <w:tc>
          <w:tcPr>
            <w:tcW w:type="dxa" w:w="3456"/>
            <w:vAlign w:val="top"/>
          </w:tcPr>
          <w:p>
            <w:r/>
            <w:r>
              <w:rPr>
                <w:sz w:val="20"/>
              </w:rPr>
              <w:t>{{&lt; tip &gt;}}…{{&lt; /tip &gt;}}</w:t>
            </w:r>
          </w:p>
        </w:tc>
        <w:tc>
          <w:tcPr>
            <w:tcW w:type="dxa" w:w="2448"/>
            <w:vAlign w:val="top"/>
          </w:tcPr>
          <w:p>
            <w:r/>
            <w:r>
              <w:rPr>
                <w:sz w:val="20"/>
              </w:rPr>
              <w:t>(none)</w:t>
            </w:r>
          </w:p>
        </w:tc>
        <w:tc>
          <w:tcPr>
            <w:tcW w:type="dxa" w:w="3456"/>
            <w:vAlign w:val="top"/>
          </w:tcPr>
          <w:p>
            <w:r/>
            <w:r>
              <w:rPr>
                <w:sz w:val="20"/>
              </w:rPr>
              <w:t>Blue callout panel</w:t>
            </w:r>
          </w:p>
        </w:tc>
      </w:tr>
      <w:tr>
        <w:tc>
          <w:tcPr>
            <w:tcW w:type="dxa" w:w="3456"/>
            <w:vAlign w:val="top"/>
          </w:tcPr>
          <w:p>
            <w:r/>
            <w:r>
              <w:rPr>
                <w:sz w:val="20"/>
              </w:rPr>
              <w:t>{{&lt; warning &gt;}}…{{&lt; /warning &gt;}}</w:t>
            </w:r>
          </w:p>
        </w:tc>
        <w:tc>
          <w:tcPr>
            <w:tcW w:type="dxa" w:w="2448"/>
            <w:vAlign w:val="top"/>
          </w:tcPr>
          <w:p>
            <w:r/>
            <w:r>
              <w:rPr>
                <w:sz w:val="20"/>
              </w:rPr>
              <w:t>(none)</w:t>
            </w:r>
          </w:p>
        </w:tc>
        <w:tc>
          <w:tcPr>
            <w:tcW w:type="dxa" w:w="3456"/>
            <w:vAlign w:val="top"/>
          </w:tcPr>
          <w:p>
            <w:r/>
            <w:r>
              <w:rPr>
                <w:sz w:val="20"/>
              </w:rPr>
              <w:t>Red callout panel</w:t>
            </w:r>
          </w:p>
        </w:tc>
      </w:tr>
      <w:tr>
        <w:tc>
          <w:tcPr>
            <w:tcW w:type="dxa" w:w="3456"/>
            <w:vAlign w:val="top"/>
          </w:tcPr>
          <w:p>
            <w:r/>
            <w:r>
              <w:rPr>
                <w:sz w:val="20"/>
              </w:rPr>
              <w:t>{{&lt; new-in-release version="2026R1" &gt;}}</w:t>
            </w:r>
          </w:p>
        </w:tc>
        <w:tc>
          <w:tcPr>
            <w:tcW w:type="dxa" w:w="2448"/>
            <w:vAlign w:val="top"/>
          </w:tcPr>
          <w:p>
            <w:r/>
            <w:r>
              <w:rPr>
                <w:sz w:val="20"/>
              </w:rPr>
              <w:t>version</w:t>
            </w:r>
          </w:p>
        </w:tc>
        <w:tc>
          <w:tcPr>
            <w:tcW w:type="dxa" w:w="3456"/>
            <w:vAlign w:val="top"/>
          </w:tcPr>
          <w:p>
            <w:r/>
            <w:r>
              <w:rPr>
                <w:sz w:val="20"/>
              </w:rPr>
              <w:t>Green badge + small panel; also written to a build-time index for the Version Compatibility Matrix</w:t>
            </w:r>
          </w:p>
        </w:tc>
      </w:tr>
      <w:tr>
        <w:tc>
          <w:tcPr>
            <w:tcW w:type="dxa" w:w="3456"/>
            <w:vAlign w:val="top"/>
          </w:tcPr>
          <w:p>
            <w:r/>
            <w:r>
              <w:rPr>
                <w:sz w:val="20"/>
              </w:rPr>
              <w:t>{{&lt; deprecated since="2025R1" &gt;}}</w:t>
            </w:r>
          </w:p>
        </w:tc>
        <w:tc>
          <w:tcPr>
            <w:tcW w:type="dxa" w:w="2448"/>
            <w:vAlign w:val="top"/>
          </w:tcPr>
          <w:p>
            <w:r/>
            <w:r>
              <w:rPr>
                <w:sz w:val="20"/>
              </w:rPr>
              <w:t>since</w:t>
            </w:r>
          </w:p>
        </w:tc>
        <w:tc>
          <w:tcPr>
            <w:tcW w:type="dxa" w:w="3456"/>
            <w:vAlign w:val="top"/>
          </w:tcPr>
          <w:p>
            <w:r/>
            <w:r>
              <w:rPr>
                <w:sz w:val="20"/>
              </w:rPr>
              <w:t>Gray faded callout</w:t>
            </w:r>
          </w:p>
        </w:tc>
      </w:tr>
      <w:tr>
        <w:tc>
          <w:tcPr>
            <w:tcW w:type="dxa" w:w="3456"/>
            <w:vAlign w:val="top"/>
          </w:tcPr>
          <w:p>
            <w:r/>
            <w:r>
              <w:rPr>
                <w:sz w:val="20"/>
              </w:rPr>
              <w:t>{{&lt; audience-badge type="fp-and-a" &gt;}}</w:t>
            </w:r>
          </w:p>
        </w:tc>
        <w:tc>
          <w:tcPr>
            <w:tcW w:type="dxa" w:w="2448"/>
            <w:vAlign w:val="top"/>
          </w:tcPr>
          <w:p>
            <w:r/>
            <w:r>
              <w:rPr>
                <w:sz w:val="20"/>
              </w:rPr>
              <w:t>type</w:t>
            </w:r>
          </w:p>
        </w:tc>
        <w:tc>
          <w:tcPr>
            <w:tcW w:type="dxa" w:w="3456"/>
            <w:vAlign w:val="top"/>
          </w:tcPr>
          <w:p>
            <w:r/>
            <w:r>
              <w:rPr>
                <w:sz w:val="20"/>
              </w:rPr>
              <w:t>Renders the colored pill at top of article</w:t>
            </w:r>
          </w:p>
        </w:tc>
      </w:tr>
      <w:tr>
        <w:tc>
          <w:tcPr>
            <w:tcW w:type="dxa" w:w="3456"/>
            <w:vAlign w:val="top"/>
          </w:tcPr>
          <w:p>
            <w:r/>
            <w:r>
              <w:rPr>
                <w:sz w:val="20"/>
              </w:rPr>
              <w:t>{{&lt; related slugs="a,b,c" &gt;}}</w:t>
            </w:r>
          </w:p>
        </w:tc>
        <w:tc>
          <w:tcPr>
            <w:tcW w:type="dxa" w:w="2448"/>
            <w:vAlign w:val="top"/>
          </w:tcPr>
          <w:p>
            <w:r/>
            <w:r>
              <w:rPr>
                <w:sz w:val="20"/>
              </w:rPr>
              <w:t>slugs (optional; otherwise tag-overlap)</w:t>
            </w:r>
          </w:p>
        </w:tc>
        <w:tc>
          <w:tcPr>
            <w:tcW w:type="dxa" w:w="3456"/>
            <w:vAlign w:val="top"/>
          </w:tcPr>
          <w:p>
            <w:r/>
            <w:r>
              <w:rPr>
                <w:sz w:val="20"/>
              </w:rPr>
              <w:t>Three-card module at article bottom</w:t>
            </w:r>
          </w:p>
        </w:tc>
      </w:tr>
      <w:tr>
        <w:tc>
          <w:tcPr>
            <w:tcW w:type="dxa" w:w="3456"/>
            <w:vAlign w:val="top"/>
          </w:tcPr>
          <w:p>
            <w:r/>
            <w:r>
              <w:rPr>
                <w:sz w:val="20"/>
              </w:rPr>
              <w:t>{{&lt; glossary term="Element" &gt;}}</w:t>
            </w:r>
          </w:p>
        </w:tc>
        <w:tc>
          <w:tcPr>
            <w:tcW w:type="dxa" w:w="2448"/>
            <w:vAlign w:val="top"/>
          </w:tcPr>
          <w:p>
            <w:r/>
            <w:r>
              <w:rPr>
                <w:sz w:val="20"/>
              </w:rPr>
              <w:t>term</w:t>
            </w:r>
          </w:p>
        </w:tc>
        <w:tc>
          <w:tcPr>
            <w:tcW w:type="dxa" w:w="3456"/>
            <w:vAlign w:val="top"/>
          </w:tcPr>
          <w:p>
            <w:r/>
            <w:r>
              <w:rPr>
                <w:sz w:val="20"/>
              </w:rPr>
              <w:t>Inline tooltip that pulls definition from /reference/glossary/ at build time</w:t>
            </w:r>
          </w:p>
        </w:tc>
      </w:tr>
      <w:tr>
        <w:tc>
          <w:tcPr>
            <w:tcW w:type="dxa" w:w="3456"/>
            <w:vAlign w:val="top"/>
          </w:tcPr>
          <w:p>
            <w:r/>
            <w:r>
              <w:rPr>
                <w:sz w:val="20"/>
              </w:rPr>
              <w:t>{{&lt; video id="…" platform="youtube" &gt;}}</w:t>
            </w:r>
          </w:p>
        </w:tc>
        <w:tc>
          <w:tcPr>
            <w:tcW w:type="dxa" w:w="2448"/>
            <w:vAlign w:val="top"/>
          </w:tcPr>
          <w:p>
            <w:r/>
            <w:r>
              <w:rPr>
                <w:sz w:val="20"/>
              </w:rPr>
              <w:t>id, platform</w:t>
            </w:r>
          </w:p>
        </w:tc>
        <w:tc>
          <w:tcPr>
            <w:tcW w:type="dxa" w:w="3456"/>
            <w:vAlign w:val="top"/>
          </w:tcPr>
          <w:p>
            <w:r/>
            <w:r>
              <w:rPr>
                <w:sz w:val="20"/>
              </w:rPr>
              <w:t>Replaces today's commented-out YouTube placeholder; supports YouTube/Loom/Vimeo</w:t>
            </w:r>
          </w:p>
        </w:tc>
      </w:tr>
    </w:tbl>
    <w:p>
      <w:pPr>
        <w:pStyle w:val="Heading2"/>
      </w:pPr>
      <w:r>
        <w:t>9.3 New layouts and partials</w:t>
      </w:r>
    </w:p>
    <w:p>
      <w:pPr>
        <w:pStyle w:val="ListBullet"/>
      </w:pPr>
      <w:r>
        <w:t>layouts/_default/baseof.html: extend Docsy's; add audience-badge and version-badge partials in the header</w:t>
      </w:r>
    </w:p>
    <w:p>
      <w:pPr>
        <w:pStyle w:val="ListBullet"/>
      </w:pPr>
      <w:r>
        <w:t>layouts/partials/audience-badge.html: render colored pill from page.Params.audience</w:t>
      </w:r>
    </w:p>
    <w:p>
      <w:pPr>
        <w:pStyle w:val="ListBullet"/>
      </w:pPr>
      <w:r>
        <w:t>layouts/partials/version-badge.html: render from page.Params.minVersion + lastVerified</w:t>
      </w:r>
    </w:p>
    <w:p>
      <w:pPr>
        <w:pStyle w:val="ListBullet"/>
      </w:pPr>
      <w:r>
        <w:t>layouts/partials/related-articles.html: tag-overlap + manual override</w:t>
      </w:r>
    </w:p>
    <w:p>
      <w:pPr>
        <w:pStyle w:val="ListBullet"/>
      </w:pPr>
      <w:r>
        <w:t>layouts/_default/section-landing.html: custom hero per top-level section (audience CTAs, featured articles, sub-section cards)</w:t>
      </w:r>
    </w:p>
    <w:p>
      <w:pPr>
        <w:pStyle w:val="ListBullet"/>
      </w:pPr>
      <w:r>
        <w:t>layouts/release-notes/list.html: dedicated layout for What's New, reverse-chronological with version filter</w:t>
      </w:r>
    </w:p>
    <w:p>
      <w:pPr>
        <w:pStyle w:val="ListBullet"/>
      </w:pPr>
      <w:r>
        <w:t>layouts/reference/list.html: dedicated layout for Reference with alphabetical grouping</w:t>
      </w:r>
    </w:p>
    <w:p>
      <w:pPr>
        <w:pStyle w:val="Heading2"/>
      </w:pPr>
      <w:r>
        <w:t>9.4 Build a screenshot pipeline</w:t>
      </w:r>
    </w:p>
    <w:p>
      <w:pPr>
        <w:pStyle w:val="ListBullet"/>
      </w:pPr>
      <w:r>
        <w:t>scripts/optimize-screenshots.sh: convert .png to .webp at upload time; use cwebp -q 85.</w:t>
      </w:r>
    </w:p>
    <w:p>
      <w:pPr>
        <w:pStyle w:val="ListBullet"/>
      </w:pPr>
      <w:r>
        <w:t>scripts/check-broken-images.sh: pre-commit hook that fails the build if any {{&lt; figure &gt;}} references a missing file.</w:t>
      </w:r>
    </w:p>
    <w:p>
      <w:pPr>
        <w:pStyle w:val="ListBullet"/>
      </w:pPr>
      <w:r>
        <w:t>Long-term: a Hugo asset pipeline using image processing (resources.GetMatch / image.Resize) for responsive srcset, with .webp as the primary and .png as fallback.</w:t>
      </w:r>
    </w:p>
    <w:p>
      <w:pPr>
        <w:pStyle w:val="Heading2"/>
      </w:pPr>
      <w:r>
        <w:t>9.5 Analytics, feedback, and signal capture</w:t>
      </w:r>
    </w:p>
    <w:p>
      <w:pPr>
        <w:pStyle w:val="ListBullet"/>
      </w:pPr>
      <w:r>
        <w:t>Add 'Was this helpful?' microsurvey (yes/kind-of/no) per article. Pipe to a lightweight collector (e.g., Plausible custom events or a single Cloudflare Worker). Output drives the maintenance queue.</w:t>
      </w:r>
    </w:p>
    <w:p>
      <w:pPr>
        <w:pStyle w:val="ListBullet"/>
      </w:pPr>
      <w:r>
        <w:t>Track in-site search queries (Lunr supports event emission). The top-10 zero-result queries each month become the next month's article candidates.</w:t>
      </w:r>
    </w:p>
    <w:p>
      <w:pPr>
        <w:pStyle w:val="ListBullet"/>
      </w:pPr>
      <w:r>
        <w:t>Add Plausible or Fathom for privacy-respecting analytics. Avoid GA4 unless you need it — both alternatives are simpler and don't require a cookie banner.</w:t>
      </w:r>
    </w:p>
    <w:p>
      <w:pPr>
        <w:pStyle w:val="Heading2"/>
      </w:pPr>
      <w:r>
        <w:t>9.6 Out of scope for the spec, but worth raising</w:t>
      </w:r>
    </w:p>
    <w:p>
      <w:pPr>
        <w:pStyle w:val="ListBullet"/>
      </w:pPr>
      <w:r>
        <w:t>Comments: the founding spec said no, but a moderation-light static commenting solution (Giscus on GitHub Discussions) costs almost nothing and would seed the very community presence currently absent.</w:t>
      </w:r>
    </w:p>
    <w:p>
      <w:pPr>
        <w:pStyle w:val="ListBullet"/>
      </w:pPr>
      <w:r>
        <w:t>Internationalization: out of scope, but if Workday's global customer base ever responds, en-AU and en-GB are the cheap wins.</w:t>
      </w:r>
    </w:p>
    <w:p>
      <w:pPr>
        <w:pStyle w:val="ListBullet"/>
      </w:pPr>
      <w:r>
        <w:t>PDF export: out of scope, but a one-click 'download as PDF' on Reference articles would be valuable.</w:t>
      </w:r>
    </w:p>
    <w:p>
      <w:r>
        <w:br w:type="page"/>
      </w:r>
    </w:p>
    <w:p>
      <w:pPr>
        <w:pStyle w:val="Heading1"/>
      </w:pPr>
      <w:r>
        <w:t>10. 90-day prioritized roadmap</w:t>
      </w:r>
    </w:p>
    <w:p>
      <w:r>
        <w:rPr>
          <w:b w:val="0"/>
          <w:i w:val="0"/>
        </w:rPr>
        <w:t>Four-week sprints. Each sprint includes a mix of foundation work, new content, and existing-content improvement. Volume estimates assume one person working part-time.</w:t>
      </w:r>
    </w:p>
    <w:p>
      <w:pPr>
        <w:pStyle w:val="Heading2"/>
      </w:pPr>
      <w:r>
        <w:t>Sprint 1 (Weeks 1-2): Foundation</w:t>
      </w:r>
    </w:p>
    <w:p>
      <w:pPr>
        <w:pStyle w:val="ListBullet"/>
      </w:pPr>
      <w:r>
        <w:t>Set github_repo and github_branch in params.toml; verify 'Edit this page' link goes live.</w:t>
      </w:r>
    </w:p>
    <w:p>
      <w:pPr>
        <w:pStyle w:val="ListBullet"/>
      </w:pPr>
      <w:r>
        <w:t>Rebuild menus.toml to seven top-level entries; create the new section landing _index.md files.</w:t>
      </w:r>
    </w:p>
    <w:p>
      <w:pPr>
        <w:pStyle w:val="ListBullet"/>
      </w:pPr>
      <w:r>
        <w:t>Build the new shortcode library: {{&lt; tip &gt;}}, {{&lt; warning &gt;}}, {{&lt; new-in-release &gt;}}, {{&lt; deprecated &gt;}}, {{&lt; audience-badge &gt;}}, {{&lt; related &gt;}}, {{&lt; video &gt;}}.</w:t>
      </w:r>
    </w:p>
    <w:p>
      <w:pPr>
        <w:pStyle w:val="ListBullet"/>
      </w:pPr>
      <w:r>
        <w:t>Stand up the new taxonomies (audience, contentType, skillLevel) in config.toml.</w:t>
      </w:r>
    </w:p>
    <w:p>
      <w:pPr>
        <w:pStyle w:val="ListBullet"/>
      </w:pPr>
      <w:r>
        <w:t>Stand up the demo tenant for screenshot capture.</w:t>
      </w:r>
    </w:p>
    <w:p>
      <w:pPr>
        <w:pStyle w:val="Heading2"/>
      </w:pPr>
      <w:r>
        <w:t>Sprint 2 (Weeks 3-4): Reorganize and Phase 1 sprint kickoff</w:t>
      </w:r>
    </w:p>
    <w:p>
      <w:pPr>
        <w:pStyle w:val="ListBullet"/>
      </w:pPr>
      <w:r>
        <w:t>Relocate articles per §7.4 with Hugo aliases.</w:t>
      </w:r>
    </w:p>
    <w:p>
      <w:pPr>
        <w:pStyle w:val="ListBullet"/>
      </w:pPr>
      <w:r>
        <w:t>Run the retroactive tagging sweep — every existing article gets at least topic+audience+contentType tags.</w:t>
      </w:r>
    </w:p>
    <w:p>
      <w:pPr>
        <w:pStyle w:val="ListBullet"/>
      </w:pPr>
      <w:r>
        <w:t>Capture the first 30 screenshots (Reporting pane + ribbon + Get Started flow + Connect flow).</w:t>
      </w:r>
    </w:p>
    <w:p>
      <w:pPr>
        <w:pStyle w:val="ListBullet"/>
      </w:pPr>
      <w:r>
        <w:t>Ship the first 9 Phase 1 articles (the highest-priority half — onboarding checklist, decision framework, 2026R1 what's new, View By, Personal scenarios, glossary, formula reference, element types reference, write-back guide).</w:t>
      </w:r>
    </w:p>
    <w:p>
      <w:pPr>
        <w:pStyle w:val="Heading2"/>
      </w:pPr>
      <w:r>
        <w:t>Sprint 3 (Weeks 5-6): Phase 1 completion + cross-linking pass</w:t>
      </w:r>
    </w:p>
    <w:p>
      <w:pPr>
        <w:pStyle w:val="ListBullet"/>
      </w:pPr>
      <w:r>
        <w:t>Ship the remaining 9 Phase 1 articles (troubleshoot deep dives, Mac VDI workflow, Intune/SCCM install, Okta and Entra SSO, version compatibility matrix).</w:t>
      </w:r>
    </w:p>
    <w:p>
      <w:pPr>
        <w:pStyle w:val="ListBullet"/>
      </w:pPr>
      <w:r>
        <w:t>Run the cross-link backfill on the 19 articles with zero internal links.</w:t>
      </w:r>
    </w:p>
    <w:p>
      <w:pPr>
        <w:pStyle w:val="ListBullet"/>
      </w:pPr>
      <w:r>
        <w:t>Capture another 30 screenshots (Build Reports tutorials + Troubleshoot symptom dialogs).</w:t>
      </w:r>
    </w:p>
    <w:p>
      <w:pPr>
        <w:pStyle w:val="ListBullet"/>
      </w:pPr>
      <w:r>
        <w:t>Launch the homepage redesign (dual-path hero, What's New strip, featured tutorials).</w:t>
      </w:r>
    </w:p>
    <w:p>
      <w:pPr>
        <w:pStyle w:val="Heading2"/>
      </w:pPr>
      <w:r>
        <w:t>Sprint 4 (Weeks 7-8): Existing-article quality pass</w:t>
      </w:r>
    </w:p>
    <w:p>
      <w:pPr>
        <w:pStyle w:val="ListBullet"/>
      </w:pPr>
      <w:r>
        <w:t>Expand the 12 thin articles per §7.1.</w:t>
      </w:r>
    </w:p>
    <w:p>
      <w:pPr>
        <w:pStyle w:val="ListBullet"/>
      </w:pPr>
      <w:r>
        <w:t>Apply the standardized closing-sections sweep (Result, Next steps, What you'll need).</w:t>
      </w:r>
    </w:p>
    <w:p>
      <w:pPr>
        <w:pStyle w:val="ListBullet"/>
      </w:pPr>
      <w:r>
        <w:t>Add the video placeholder block to every tutorial.</w:t>
      </w:r>
    </w:p>
    <w:p>
      <w:pPr>
        <w:pStyle w:val="ListBullet"/>
      </w:pPr>
      <w:r>
        <w:t>Ship the Version Compatibility Matrix page.</w:t>
      </w:r>
    </w:p>
    <w:p>
      <w:pPr>
        <w:pStyle w:val="ListBullet"/>
      </w:pPr>
      <w:r>
        <w:t>Begin the first three Phase 2 recipes (KPI dashboard, board pack, opex waterfall).</w:t>
      </w:r>
    </w:p>
    <w:p>
      <w:pPr>
        <w:pStyle w:val="Heading2"/>
      </w:pPr>
      <w:r>
        <w:t>Sprint 5 (Weeks 9-10): Authority series begin</w:t>
      </w:r>
    </w:p>
    <w:p>
      <w:pPr>
        <w:pStyle w:val="ListBullet"/>
      </w:pPr>
      <w:r>
        <w:t>Ship 8 Phase 2 articles — Build Reports recipes + Word/PowerPoint board books.</w:t>
      </w:r>
    </w:p>
    <w:p>
      <w:pPr>
        <w:pStyle w:val="ListBullet"/>
      </w:pPr>
      <w:r>
        <w:t>Launch the Performance section landing with the existing optimize-performance article relocated and three Phase 3 performance articles drafted.</w:t>
      </w:r>
    </w:p>
    <w:p>
      <w:pPr>
        <w:pStyle w:val="ListBullet"/>
      </w:pPr>
      <w:r>
        <w:t>Pilot three videos (board pack walk-through, write-back walk-through, troubleshooting Refresh failure).</w:t>
      </w:r>
    </w:p>
    <w:p>
      <w:pPr>
        <w:pStyle w:val="Heading2"/>
      </w:pPr>
      <w:r>
        <w:t>Sprint 6 (Weeks 11-12): Authority series continued and Migration launch</w:t>
      </w:r>
    </w:p>
    <w:p>
      <w:pPr>
        <w:pStyle w:val="ListBullet"/>
      </w:pPr>
      <w:r>
        <w:t>Ship 8 more Phase 2 articles — Data Entry &amp; Write-Back depth + Admin Configure/Upgrade.</w:t>
      </w:r>
    </w:p>
    <w:p>
      <w:pPr>
        <w:pStyle w:val="ListBullet"/>
      </w:pPr>
      <w:r>
        <w:t>Launch the Migration &amp; Comparison section with the relocated financials-vs-adaptive-planning article and the first two migration guides (SmartView, OneStream).</w:t>
      </w:r>
    </w:p>
    <w:p>
      <w:pPr>
        <w:pStyle w:val="ListBullet"/>
      </w:pPr>
      <w:r>
        <w:t>Retire or merge any obsolete articles uncovered during the relocation sweep.</w:t>
      </w:r>
    </w:p>
    <w:p>
      <w:pPr>
        <w:pStyle w:val="ListBullet"/>
      </w:pPr>
      <w:r>
        <w:t>90-day retrospective: review search analytics, microsurvey results, and Workday's June 2026 community discussion threads for the next month's article candidates.</w:t>
      </w:r>
    </w:p>
    <w:p>
      <w:r>
        <w:br w:type="page"/>
      </w:r>
    </w:p>
    <w:p>
      <w:pPr>
        <w:pStyle w:val="Heading1"/>
      </w:pPr>
      <w:r>
        <w:t>11. Maintenance cadence (post-launch)</w:t>
      </w:r>
    </w:p>
    <w:p>
      <w:r>
        <w:rPr>
          <w:b w:val="0"/>
          <w:i w:val="0"/>
        </w:rPr>
        <w:t>Authority sites are maintained, not finished. Build the muscle now.</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4680"/>
        <w:gridCol w:w="4680"/>
      </w:tblGrid>
      <w:tr>
        <w:tc>
          <w:tcPr>
            <w:tcW w:type="dxa" w:w="2880"/>
            <w:shd w:val="clear" w:color="auto" w:fill="18181B"/>
            <w:vAlign w:val="center"/>
          </w:tcPr>
          <w:p>
            <w:r/>
            <w:r>
              <w:rPr>
                <w:b/>
                <w:color w:val="FFFFFF"/>
                <w:sz w:val="20"/>
              </w:rPr>
              <w:t>Cadence</w:t>
            </w:r>
          </w:p>
        </w:tc>
        <w:tc>
          <w:tcPr>
            <w:tcW w:type="dxa" w:w="6480"/>
            <w:shd w:val="clear" w:color="auto" w:fill="18181B"/>
            <w:vAlign w:val="center"/>
          </w:tcPr>
          <w:p>
            <w:r/>
            <w:r>
              <w:rPr>
                <w:b/>
                <w:color w:val="FFFFFF"/>
                <w:sz w:val="20"/>
              </w:rPr>
              <w:t>What to do</w:t>
            </w:r>
          </w:p>
        </w:tc>
      </w:tr>
      <w:tr>
        <w:tc>
          <w:tcPr>
            <w:tcW w:type="dxa" w:w="2880"/>
            <w:vAlign w:val="top"/>
          </w:tcPr>
          <w:p>
            <w:r/>
            <w:r>
              <w:rPr>
                <w:sz w:val="20"/>
              </w:rPr>
              <w:t>Per Workday release (every ~6 months)</w:t>
            </w:r>
          </w:p>
        </w:tc>
        <w:tc>
          <w:tcPr>
            <w:tcW w:type="dxa" w:w="6480"/>
            <w:vAlign w:val="top"/>
          </w:tcPr>
          <w:p>
            <w:r/>
            <w:r>
              <w:rPr>
                <w:sz w:val="20"/>
              </w:rPr>
              <w:t>Ship 'What's new in [Release]' within 14 days. Update minVersion on affected articles. Add release-notes article to /whats-new/.</w:t>
            </w:r>
          </w:p>
        </w:tc>
      </w:tr>
      <w:tr>
        <w:tc>
          <w:tcPr>
            <w:tcW w:type="dxa" w:w="2880"/>
            <w:vAlign w:val="top"/>
          </w:tcPr>
          <w:p>
            <w:r/>
            <w:r>
              <w:rPr>
                <w:sz w:val="20"/>
              </w:rPr>
              <w:t>Quarterly</w:t>
            </w:r>
          </w:p>
        </w:tc>
        <w:tc>
          <w:tcPr>
            <w:tcW w:type="dxa" w:w="6480"/>
            <w:vAlign w:val="top"/>
          </w:tcPr>
          <w:p>
            <w:r/>
            <w:r>
              <w:rPr>
                <w:sz w:val="20"/>
              </w:rPr>
              <w:t>Re-screenshot the 5 highest-traffic articles. Republish the 5 oldest articles with refreshed information. Rotate the homepage featured-tutorials row.</w:t>
            </w:r>
          </w:p>
        </w:tc>
      </w:tr>
      <w:tr>
        <w:tc>
          <w:tcPr>
            <w:tcW w:type="dxa" w:w="2880"/>
            <w:vAlign w:val="top"/>
          </w:tcPr>
          <w:p>
            <w:r/>
            <w:r>
              <w:rPr>
                <w:sz w:val="20"/>
              </w:rPr>
              <w:t>Monthly</w:t>
            </w:r>
          </w:p>
        </w:tc>
        <w:tc>
          <w:tcPr>
            <w:tcW w:type="dxa" w:w="6480"/>
            <w:vAlign w:val="top"/>
          </w:tcPr>
          <w:p>
            <w:r/>
            <w:r>
              <w:rPr>
                <w:sz w:val="20"/>
              </w:rPr>
              <w:t>Ship 6-8 new articles. Retire or merge 0-2 stale articles. Review zero-result Lunr queries — the top 5 become next month's article candidates.</w:t>
            </w:r>
          </w:p>
        </w:tc>
      </w:tr>
      <w:tr>
        <w:tc>
          <w:tcPr>
            <w:tcW w:type="dxa" w:w="2880"/>
            <w:vAlign w:val="top"/>
          </w:tcPr>
          <w:p>
            <w:r/>
            <w:r>
              <w:rPr>
                <w:sz w:val="20"/>
              </w:rPr>
              <w:t>Weekly</w:t>
            </w:r>
          </w:p>
        </w:tc>
        <w:tc>
          <w:tcPr>
            <w:tcW w:type="dxa" w:w="6480"/>
            <w:vAlign w:val="top"/>
          </w:tcPr>
          <w:p>
            <w:r/>
            <w:r>
              <w:rPr>
                <w:sz w:val="20"/>
              </w:rPr>
              <w:t>Review GitHub issues and 'Was this helpful?' negative responses. Triage into a content backlog. Reply to community comments if Giscus is enabled.</w:t>
            </w:r>
          </w:p>
        </w:tc>
      </w:tr>
      <w:tr>
        <w:tc>
          <w:tcPr>
            <w:tcW w:type="dxa" w:w="2880"/>
            <w:vAlign w:val="top"/>
          </w:tcPr>
          <w:p>
            <w:r/>
            <w:r>
              <w:rPr>
                <w:sz w:val="20"/>
              </w:rPr>
              <w:t>Continuous</w:t>
            </w:r>
          </w:p>
        </w:tc>
        <w:tc>
          <w:tcPr>
            <w:tcW w:type="dxa" w:w="6480"/>
            <w:vAlign w:val="top"/>
          </w:tcPr>
          <w:p>
            <w:r/>
            <w:r>
              <w:rPr>
                <w:sz w:val="20"/>
              </w:rPr>
              <w:t>When users surface an error or pain point in any channel (email, GitHub, social), check whether a canonical article exists. If not, file it as the next quick win.</w:t>
            </w:r>
          </w:p>
        </w:tc>
      </w:tr>
    </w:tbl>
    <w:p>
      <w:r>
        <w:br w:type="page"/>
      </w:r>
    </w:p>
    <w:p>
      <w:pPr>
        <w:pStyle w:val="Heading1"/>
      </w:pPr>
      <w:r>
        <w:t>Appendix A — Full new-article catalog with slugs</w:t>
      </w:r>
    </w:p>
    <w:p>
      <w:r>
        <w:rPr>
          <w:b w:val="0"/>
          <w:i/>
          <w:color w:val="71717A"/>
          <w:sz w:val="20"/>
        </w:rPr>
        <w:t>Articles are grouped by destination section under the new IA. Slugs follow Hugo convention (kebab-case, no leading slash). Phase column maps to §6 staging.</w:t>
      </w:r>
    </w:p>
    <w:p>
      <w:pPr>
        <w:pStyle w:val="Heading2"/>
      </w:pPr>
      <w:r>
        <w:t>Get Started</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Your first 30 minutes with OfficeConnect</w:t>
            </w:r>
          </w:p>
        </w:tc>
        <w:tc>
          <w:tcPr>
            <w:tcW w:type="dxa" w:w="3456"/>
            <w:vAlign w:val="top"/>
          </w:tcPr>
          <w:p>
            <w:r/>
            <w:r>
              <w:rPr>
                <w:sz w:val="20"/>
              </w:rPr>
              <w:t>get-started/first-30-minutes</w:t>
            </w:r>
          </w:p>
        </w:tc>
        <w:tc>
          <w:tcPr>
            <w:tcW w:type="dxa" w:w="1008"/>
            <w:vAlign w:val="top"/>
          </w:tcPr>
          <w:p>
            <w:r/>
            <w:r>
              <w:rPr>
                <w:sz w:val="20"/>
              </w:rPr>
              <w:t>1</w:t>
            </w:r>
          </w:p>
        </w:tc>
      </w:tr>
      <w:tr>
        <w:tc>
          <w:tcPr>
            <w:tcW w:type="dxa" w:w="4896"/>
            <w:vAlign w:val="top"/>
          </w:tcPr>
          <w:p>
            <w:r/>
            <w:r>
              <w:rPr>
                <w:sz w:val="20"/>
              </w:rPr>
              <w:t>Quick start: build a report in 5 minutes</w:t>
            </w:r>
          </w:p>
        </w:tc>
        <w:tc>
          <w:tcPr>
            <w:tcW w:type="dxa" w:w="3456"/>
            <w:vAlign w:val="top"/>
          </w:tcPr>
          <w:p>
            <w:r/>
            <w:r>
              <w:rPr>
                <w:sz w:val="20"/>
              </w:rPr>
              <w:t>get-started/quick-start-5-min</w:t>
            </w:r>
          </w:p>
        </w:tc>
        <w:tc>
          <w:tcPr>
            <w:tcW w:type="dxa" w:w="1008"/>
            <w:vAlign w:val="top"/>
          </w:tcPr>
          <w:p>
            <w:r/>
            <w:r>
              <w:rPr>
                <w:sz w:val="20"/>
              </w:rPr>
              <w:t>2</w:t>
            </w:r>
          </w:p>
        </w:tc>
      </w:tr>
      <w:tr>
        <w:tc>
          <w:tcPr>
            <w:tcW w:type="dxa" w:w="4896"/>
            <w:vAlign w:val="top"/>
          </w:tcPr>
          <w:p>
            <w:r/>
            <w:r>
              <w:rPr>
                <w:sz w:val="20"/>
              </w:rPr>
              <w:t>OfficeConnect vs Adaptive web reports (decision framework)</w:t>
            </w:r>
          </w:p>
        </w:tc>
        <w:tc>
          <w:tcPr>
            <w:tcW w:type="dxa" w:w="3456"/>
            <w:vAlign w:val="top"/>
          </w:tcPr>
          <w:p>
            <w:r/>
            <w:r>
              <w:rPr>
                <w:sz w:val="20"/>
              </w:rPr>
              <w:t>get-started/officeconnect-vs-web-reports</w:t>
            </w:r>
          </w:p>
        </w:tc>
        <w:tc>
          <w:tcPr>
            <w:tcW w:type="dxa" w:w="1008"/>
            <w:vAlign w:val="top"/>
          </w:tcPr>
          <w:p>
            <w:r/>
            <w:r>
              <w:rPr>
                <w:sz w:val="20"/>
              </w:rPr>
              <w:t>1</w:t>
            </w:r>
          </w:p>
        </w:tc>
      </w:tr>
      <w:tr>
        <w:tc>
          <w:tcPr>
            <w:tcW w:type="dxa" w:w="4896"/>
            <w:vAlign w:val="top"/>
          </w:tcPr>
          <w:p>
            <w:r/>
            <w:r>
              <w:rPr>
                <w:sz w:val="20"/>
              </w:rPr>
              <w:t>The OfficeConnect glossary (linked from header)</w:t>
            </w:r>
          </w:p>
        </w:tc>
        <w:tc>
          <w:tcPr>
            <w:tcW w:type="dxa" w:w="3456"/>
            <w:vAlign w:val="top"/>
          </w:tcPr>
          <w:p>
            <w:r/>
            <w:r>
              <w:rPr>
                <w:sz w:val="20"/>
              </w:rPr>
              <w:t>reference/glossary (cross-listed)</w:t>
            </w:r>
          </w:p>
        </w:tc>
        <w:tc>
          <w:tcPr>
            <w:tcW w:type="dxa" w:w="1008"/>
            <w:vAlign w:val="top"/>
          </w:tcPr>
          <w:p>
            <w:r/>
            <w:r>
              <w:rPr>
                <w:sz w:val="20"/>
              </w:rPr>
              <w:t>1</w:t>
            </w:r>
          </w:p>
        </w:tc>
      </w:tr>
    </w:tbl>
    <w:p>
      <w:pPr>
        <w:pStyle w:val="Heading2"/>
      </w:pPr>
      <w:r>
        <w:t>Build Reports — core mechanics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Labels: the missing dedicated guide</w:t>
            </w:r>
          </w:p>
        </w:tc>
        <w:tc>
          <w:tcPr>
            <w:tcW w:type="dxa" w:w="3456"/>
            <w:vAlign w:val="top"/>
          </w:tcPr>
          <w:p>
            <w:r/>
            <w:r>
              <w:rPr>
                <w:sz w:val="20"/>
              </w:rPr>
              <w:t>build-reports/labels</w:t>
            </w:r>
          </w:p>
        </w:tc>
        <w:tc>
          <w:tcPr>
            <w:tcW w:type="dxa" w:w="1008"/>
            <w:vAlign w:val="top"/>
          </w:tcPr>
          <w:p>
            <w:r/>
            <w:r>
              <w:rPr>
                <w:sz w:val="20"/>
              </w:rPr>
              <w:t>2</w:t>
            </w:r>
          </w:p>
        </w:tc>
      </w:tr>
      <w:tr>
        <w:tc>
          <w:tcPr>
            <w:tcW w:type="dxa" w:w="4896"/>
            <w:vAlign w:val="top"/>
          </w:tcPr>
          <w:p>
            <w:r/>
            <w:r>
              <w:rPr>
                <w:sz w:val="20"/>
              </w:rPr>
              <w:t>Calculated rows and Excel-side formulas</w:t>
            </w:r>
          </w:p>
        </w:tc>
        <w:tc>
          <w:tcPr>
            <w:tcW w:type="dxa" w:w="3456"/>
            <w:vAlign w:val="top"/>
          </w:tcPr>
          <w:p>
            <w:r/>
            <w:r>
              <w:rPr>
                <w:sz w:val="20"/>
              </w:rPr>
              <w:t>build-reports/calculated-rows-excel-formulas</w:t>
            </w:r>
          </w:p>
        </w:tc>
        <w:tc>
          <w:tcPr>
            <w:tcW w:type="dxa" w:w="1008"/>
            <w:vAlign w:val="top"/>
          </w:tcPr>
          <w:p>
            <w:r/>
            <w:r>
              <w:rPr>
                <w:sz w:val="20"/>
              </w:rPr>
              <w:t>2</w:t>
            </w:r>
          </w:p>
        </w:tc>
      </w:tr>
      <w:tr>
        <w:tc>
          <w:tcPr>
            <w:tcW w:type="dxa" w:w="4896"/>
            <w:vAlign w:val="top"/>
          </w:tcPr>
          <w:p>
            <w:r/>
            <w:r>
              <w:rPr>
                <w:sz w:val="20"/>
              </w:rPr>
              <w:t>Suppression rules (zeros, blanks, empty rows)</w:t>
            </w:r>
          </w:p>
        </w:tc>
        <w:tc>
          <w:tcPr>
            <w:tcW w:type="dxa" w:w="3456"/>
            <w:vAlign w:val="top"/>
          </w:tcPr>
          <w:p>
            <w:r/>
            <w:r>
              <w:rPr>
                <w:sz w:val="20"/>
              </w:rPr>
              <w:t>build-reports/suppression-rules</w:t>
            </w:r>
          </w:p>
        </w:tc>
        <w:tc>
          <w:tcPr>
            <w:tcW w:type="dxa" w:w="1008"/>
            <w:vAlign w:val="top"/>
          </w:tcPr>
          <w:p>
            <w:r/>
            <w:r>
              <w:rPr>
                <w:sz w:val="20"/>
              </w:rPr>
              <w:t>2</w:t>
            </w:r>
          </w:p>
        </w:tc>
      </w:tr>
      <w:tr>
        <w:tc>
          <w:tcPr>
            <w:tcW w:type="dxa" w:w="4896"/>
            <w:vAlign w:val="top"/>
          </w:tcPr>
          <w:p>
            <w:r/>
            <w:r>
              <w:rPr>
                <w:sz w:val="20"/>
              </w:rPr>
              <w:t>Find and replace within OfficeConnect reports</w:t>
            </w:r>
          </w:p>
        </w:tc>
        <w:tc>
          <w:tcPr>
            <w:tcW w:type="dxa" w:w="3456"/>
            <w:vAlign w:val="top"/>
          </w:tcPr>
          <w:p>
            <w:r/>
            <w:r>
              <w:rPr>
                <w:sz w:val="20"/>
              </w:rPr>
              <w:t>build-reports/find-replace</w:t>
            </w:r>
          </w:p>
        </w:tc>
        <w:tc>
          <w:tcPr>
            <w:tcW w:type="dxa" w:w="1008"/>
            <w:vAlign w:val="top"/>
          </w:tcPr>
          <w:p>
            <w:r/>
            <w:r>
              <w:rPr>
                <w:sz w:val="20"/>
              </w:rPr>
              <w:t>2</w:t>
            </w:r>
          </w:p>
        </w:tc>
      </w:tr>
      <w:tr>
        <w:tc>
          <w:tcPr>
            <w:tcW w:type="dxa" w:w="4896"/>
            <w:vAlign w:val="top"/>
          </w:tcPr>
          <w:p>
            <w:r/>
            <w:r>
              <w:rPr>
                <w:sz w:val="20"/>
              </w:rPr>
              <w:t>Element groups vs individual elements</w:t>
            </w:r>
          </w:p>
        </w:tc>
        <w:tc>
          <w:tcPr>
            <w:tcW w:type="dxa" w:w="3456"/>
            <w:vAlign w:val="top"/>
          </w:tcPr>
          <w:p>
            <w:r/>
            <w:r>
              <w:rPr>
                <w:sz w:val="20"/>
              </w:rPr>
              <w:t>build-reports/element-groups</w:t>
            </w:r>
          </w:p>
        </w:tc>
        <w:tc>
          <w:tcPr>
            <w:tcW w:type="dxa" w:w="1008"/>
            <w:vAlign w:val="top"/>
          </w:tcPr>
          <w:p>
            <w:r/>
            <w:r>
              <w:rPr>
                <w:sz w:val="20"/>
              </w:rPr>
              <w:t>2</w:t>
            </w:r>
          </w:p>
        </w:tc>
      </w:tr>
    </w:tbl>
    <w:p>
      <w:pPr>
        <w:pStyle w:val="Heading2"/>
      </w:pPr>
      <w:r>
        <w:t>Build Reports — FP&amp;A recipes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KPI dashboard tutorial</w:t>
            </w:r>
          </w:p>
        </w:tc>
        <w:tc>
          <w:tcPr>
            <w:tcW w:type="dxa" w:w="3456"/>
            <w:vAlign w:val="top"/>
          </w:tcPr>
          <w:p>
            <w:r/>
            <w:r>
              <w:rPr>
                <w:sz w:val="20"/>
              </w:rPr>
              <w:t>build-reports/kpi-dashboard</w:t>
            </w:r>
          </w:p>
        </w:tc>
        <w:tc>
          <w:tcPr>
            <w:tcW w:type="dxa" w:w="1008"/>
            <w:vAlign w:val="top"/>
          </w:tcPr>
          <w:p>
            <w:r/>
            <w:r>
              <w:rPr>
                <w:sz w:val="20"/>
              </w:rPr>
              <w:t>2</w:t>
            </w:r>
          </w:p>
        </w:tc>
      </w:tr>
      <w:tr>
        <w:tc>
          <w:tcPr>
            <w:tcW w:type="dxa" w:w="4896"/>
            <w:vAlign w:val="top"/>
          </w:tcPr>
          <w:p>
            <w:r/>
            <w:r>
              <w:rPr>
                <w:sz w:val="20"/>
              </w:rPr>
              <w:t>Quarterly board pack</w:t>
            </w:r>
          </w:p>
        </w:tc>
        <w:tc>
          <w:tcPr>
            <w:tcW w:type="dxa" w:w="3456"/>
            <w:vAlign w:val="top"/>
          </w:tcPr>
          <w:p>
            <w:r/>
            <w:r>
              <w:rPr>
                <w:sz w:val="20"/>
              </w:rPr>
              <w:t>build-reports/quarterly-board-pack</w:t>
            </w:r>
          </w:p>
        </w:tc>
        <w:tc>
          <w:tcPr>
            <w:tcW w:type="dxa" w:w="1008"/>
            <w:vAlign w:val="top"/>
          </w:tcPr>
          <w:p>
            <w:r/>
            <w:r>
              <w:rPr>
                <w:sz w:val="20"/>
              </w:rPr>
              <w:t>2</w:t>
            </w:r>
          </w:p>
        </w:tc>
      </w:tr>
      <w:tr>
        <w:tc>
          <w:tcPr>
            <w:tcW w:type="dxa" w:w="4896"/>
            <w:vAlign w:val="top"/>
          </w:tcPr>
          <w:p>
            <w:r/>
            <w:r>
              <w:rPr>
                <w:sz w:val="20"/>
              </w:rPr>
              <w:t>Operating expense waterfall</w:t>
            </w:r>
          </w:p>
        </w:tc>
        <w:tc>
          <w:tcPr>
            <w:tcW w:type="dxa" w:w="3456"/>
            <w:vAlign w:val="top"/>
          </w:tcPr>
          <w:p>
            <w:r/>
            <w:r>
              <w:rPr>
                <w:sz w:val="20"/>
              </w:rPr>
              <w:t>build-reports/opex-waterfall</w:t>
            </w:r>
          </w:p>
        </w:tc>
        <w:tc>
          <w:tcPr>
            <w:tcW w:type="dxa" w:w="1008"/>
            <w:vAlign w:val="top"/>
          </w:tcPr>
          <w:p>
            <w:r/>
            <w:r>
              <w:rPr>
                <w:sz w:val="20"/>
              </w:rPr>
              <w:t>2</w:t>
            </w:r>
          </w:p>
        </w:tc>
      </w:tr>
      <w:tr>
        <w:tc>
          <w:tcPr>
            <w:tcW w:type="dxa" w:w="4896"/>
            <w:vAlign w:val="top"/>
          </w:tcPr>
          <w:p>
            <w:r/>
            <w:r>
              <w:rPr>
                <w:sz w:val="20"/>
              </w:rPr>
              <w:t>Forecast accuracy report</w:t>
            </w:r>
          </w:p>
        </w:tc>
        <w:tc>
          <w:tcPr>
            <w:tcW w:type="dxa" w:w="3456"/>
            <w:vAlign w:val="top"/>
          </w:tcPr>
          <w:p>
            <w:r/>
            <w:r>
              <w:rPr>
                <w:sz w:val="20"/>
              </w:rPr>
              <w:t>build-reports/forecast-accuracy</w:t>
            </w:r>
          </w:p>
        </w:tc>
        <w:tc>
          <w:tcPr>
            <w:tcW w:type="dxa" w:w="1008"/>
            <w:vAlign w:val="top"/>
          </w:tcPr>
          <w:p>
            <w:r/>
            <w:r>
              <w:rPr>
                <w:sz w:val="20"/>
              </w:rPr>
              <w:t>2</w:t>
            </w:r>
          </w:p>
        </w:tc>
      </w:tr>
      <w:tr>
        <w:tc>
          <w:tcPr>
            <w:tcW w:type="dxa" w:w="4896"/>
            <w:vAlign w:val="top"/>
          </w:tcPr>
          <w:p>
            <w:r/>
            <w:r>
              <w:rPr>
                <w:sz w:val="20"/>
              </w:rPr>
              <w:t>Sales pipeline-to-revenue forecast</w:t>
            </w:r>
          </w:p>
        </w:tc>
        <w:tc>
          <w:tcPr>
            <w:tcW w:type="dxa" w:w="3456"/>
            <w:vAlign w:val="top"/>
          </w:tcPr>
          <w:p>
            <w:r/>
            <w:r>
              <w:rPr>
                <w:sz w:val="20"/>
              </w:rPr>
              <w:t>build-reports/pipeline-to-revenue</w:t>
            </w:r>
          </w:p>
        </w:tc>
        <w:tc>
          <w:tcPr>
            <w:tcW w:type="dxa" w:w="1008"/>
            <w:vAlign w:val="top"/>
          </w:tcPr>
          <w:p>
            <w:r/>
            <w:r>
              <w:rPr>
                <w:sz w:val="20"/>
              </w:rPr>
              <w:t>2</w:t>
            </w:r>
          </w:p>
        </w:tc>
      </w:tr>
      <w:tr>
        <w:tc>
          <w:tcPr>
            <w:tcW w:type="dxa" w:w="4896"/>
            <w:vAlign w:val="top"/>
          </w:tcPr>
          <w:p>
            <w:r/>
            <w:r>
              <w:rPr>
                <w:sz w:val="20"/>
              </w:rPr>
              <w:t>Workforce plan with attrition</w:t>
            </w:r>
          </w:p>
        </w:tc>
        <w:tc>
          <w:tcPr>
            <w:tcW w:type="dxa" w:w="3456"/>
            <w:vAlign w:val="top"/>
          </w:tcPr>
          <w:p>
            <w:r/>
            <w:r>
              <w:rPr>
                <w:sz w:val="20"/>
              </w:rPr>
              <w:t>build-reports/workforce-with-attrition</w:t>
            </w:r>
          </w:p>
        </w:tc>
        <w:tc>
          <w:tcPr>
            <w:tcW w:type="dxa" w:w="1008"/>
            <w:vAlign w:val="top"/>
          </w:tcPr>
          <w:p>
            <w:r/>
            <w:r>
              <w:rPr>
                <w:sz w:val="20"/>
              </w:rPr>
              <w:t>2</w:t>
            </w:r>
          </w:p>
        </w:tc>
      </w:tr>
      <w:tr>
        <w:tc>
          <w:tcPr>
            <w:tcW w:type="dxa" w:w="4896"/>
            <w:vAlign w:val="top"/>
          </w:tcPr>
          <w:p>
            <w:r/>
            <w:r>
              <w:rPr>
                <w:sz w:val="20"/>
              </w:rPr>
              <w:t>Multi-entity consolidations recipe</w:t>
            </w:r>
          </w:p>
        </w:tc>
        <w:tc>
          <w:tcPr>
            <w:tcW w:type="dxa" w:w="3456"/>
            <w:vAlign w:val="top"/>
          </w:tcPr>
          <w:p>
            <w:r/>
            <w:r>
              <w:rPr>
                <w:sz w:val="20"/>
              </w:rPr>
              <w:t>build-reports/multi-entity-consolidations</w:t>
            </w:r>
          </w:p>
        </w:tc>
        <w:tc>
          <w:tcPr>
            <w:tcW w:type="dxa" w:w="1008"/>
            <w:vAlign w:val="top"/>
          </w:tcPr>
          <w:p>
            <w:r/>
            <w:r>
              <w:rPr>
                <w:sz w:val="20"/>
              </w:rPr>
              <w:t>2</w:t>
            </w:r>
          </w:p>
        </w:tc>
      </w:tr>
      <w:tr>
        <w:tc>
          <w:tcPr>
            <w:tcW w:type="dxa" w:w="4896"/>
            <w:vAlign w:val="top"/>
          </w:tcPr>
          <w:p>
            <w:r/>
            <w:r>
              <w:rPr>
                <w:sz w:val="20"/>
              </w:rPr>
              <w:t>Cohort revenue retention</w:t>
            </w:r>
          </w:p>
        </w:tc>
        <w:tc>
          <w:tcPr>
            <w:tcW w:type="dxa" w:w="3456"/>
            <w:vAlign w:val="top"/>
          </w:tcPr>
          <w:p>
            <w:r/>
            <w:r>
              <w:rPr>
                <w:sz w:val="20"/>
              </w:rPr>
              <w:t>build-reports/cohort-retention</w:t>
            </w:r>
          </w:p>
        </w:tc>
        <w:tc>
          <w:tcPr>
            <w:tcW w:type="dxa" w:w="1008"/>
            <w:vAlign w:val="top"/>
          </w:tcPr>
          <w:p>
            <w:r/>
            <w:r>
              <w:rPr>
                <w:sz w:val="20"/>
              </w:rPr>
              <w:t>2</w:t>
            </w:r>
          </w:p>
        </w:tc>
      </w:tr>
      <w:tr>
        <w:tc>
          <w:tcPr>
            <w:tcW w:type="dxa" w:w="4896"/>
            <w:vAlign w:val="top"/>
          </w:tcPr>
          <w:p>
            <w:r/>
            <w:r>
              <w:rPr>
                <w:sz w:val="20"/>
              </w:rPr>
              <w:t>CapEx tracker</w:t>
            </w:r>
          </w:p>
        </w:tc>
        <w:tc>
          <w:tcPr>
            <w:tcW w:type="dxa" w:w="3456"/>
            <w:vAlign w:val="top"/>
          </w:tcPr>
          <w:p>
            <w:r/>
            <w:r>
              <w:rPr>
                <w:sz w:val="20"/>
              </w:rPr>
              <w:t>build-reports/capex-tracker</w:t>
            </w:r>
          </w:p>
        </w:tc>
        <w:tc>
          <w:tcPr>
            <w:tcW w:type="dxa" w:w="1008"/>
            <w:vAlign w:val="top"/>
          </w:tcPr>
          <w:p>
            <w:r/>
            <w:r>
              <w:rPr>
                <w:sz w:val="20"/>
              </w:rPr>
              <w:t>2</w:t>
            </w:r>
          </w:p>
        </w:tc>
      </w:tr>
      <w:tr>
        <w:tc>
          <w:tcPr>
            <w:tcW w:type="dxa" w:w="4896"/>
            <w:vAlign w:val="top"/>
          </w:tcPr>
          <w:p>
            <w:r/>
            <w:r>
              <w:rPr>
                <w:sz w:val="20"/>
              </w:rPr>
              <w:t>13-week cash forecast</w:t>
            </w:r>
          </w:p>
        </w:tc>
        <w:tc>
          <w:tcPr>
            <w:tcW w:type="dxa" w:w="3456"/>
            <w:vAlign w:val="top"/>
          </w:tcPr>
          <w:p>
            <w:r/>
            <w:r>
              <w:rPr>
                <w:sz w:val="20"/>
              </w:rPr>
              <w:t>build-reports/13-week-cash</w:t>
            </w:r>
          </w:p>
        </w:tc>
        <w:tc>
          <w:tcPr>
            <w:tcW w:type="dxa" w:w="1008"/>
            <w:vAlign w:val="top"/>
          </w:tcPr>
          <w:p>
            <w:r/>
            <w:r>
              <w:rPr>
                <w:sz w:val="20"/>
              </w:rPr>
              <w:t>2</w:t>
            </w:r>
          </w:p>
        </w:tc>
      </w:tr>
    </w:tbl>
    <w:p>
      <w:pPr>
        <w:pStyle w:val="Heading2"/>
      </w:pPr>
      <w:r>
        <w:t>Build Reports — Financials</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Period-over-period bridge analysis</w:t>
            </w:r>
          </w:p>
        </w:tc>
        <w:tc>
          <w:tcPr>
            <w:tcW w:type="dxa" w:w="3456"/>
            <w:vAlign w:val="top"/>
          </w:tcPr>
          <w:p>
            <w:r/>
            <w:r>
              <w:rPr>
                <w:sz w:val="20"/>
              </w:rPr>
              <w:t>build-reports/financials/period-bridge</w:t>
            </w:r>
          </w:p>
        </w:tc>
        <w:tc>
          <w:tcPr>
            <w:tcW w:type="dxa" w:w="1008"/>
            <w:vAlign w:val="top"/>
          </w:tcPr>
          <w:p>
            <w:r/>
            <w:r>
              <w:rPr>
                <w:sz w:val="20"/>
              </w:rPr>
              <w:t>3</w:t>
            </w:r>
          </w:p>
        </w:tc>
      </w:tr>
      <w:tr>
        <w:tc>
          <w:tcPr>
            <w:tcW w:type="dxa" w:w="4896"/>
            <w:vAlign w:val="top"/>
          </w:tcPr>
          <w:p>
            <w:r/>
            <w:r>
              <w:rPr>
                <w:sz w:val="20"/>
              </w:rPr>
              <w:t>Spend by supplier</w:t>
            </w:r>
          </w:p>
        </w:tc>
        <w:tc>
          <w:tcPr>
            <w:tcW w:type="dxa" w:w="3456"/>
            <w:vAlign w:val="top"/>
          </w:tcPr>
          <w:p>
            <w:r/>
            <w:r>
              <w:rPr>
                <w:sz w:val="20"/>
              </w:rPr>
              <w:t>build-reports/financials/spend-by-supplier</w:t>
            </w:r>
          </w:p>
        </w:tc>
        <w:tc>
          <w:tcPr>
            <w:tcW w:type="dxa" w:w="1008"/>
            <w:vAlign w:val="top"/>
          </w:tcPr>
          <w:p>
            <w:r/>
            <w:r>
              <w:rPr>
                <w:sz w:val="20"/>
              </w:rPr>
              <w:t>3</w:t>
            </w:r>
          </w:p>
        </w:tc>
      </w:tr>
      <w:tr>
        <w:tc>
          <w:tcPr>
            <w:tcW w:type="dxa" w:w="4896"/>
            <w:vAlign w:val="top"/>
          </w:tcPr>
          <w:p>
            <w:r/>
            <w:r>
              <w:rPr>
                <w:sz w:val="20"/>
              </w:rPr>
              <w:t>Allocations and intercompany matrix</w:t>
            </w:r>
          </w:p>
        </w:tc>
        <w:tc>
          <w:tcPr>
            <w:tcW w:type="dxa" w:w="3456"/>
            <w:vAlign w:val="top"/>
          </w:tcPr>
          <w:p>
            <w:r/>
            <w:r>
              <w:rPr>
                <w:sz w:val="20"/>
              </w:rPr>
              <w:t>build-reports/financials/allocations-intercompany</w:t>
            </w:r>
          </w:p>
        </w:tc>
        <w:tc>
          <w:tcPr>
            <w:tcW w:type="dxa" w:w="1008"/>
            <w:vAlign w:val="top"/>
          </w:tcPr>
          <w:p>
            <w:r/>
            <w:r>
              <w:rPr>
                <w:sz w:val="20"/>
              </w:rPr>
              <w:t>3</w:t>
            </w:r>
          </w:p>
        </w:tc>
      </w:tr>
      <w:tr>
        <w:tc>
          <w:tcPr>
            <w:tcW w:type="dxa" w:w="4896"/>
            <w:vAlign w:val="top"/>
          </w:tcPr>
          <w:p>
            <w:r/>
            <w:r>
              <w:rPr>
                <w:sz w:val="20"/>
              </w:rPr>
              <w:t>Audit-ready financial pack</w:t>
            </w:r>
          </w:p>
        </w:tc>
        <w:tc>
          <w:tcPr>
            <w:tcW w:type="dxa" w:w="3456"/>
            <w:vAlign w:val="top"/>
          </w:tcPr>
          <w:p>
            <w:r/>
            <w:r>
              <w:rPr>
                <w:sz w:val="20"/>
              </w:rPr>
              <w:t>build-reports/financials/audit-ready-pack</w:t>
            </w:r>
          </w:p>
        </w:tc>
        <w:tc>
          <w:tcPr>
            <w:tcW w:type="dxa" w:w="1008"/>
            <w:vAlign w:val="top"/>
          </w:tcPr>
          <w:p>
            <w:r/>
            <w:r>
              <w:rPr>
                <w:sz w:val="20"/>
              </w:rPr>
              <w:t>3</w:t>
            </w:r>
          </w:p>
        </w:tc>
      </w:tr>
    </w:tbl>
    <w:p>
      <w:pPr>
        <w:pStyle w:val="Heading2"/>
      </w:pPr>
      <w:r>
        <w:t>Word &amp; PowerPoint</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Designing a board-pack template</w:t>
            </w:r>
          </w:p>
        </w:tc>
        <w:tc>
          <w:tcPr>
            <w:tcW w:type="dxa" w:w="3456"/>
            <w:vAlign w:val="top"/>
          </w:tcPr>
          <w:p>
            <w:r/>
            <w:r>
              <w:rPr>
                <w:sz w:val="20"/>
              </w:rPr>
              <w:t>word-powerpoint/board-pack-template</w:t>
            </w:r>
          </w:p>
        </w:tc>
        <w:tc>
          <w:tcPr>
            <w:tcW w:type="dxa" w:w="1008"/>
            <w:vAlign w:val="top"/>
          </w:tcPr>
          <w:p>
            <w:r/>
            <w:r>
              <w:rPr>
                <w:sz w:val="20"/>
              </w:rPr>
              <w:t>2</w:t>
            </w:r>
          </w:p>
        </w:tc>
      </w:tr>
      <w:tr>
        <w:tc>
          <w:tcPr>
            <w:tcW w:type="dxa" w:w="4896"/>
            <w:vAlign w:val="top"/>
          </w:tcPr>
          <w:p>
            <w:r/>
            <w:r>
              <w:rPr>
                <w:sz w:val="20"/>
              </w:rPr>
              <w:t>Refreshing all slides safely</w:t>
            </w:r>
          </w:p>
        </w:tc>
        <w:tc>
          <w:tcPr>
            <w:tcW w:type="dxa" w:w="3456"/>
            <w:vAlign w:val="top"/>
          </w:tcPr>
          <w:p>
            <w:r/>
            <w:r>
              <w:rPr>
                <w:sz w:val="20"/>
              </w:rPr>
              <w:t>word-powerpoint/refresh-all-slides</w:t>
            </w:r>
          </w:p>
        </w:tc>
        <w:tc>
          <w:tcPr>
            <w:tcW w:type="dxa" w:w="1008"/>
            <w:vAlign w:val="top"/>
          </w:tcPr>
          <w:p>
            <w:r/>
            <w:r>
              <w:rPr>
                <w:sz w:val="20"/>
              </w:rPr>
              <w:t>2</w:t>
            </w:r>
          </w:p>
        </w:tc>
      </w:tr>
      <w:tr>
        <w:tc>
          <w:tcPr>
            <w:tcW w:type="dxa" w:w="4896"/>
            <w:vAlign w:val="top"/>
          </w:tcPr>
          <w:p>
            <w:r/>
            <w:r>
              <w:rPr>
                <w:sz w:val="20"/>
              </w:rPr>
              <w:t>Recovering broken links</w:t>
            </w:r>
          </w:p>
        </w:tc>
        <w:tc>
          <w:tcPr>
            <w:tcW w:type="dxa" w:w="3456"/>
            <w:vAlign w:val="top"/>
          </w:tcPr>
          <w:p>
            <w:r/>
            <w:r>
              <w:rPr>
                <w:sz w:val="20"/>
              </w:rPr>
              <w:t>word-powerpoint/recovering-broken-links</w:t>
            </w:r>
          </w:p>
        </w:tc>
        <w:tc>
          <w:tcPr>
            <w:tcW w:type="dxa" w:w="1008"/>
            <w:vAlign w:val="top"/>
          </w:tcPr>
          <w:p>
            <w:r/>
            <w:r>
              <w:rPr>
                <w:sz w:val="20"/>
              </w:rPr>
              <w:t>2</w:t>
            </w:r>
          </w:p>
        </w:tc>
      </w:tr>
      <w:tr>
        <w:tc>
          <w:tcPr>
            <w:tcW w:type="dxa" w:w="4896"/>
            <w:vAlign w:val="top"/>
          </w:tcPr>
          <w:p>
            <w:r/>
            <w:r>
              <w:rPr>
                <w:sz w:val="20"/>
              </w:rPr>
              <w:t>Charts that update with the period</w:t>
            </w:r>
          </w:p>
        </w:tc>
        <w:tc>
          <w:tcPr>
            <w:tcW w:type="dxa" w:w="3456"/>
            <w:vAlign w:val="top"/>
          </w:tcPr>
          <w:p>
            <w:r/>
            <w:r>
              <w:rPr>
                <w:sz w:val="20"/>
              </w:rPr>
              <w:t>word-powerpoint/period-aware-charts</w:t>
            </w:r>
          </w:p>
        </w:tc>
        <w:tc>
          <w:tcPr>
            <w:tcW w:type="dxa" w:w="1008"/>
            <w:vAlign w:val="top"/>
          </w:tcPr>
          <w:p>
            <w:r/>
            <w:r>
              <w:rPr>
                <w:sz w:val="20"/>
              </w:rPr>
              <w:t>2</w:t>
            </w:r>
          </w:p>
        </w:tc>
      </w:tr>
      <w:tr>
        <w:tc>
          <w:tcPr>
            <w:tcW w:type="dxa" w:w="4896"/>
            <w:vAlign w:val="top"/>
          </w:tcPr>
          <w:p>
            <w:r/>
            <w:r>
              <w:rPr>
                <w:sz w:val="20"/>
              </w:rPr>
              <w:t>MD&amp;A automated draft</w:t>
            </w:r>
          </w:p>
        </w:tc>
        <w:tc>
          <w:tcPr>
            <w:tcW w:type="dxa" w:w="3456"/>
            <w:vAlign w:val="top"/>
          </w:tcPr>
          <w:p>
            <w:r/>
            <w:r>
              <w:rPr>
                <w:sz w:val="20"/>
              </w:rPr>
              <w:t>word-powerpoint/mda-automated-draft</w:t>
            </w:r>
          </w:p>
        </w:tc>
        <w:tc>
          <w:tcPr>
            <w:tcW w:type="dxa" w:w="1008"/>
            <w:vAlign w:val="top"/>
          </w:tcPr>
          <w:p>
            <w:r/>
            <w:r>
              <w:rPr>
                <w:sz w:val="20"/>
              </w:rPr>
              <w:t>2</w:t>
            </w:r>
          </w:p>
        </w:tc>
      </w:tr>
      <w:tr>
        <w:tc>
          <w:tcPr>
            <w:tcW w:type="dxa" w:w="4896"/>
            <w:vAlign w:val="top"/>
          </w:tcPr>
          <w:p>
            <w:r/>
            <w:r>
              <w:rPr>
                <w:sz w:val="20"/>
              </w:rPr>
              <w:t>Investor letter template</w:t>
            </w:r>
          </w:p>
        </w:tc>
        <w:tc>
          <w:tcPr>
            <w:tcW w:type="dxa" w:w="3456"/>
            <w:vAlign w:val="top"/>
          </w:tcPr>
          <w:p>
            <w:r/>
            <w:r>
              <w:rPr>
                <w:sz w:val="20"/>
              </w:rPr>
              <w:t>word-powerpoint/investor-letter</w:t>
            </w:r>
          </w:p>
        </w:tc>
        <w:tc>
          <w:tcPr>
            <w:tcW w:type="dxa" w:w="1008"/>
            <w:vAlign w:val="top"/>
          </w:tcPr>
          <w:p>
            <w:r/>
            <w:r>
              <w:rPr>
                <w:sz w:val="20"/>
              </w:rPr>
              <w:t>3</w:t>
            </w:r>
          </w:p>
        </w:tc>
      </w:tr>
      <w:tr>
        <w:tc>
          <w:tcPr>
            <w:tcW w:type="dxa" w:w="4896"/>
            <w:vAlign w:val="top"/>
          </w:tcPr>
          <w:p>
            <w:r/>
            <w:r>
              <w:rPr>
                <w:sz w:val="20"/>
              </w:rPr>
              <w:t>Named ranges in Word reference</w:t>
            </w:r>
          </w:p>
        </w:tc>
        <w:tc>
          <w:tcPr>
            <w:tcW w:type="dxa" w:w="3456"/>
            <w:vAlign w:val="top"/>
          </w:tcPr>
          <w:p>
            <w:r/>
            <w:r>
              <w:rPr>
                <w:sz w:val="20"/>
              </w:rPr>
              <w:t>word-powerpoint/word-named-ranges</w:t>
            </w:r>
          </w:p>
        </w:tc>
        <w:tc>
          <w:tcPr>
            <w:tcW w:type="dxa" w:w="1008"/>
            <w:vAlign w:val="top"/>
          </w:tcPr>
          <w:p>
            <w:r/>
            <w:r>
              <w:rPr>
                <w:sz w:val="20"/>
              </w:rPr>
              <w:t>3</w:t>
            </w:r>
          </w:p>
        </w:tc>
      </w:tr>
      <w:tr>
        <w:tc>
          <w:tcPr>
            <w:tcW w:type="dxa" w:w="4896"/>
            <w:vAlign w:val="top"/>
          </w:tcPr>
          <w:p>
            <w:r/>
            <w:r>
              <w:rPr>
                <w:sz w:val="20"/>
              </w:rPr>
              <w:t>Excel Online limitations</w:t>
            </w:r>
          </w:p>
        </w:tc>
        <w:tc>
          <w:tcPr>
            <w:tcW w:type="dxa" w:w="3456"/>
            <w:vAlign w:val="top"/>
          </w:tcPr>
          <w:p>
            <w:r/>
            <w:r>
              <w:rPr>
                <w:sz w:val="20"/>
              </w:rPr>
              <w:t>word-powerpoint/excel-online-limits</w:t>
            </w:r>
          </w:p>
        </w:tc>
        <w:tc>
          <w:tcPr>
            <w:tcW w:type="dxa" w:w="1008"/>
            <w:vAlign w:val="top"/>
          </w:tcPr>
          <w:p>
            <w:r/>
            <w:r>
              <w:rPr>
                <w:sz w:val="20"/>
              </w:rPr>
              <w:t>3</w:t>
            </w:r>
          </w:p>
        </w:tc>
      </w:tr>
      <w:tr>
        <w:tc>
          <w:tcPr>
            <w:tcW w:type="dxa" w:w="4896"/>
            <w:vAlign w:val="top"/>
          </w:tcPr>
          <w:p>
            <w:r/>
            <w:r>
              <w:rPr>
                <w:sz w:val="20"/>
              </w:rPr>
              <w:t>Email distribution patterns</w:t>
            </w:r>
          </w:p>
        </w:tc>
        <w:tc>
          <w:tcPr>
            <w:tcW w:type="dxa" w:w="3456"/>
            <w:vAlign w:val="top"/>
          </w:tcPr>
          <w:p>
            <w:r/>
            <w:r>
              <w:rPr>
                <w:sz w:val="20"/>
              </w:rPr>
              <w:t>word-powerpoint/email-distribution</w:t>
            </w:r>
          </w:p>
        </w:tc>
        <w:tc>
          <w:tcPr>
            <w:tcW w:type="dxa" w:w="1008"/>
            <w:vAlign w:val="top"/>
          </w:tcPr>
          <w:p>
            <w:r/>
            <w:r>
              <w:rPr>
                <w:sz w:val="20"/>
              </w:rPr>
              <w:t>3</w:t>
            </w:r>
          </w:p>
        </w:tc>
      </w:tr>
    </w:tbl>
    <w:p>
      <w:pPr>
        <w:pStyle w:val="Heading2"/>
      </w:pPr>
      <w:r>
        <w:t>Data Entry &amp; Write-Back</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Write-back to Adaptive from Excel: complete guide (2025R1)</w:t>
            </w:r>
          </w:p>
        </w:tc>
        <w:tc>
          <w:tcPr>
            <w:tcW w:type="dxa" w:w="3456"/>
            <w:vAlign w:val="top"/>
          </w:tcPr>
          <w:p>
            <w:r/>
            <w:r>
              <w:rPr>
                <w:sz w:val="20"/>
              </w:rPr>
              <w:t>data-entry-writeback/writeback-complete-guide</w:t>
            </w:r>
          </w:p>
        </w:tc>
        <w:tc>
          <w:tcPr>
            <w:tcW w:type="dxa" w:w="1008"/>
            <w:vAlign w:val="top"/>
          </w:tcPr>
          <w:p>
            <w:r/>
            <w:r>
              <w:rPr>
                <w:sz w:val="20"/>
              </w:rPr>
              <w:t>1</w:t>
            </w:r>
          </w:p>
        </w:tc>
      </w:tr>
      <w:tr>
        <w:tc>
          <w:tcPr>
            <w:tcW w:type="dxa" w:w="4896"/>
            <w:vAlign w:val="top"/>
          </w:tcPr>
          <w:p>
            <w:r/>
            <w:r>
              <w:rPr>
                <w:sz w:val="20"/>
              </w:rPr>
              <w:t>Write-back permissions design</w:t>
            </w:r>
          </w:p>
        </w:tc>
        <w:tc>
          <w:tcPr>
            <w:tcW w:type="dxa" w:w="3456"/>
            <w:vAlign w:val="top"/>
          </w:tcPr>
          <w:p>
            <w:r/>
            <w:r>
              <w:rPr>
                <w:sz w:val="20"/>
              </w:rPr>
              <w:t>data-entry-writeback/writeback-permissions</w:t>
            </w:r>
          </w:p>
        </w:tc>
        <w:tc>
          <w:tcPr>
            <w:tcW w:type="dxa" w:w="1008"/>
            <w:vAlign w:val="top"/>
          </w:tcPr>
          <w:p>
            <w:r/>
            <w:r>
              <w:rPr>
                <w:sz w:val="20"/>
              </w:rPr>
              <w:t>2</w:t>
            </w:r>
          </w:p>
        </w:tc>
      </w:tr>
      <w:tr>
        <w:tc>
          <w:tcPr>
            <w:tcW w:type="dxa" w:w="4896"/>
            <w:vAlign w:val="top"/>
          </w:tcPr>
          <w:p>
            <w:r/>
            <w:r>
              <w:rPr>
                <w:sz w:val="20"/>
              </w:rPr>
              <w:t>Valid leaf-level intersections</w:t>
            </w:r>
          </w:p>
        </w:tc>
        <w:tc>
          <w:tcPr>
            <w:tcW w:type="dxa" w:w="3456"/>
            <w:vAlign w:val="top"/>
          </w:tcPr>
          <w:p>
            <w:r/>
            <w:r>
              <w:rPr>
                <w:sz w:val="20"/>
              </w:rPr>
              <w:t>data-entry-writeback/leaf-level-intersections</w:t>
            </w:r>
          </w:p>
        </w:tc>
        <w:tc>
          <w:tcPr>
            <w:tcW w:type="dxa" w:w="1008"/>
            <w:vAlign w:val="top"/>
          </w:tcPr>
          <w:p>
            <w:r/>
            <w:r>
              <w:rPr>
                <w:sz w:val="20"/>
              </w:rPr>
              <w:t>2</w:t>
            </w:r>
          </w:p>
        </w:tc>
      </w:tr>
      <w:tr>
        <w:tc>
          <w:tcPr>
            <w:tcW w:type="dxa" w:w="4896"/>
            <w:vAlign w:val="top"/>
          </w:tcPr>
          <w:p>
            <w:r/>
            <w:r>
              <w:rPr>
                <w:sz w:val="20"/>
              </w:rPr>
              <w:t>Audit trail for write-back</w:t>
            </w:r>
          </w:p>
        </w:tc>
        <w:tc>
          <w:tcPr>
            <w:tcW w:type="dxa" w:w="3456"/>
            <w:vAlign w:val="top"/>
          </w:tcPr>
          <w:p>
            <w:r/>
            <w:r>
              <w:rPr>
                <w:sz w:val="20"/>
              </w:rPr>
              <w:t>data-entry-writeback/writeback-audit-trail</w:t>
            </w:r>
          </w:p>
        </w:tc>
        <w:tc>
          <w:tcPr>
            <w:tcW w:type="dxa" w:w="1008"/>
            <w:vAlign w:val="top"/>
          </w:tcPr>
          <w:p>
            <w:r/>
            <w:r>
              <w:rPr>
                <w:sz w:val="20"/>
              </w:rPr>
              <w:t>2</w:t>
            </w:r>
          </w:p>
        </w:tc>
      </w:tr>
      <w:tr>
        <w:tc>
          <w:tcPr>
            <w:tcW w:type="dxa" w:w="4896"/>
            <w:vAlign w:val="top"/>
          </w:tcPr>
          <w:p>
            <w:r/>
            <w:r>
              <w:rPr>
                <w:sz w:val="20"/>
              </w:rPr>
              <w:t>Approval workflow integration</w:t>
            </w:r>
          </w:p>
        </w:tc>
        <w:tc>
          <w:tcPr>
            <w:tcW w:type="dxa" w:w="3456"/>
            <w:vAlign w:val="top"/>
          </w:tcPr>
          <w:p>
            <w:r/>
            <w:r>
              <w:rPr>
                <w:sz w:val="20"/>
              </w:rPr>
              <w:t>data-entry-writeback/approval-workflow</w:t>
            </w:r>
          </w:p>
        </w:tc>
        <w:tc>
          <w:tcPr>
            <w:tcW w:type="dxa" w:w="1008"/>
            <w:vAlign w:val="top"/>
          </w:tcPr>
          <w:p>
            <w:r/>
            <w:r>
              <w:rPr>
                <w:sz w:val="20"/>
              </w:rPr>
              <w:t>2</w:t>
            </w:r>
          </w:p>
        </w:tc>
      </w:tr>
      <w:tr>
        <w:tc>
          <w:tcPr>
            <w:tcW w:type="dxa" w:w="4896"/>
            <w:vAlign w:val="top"/>
          </w:tcPr>
          <w:p>
            <w:r/>
            <w:r>
              <w:rPr>
                <w:sz w:val="20"/>
              </w:rPr>
              <w:t>Common write-back errors</w:t>
            </w:r>
          </w:p>
        </w:tc>
        <w:tc>
          <w:tcPr>
            <w:tcW w:type="dxa" w:w="3456"/>
            <w:vAlign w:val="top"/>
          </w:tcPr>
          <w:p>
            <w:r/>
            <w:r>
              <w:rPr>
                <w:sz w:val="20"/>
              </w:rPr>
              <w:t>data-entry-writeback/writeback-errors</w:t>
            </w:r>
          </w:p>
        </w:tc>
        <w:tc>
          <w:tcPr>
            <w:tcW w:type="dxa" w:w="1008"/>
            <w:vAlign w:val="top"/>
          </w:tcPr>
          <w:p>
            <w:r/>
            <w:r>
              <w:rPr>
                <w:sz w:val="20"/>
              </w:rPr>
              <w:t>2</w:t>
            </w:r>
          </w:p>
        </w:tc>
      </w:tr>
    </w:tbl>
    <w:p>
      <w:pPr>
        <w:pStyle w:val="Heading2"/>
      </w:pPr>
      <w:r>
        <w:t>Admin — Deploy</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Silent install with Intune Win32</w:t>
            </w:r>
          </w:p>
        </w:tc>
        <w:tc>
          <w:tcPr>
            <w:tcW w:type="dxa" w:w="3456"/>
            <w:vAlign w:val="top"/>
          </w:tcPr>
          <w:p>
            <w:r/>
            <w:r>
              <w:rPr>
                <w:sz w:val="20"/>
              </w:rPr>
              <w:t>admin/deploy/intune-win32</w:t>
            </w:r>
          </w:p>
        </w:tc>
        <w:tc>
          <w:tcPr>
            <w:tcW w:type="dxa" w:w="1008"/>
            <w:vAlign w:val="top"/>
          </w:tcPr>
          <w:p>
            <w:r/>
            <w:r>
              <w:rPr>
                <w:sz w:val="20"/>
              </w:rPr>
              <w:t>1</w:t>
            </w:r>
          </w:p>
        </w:tc>
      </w:tr>
      <w:tr>
        <w:tc>
          <w:tcPr>
            <w:tcW w:type="dxa" w:w="4896"/>
            <w:vAlign w:val="top"/>
          </w:tcPr>
          <w:p>
            <w:r/>
            <w:r>
              <w:rPr>
                <w:sz w:val="20"/>
              </w:rPr>
              <w:t>Silent install with SCCM/MECM</w:t>
            </w:r>
          </w:p>
        </w:tc>
        <w:tc>
          <w:tcPr>
            <w:tcW w:type="dxa" w:w="3456"/>
            <w:vAlign w:val="top"/>
          </w:tcPr>
          <w:p>
            <w:r/>
            <w:r>
              <w:rPr>
                <w:sz w:val="20"/>
              </w:rPr>
              <w:t>admin/deploy/sccm-mecm</w:t>
            </w:r>
          </w:p>
        </w:tc>
        <w:tc>
          <w:tcPr>
            <w:tcW w:type="dxa" w:w="1008"/>
            <w:vAlign w:val="top"/>
          </w:tcPr>
          <w:p>
            <w:r/>
            <w:r>
              <w:rPr>
                <w:sz w:val="20"/>
              </w:rPr>
              <w:t>1</w:t>
            </w:r>
          </w:p>
        </w:tc>
      </w:tr>
      <w:tr>
        <w:tc>
          <w:tcPr>
            <w:tcW w:type="dxa" w:w="4896"/>
            <w:vAlign w:val="top"/>
          </w:tcPr>
          <w:p>
            <w:r/>
            <w:r>
              <w:rPr>
                <w:sz w:val="20"/>
              </w:rPr>
              <w:t>GPO templates for OfficeConnect</w:t>
            </w:r>
          </w:p>
        </w:tc>
        <w:tc>
          <w:tcPr>
            <w:tcW w:type="dxa" w:w="3456"/>
            <w:vAlign w:val="top"/>
          </w:tcPr>
          <w:p>
            <w:r/>
            <w:r>
              <w:rPr>
                <w:sz w:val="20"/>
              </w:rPr>
              <w:t>admin/deploy/gpo-templates</w:t>
            </w:r>
          </w:p>
        </w:tc>
        <w:tc>
          <w:tcPr>
            <w:tcW w:type="dxa" w:w="1008"/>
            <w:vAlign w:val="top"/>
          </w:tcPr>
          <w:p>
            <w:r/>
            <w:r>
              <w:rPr>
                <w:sz w:val="20"/>
              </w:rPr>
              <w:t>2</w:t>
            </w:r>
          </w:p>
        </w:tc>
      </w:tr>
      <w:tr>
        <w:tc>
          <w:tcPr>
            <w:tcW w:type="dxa" w:w="4896"/>
            <w:vAlign w:val="top"/>
          </w:tcPr>
          <w:p>
            <w:r/>
            <w:r>
              <w:rPr>
                <w:sz w:val="20"/>
              </w:rPr>
              <w:t>Per-user vs per-machine install</w:t>
            </w:r>
          </w:p>
        </w:tc>
        <w:tc>
          <w:tcPr>
            <w:tcW w:type="dxa" w:w="3456"/>
            <w:vAlign w:val="top"/>
          </w:tcPr>
          <w:p>
            <w:r/>
            <w:r>
              <w:rPr>
                <w:sz w:val="20"/>
              </w:rPr>
              <w:t>admin/deploy/per-user-vs-per-machine</w:t>
            </w:r>
          </w:p>
        </w:tc>
        <w:tc>
          <w:tcPr>
            <w:tcW w:type="dxa" w:w="1008"/>
            <w:vAlign w:val="top"/>
          </w:tcPr>
          <w:p>
            <w:r/>
            <w:r>
              <w:rPr>
                <w:sz w:val="20"/>
              </w:rPr>
              <w:t>2</w:t>
            </w:r>
          </w:p>
        </w:tc>
      </w:tr>
      <w:tr>
        <w:tc>
          <w:tcPr>
            <w:tcW w:type="dxa" w:w="4896"/>
            <w:vAlign w:val="top"/>
          </w:tcPr>
          <w:p>
            <w:r/>
            <w:r>
              <w:rPr>
                <w:sz w:val="20"/>
              </w:rPr>
              <w:t>Silent install switches reference</w:t>
            </w:r>
          </w:p>
        </w:tc>
        <w:tc>
          <w:tcPr>
            <w:tcW w:type="dxa" w:w="3456"/>
            <w:vAlign w:val="top"/>
          </w:tcPr>
          <w:p>
            <w:r/>
            <w:r>
              <w:rPr>
                <w:sz w:val="20"/>
              </w:rPr>
              <w:t>admin/deploy/silent-install-switches</w:t>
            </w:r>
          </w:p>
        </w:tc>
        <w:tc>
          <w:tcPr>
            <w:tcW w:type="dxa" w:w="1008"/>
            <w:vAlign w:val="top"/>
          </w:tcPr>
          <w:p>
            <w:r/>
            <w:r>
              <w:rPr>
                <w:sz w:val="20"/>
              </w:rPr>
              <w:t>2</w:t>
            </w:r>
          </w:p>
        </w:tc>
      </w:tr>
    </w:tbl>
    <w:p>
      <w:pPr>
        <w:pStyle w:val="Heading2"/>
      </w:pPr>
      <w:r>
        <w:t>Admin — Configure (incl. SSO)</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SSO with Okta</w:t>
            </w:r>
          </w:p>
        </w:tc>
        <w:tc>
          <w:tcPr>
            <w:tcW w:type="dxa" w:w="3456"/>
            <w:vAlign w:val="top"/>
          </w:tcPr>
          <w:p>
            <w:r/>
            <w:r>
              <w:rPr>
                <w:sz w:val="20"/>
              </w:rPr>
              <w:t>admin/configure/sso-okta</w:t>
            </w:r>
          </w:p>
        </w:tc>
        <w:tc>
          <w:tcPr>
            <w:tcW w:type="dxa" w:w="1008"/>
            <w:vAlign w:val="top"/>
          </w:tcPr>
          <w:p>
            <w:r/>
            <w:r>
              <w:rPr>
                <w:sz w:val="20"/>
              </w:rPr>
              <w:t>1</w:t>
            </w:r>
          </w:p>
        </w:tc>
      </w:tr>
      <w:tr>
        <w:tc>
          <w:tcPr>
            <w:tcW w:type="dxa" w:w="4896"/>
            <w:vAlign w:val="top"/>
          </w:tcPr>
          <w:p>
            <w:r/>
            <w:r>
              <w:rPr>
                <w:sz w:val="20"/>
              </w:rPr>
              <w:t>SSO with Microsoft Entra ID</w:t>
            </w:r>
          </w:p>
        </w:tc>
        <w:tc>
          <w:tcPr>
            <w:tcW w:type="dxa" w:w="3456"/>
            <w:vAlign w:val="top"/>
          </w:tcPr>
          <w:p>
            <w:r/>
            <w:r>
              <w:rPr>
                <w:sz w:val="20"/>
              </w:rPr>
              <w:t>admin/configure/sso-entra</w:t>
            </w:r>
          </w:p>
        </w:tc>
        <w:tc>
          <w:tcPr>
            <w:tcW w:type="dxa" w:w="1008"/>
            <w:vAlign w:val="top"/>
          </w:tcPr>
          <w:p>
            <w:r/>
            <w:r>
              <w:rPr>
                <w:sz w:val="20"/>
              </w:rPr>
              <w:t>1</w:t>
            </w:r>
          </w:p>
        </w:tc>
      </w:tr>
      <w:tr>
        <w:tc>
          <w:tcPr>
            <w:tcW w:type="dxa" w:w="4896"/>
            <w:vAlign w:val="top"/>
          </w:tcPr>
          <w:p>
            <w:r/>
            <w:r>
              <w:rPr>
                <w:sz w:val="20"/>
              </w:rPr>
              <w:t>SSO with Ping Identity</w:t>
            </w:r>
          </w:p>
        </w:tc>
        <w:tc>
          <w:tcPr>
            <w:tcW w:type="dxa" w:w="3456"/>
            <w:vAlign w:val="top"/>
          </w:tcPr>
          <w:p>
            <w:r/>
            <w:r>
              <w:rPr>
                <w:sz w:val="20"/>
              </w:rPr>
              <w:t>admin/configure/sso-ping</w:t>
            </w:r>
          </w:p>
        </w:tc>
        <w:tc>
          <w:tcPr>
            <w:tcW w:type="dxa" w:w="1008"/>
            <w:vAlign w:val="top"/>
          </w:tcPr>
          <w:p>
            <w:r/>
            <w:r>
              <w:rPr>
                <w:sz w:val="20"/>
              </w:rPr>
              <w:t>2</w:t>
            </w:r>
          </w:p>
        </w:tc>
      </w:tr>
      <w:tr>
        <w:tc>
          <w:tcPr>
            <w:tcW w:type="dxa" w:w="4896"/>
            <w:vAlign w:val="top"/>
          </w:tcPr>
          <w:p>
            <w:r/>
            <w:r>
              <w:rPr>
                <w:sz w:val="20"/>
              </w:rPr>
              <w:t>Tenant XML reference</w:t>
            </w:r>
          </w:p>
        </w:tc>
        <w:tc>
          <w:tcPr>
            <w:tcW w:type="dxa" w:w="3456"/>
            <w:vAlign w:val="top"/>
          </w:tcPr>
          <w:p>
            <w:r/>
            <w:r>
              <w:rPr>
                <w:sz w:val="20"/>
              </w:rPr>
              <w:t>admin/configure/tenant-xml</w:t>
            </w:r>
          </w:p>
        </w:tc>
        <w:tc>
          <w:tcPr>
            <w:tcW w:type="dxa" w:w="1008"/>
            <w:vAlign w:val="top"/>
          </w:tcPr>
          <w:p>
            <w:r/>
            <w:r>
              <w:rPr>
                <w:sz w:val="20"/>
              </w:rPr>
              <w:t>2</w:t>
            </w:r>
          </w:p>
        </w:tc>
      </w:tr>
      <w:tr>
        <w:tc>
          <w:tcPr>
            <w:tcW w:type="dxa" w:w="4896"/>
            <w:vAlign w:val="top"/>
          </w:tcPr>
          <w:p>
            <w:r/>
            <w:r>
              <w:rPr>
                <w:sz w:val="20"/>
              </w:rPr>
              <w:t>Proxy and firewall allowlist</w:t>
            </w:r>
          </w:p>
        </w:tc>
        <w:tc>
          <w:tcPr>
            <w:tcW w:type="dxa" w:w="3456"/>
            <w:vAlign w:val="top"/>
          </w:tcPr>
          <w:p>
            <w:r/>
            <w:r>
              <w:rPr>
                <w:sz w:val="20"/>
              </w:rPr>
              <w:t>admin/configure/proxy-firewall</w:t>
            </w:r>
          </w:p>
        </w:tc>
        <w:tc>
          <w:tcPr>
            <w:tcW w:type="dxa" w:w="1008"/>
            <w:vAlign w:val="top"/>
          </w:tcPr>
          <w:p>
            <w:r/>
            <w:r>
              <w:rPr>
                <w:sz w:val="20"/>
              </w:rPr>
              <w:t>3</w:t>
            </w:r>
          </w:p>
        </w:tc>
      </w:tr>
      <w:tr>
        <w:tc>
          <w:tcPr>
            <w:tcW w:type="dxa" w:w="4896"/>
            <w:vAlign w:val="top"/>
          </w:tcPr>
          <w:p>
            <w:r/>
            <w:r>
              <w:rPr>
                <w:sz w:val="20"/>
              </w:rPr>
              <w:t>Logging and diagnostics</w:t>
            </w:r>
          </w:p>
        </w:tc>
        <w:tc>
          <w:tcPr>
            <w:tcW w:type="dxa" w:w="3456"/>
            <w:vAlign w:val="top"/>
          </w:tcPr>
          <w:p>
            <w:r/>
            <w:r>
              <w:rPr>
                <w:sz w:val="20"/>
              </w:rPr>
              <w:t>admin/configure/logging-diagnostics</w:t>
            </w:r>
          </w:p>
        </w:tc>
        <w:tc>
          <w:tcPr>
            <w:tcW w:type="dxa" w:w="1008"/>
            <w:vAlign w:val="top"/>
          </w:tcPr>
          <w:p>
            <w:r/>
            <w:r>
              <w:rPr>
                <w:sz w:val="20"/>
              </w:rPr>
              <w:t>3</w:t>
            </w:r>
          </w:p>
        </w:tc>
      </w:tr>
    </w:tbl>
    <w:p>
      <w:pPr>
        <w:pStyle w:val="Heading2"/>
      </w:pPr>
      <w:r>
        <w:t>Admin — Govern</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License and entitlement management</w:t>
            </w:r>
          </w:p>
        </w:tc>
        <w:tc>
          <w:tcPr>
            <w:tcW w:type="dxa" w:w="3456"/>
            <w:vAlign w:val="top"/>
          </w:tcPr>
          <w:p>
            <w:r/>
            <w:r>
              <w:rPr>
                <w:sz w:val="20"/>
              </w:rPr>
              <w:t>admin/govern/licenses-entitlements</w:t>
            </w:r>
          </w:p>
        </w:tc>
        <w:tc>
          <w:tcPr>
            <w:tcW w:type="dxa" w:w="1008"/>
            <w:vAlign w:val="top"/>
          </w:tcPr>
          <w:p>
            <w:r/>
            <w:r>
              <w:rPr>
                <w:sz w:val="20"/>
              </w:rPr>
              <w:t>3</w:t>
            </w:r>
          </w:p>
        </w:tc>
      </w:tr>
      <w:tr>
        <w:tc>
          <w:tcPr>
            <w:tcW w:type="dxa" w:w="4896"/>
            <w:vAlign w:val="top"/>
          </w:tcPr>
          <w:p>
            <w:r/>
            <w:r>
              <w:rPr>
                <w:sz w:val="20"/>
              </w:rPr>
              <w:t>API client secret rotation</w:t>
            </w:r>
          </w:p>
        </w:tc>
        <w:tc>
          <w:tcPr>
            <w:tcW w:type="dxa" w:w="3456"/>
            <w:vAlign w:val="top"/>
          </w:tcPr>
          <w:p>
            <w:r/>
            <w:r>
              <w:rPr>
                <w:sz w:val="20"/>
              </w:rPr>
              <w:t>admin/govern/client-secret-rotation</w:t>
            </w:r>
          </w:p>
        </w:tc>
        <w:tc>
          <w:tcPr>
            <w:tcW w:type="dxa" w:w="1008"/>
            <w:vAlign w:val="top"/>
          </w:tcPr>
          <w:p>
            <w:r/>
            <w:r>
              <w:rPr>
                <w:sz w:val="20"/>
              </w:rPr>
              <w:t>3</w:t>
            </w:r>
          </w:p>
        </w:tc>
      </w:tr>
      <w:tr>
        <w:tc>
          <w:tcPr>
            <w:tcW w:type="dxa" w:w="4896"/>
            <w:vAlign w:val="top"/>
          </w:tcPr>
          <w:p>
            <w:r/>
            <w:r>
              <w:rPr>
                <w:sz w:val="20"/>
              </w:rPr>
              <w:t>Audit logging</w:t>
            </w:r>
          </w:p>
        </w:tc>
        <w:tc>
          <w:tcPr>
            <w:tcW w:type="dxa" w:w="3456"/>
            <w:vAlign w:val="top"/>
          </w:tcPr>
          <w:p>
            <w:r/>
            <w:r>
              <w:rPr>
                <w:sz w:val="20"/>
              </w:rPr>
              <w:t>admin/govern/audit-logging</w:t>
            </w:r>
          </w:p>
        </w:tc>
        <w:tc>
          <w:tcPr>
            <w:tcW w:type="dxa" w:w="1008"/>
            <w:vAlign w:val="top"/>
          </w:tcPr>
          <w:p>
            <w:r/>
            <w:r>
              <w:rPr>
                <w:sz w:val="20"/>
              </w:rPr>
              <w:t>3</w:t>
            </w:r>
          </w:p>
        </w:tc>
      </w:tr>
      <w:tr>
        <w:tc>
          <w:tcPr>
            <w:tcW w:type="dxa" w:w="4896"/>
            <w:vAlign w:val="top"/>
          </w:tcPr>
          <w:p>
            <w:r/>
            <w:r>
              <w:rPr>
                <w:sz w:val="20"/>
              </w:rPr>
              <w:t>Tenant migration runbook</w:t>
            </w:r>
          </w:p>
        </w:tc>
        <w:tc>
          <w:tcPr>
            <w:tcW w:type="dxa" w:w="3456"/>
            <w:vAlign w:val="top"/>
          </w:tcPr>
          <w:p>
            <w:r/>
            <w:r>
              <w:rPr>
                <w:sz w:val="20"/>
              </w:rPr>
              <w:t>admin/govern/tenant-migration</w:t>
            </w:r>
          </w:p>
        </w:tc>
        <w:tc>
          <w:tcPr>
            <w:tcW w:type="dxa" w:w="1008"/>
            <w:vAlign w:val="top"/>
          </w:tcPr>
          <w:p>
            <w:r/>
            <w:r>
              <w:rPr>
                <w:sz w:val="20"/>
              </w:rPr>
              <w:t>3</w:t>
            </w:r>
          </w:p>
        </w:tc>
      </w:tr>
    </w:tbl>
    <w:p>
      <w:pPr>
        <w:pStyle w:val="Heading2"/>
      </w:pPr>
      <w:r>
        <w:t>Admin — Upgrade</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Upgrade governance (managing forced-upgrade cadence)</w:t>
            </w:r>
          </w:p>
        </w:tc>
        <w:tc>
          <w:tcPr>
            <w:tcW w:type="dxa" w:w="3456"/>
            <w:vAlign w:val="top"/>
          </w:tcPr>
          <w:p>
            <w:r/>
            <w:r>
              <w:rPr>
                <w:sz w:val="20"/>
              </w:rPr>
              <w:t>admin/upgrade/upgrade-governance</w:t>
            </w:r>
          </w:p>
        </w:tc>
        <w:tc>
          <w:tcPr>
            <w:tcW w:type="dxa" w:w="1008"/>
            <w:vAlign w:val="top"/>
          </w:tcPr>
          <w:p>
            <w:r/>
            <w:r>
              <w:rPr>
                <w:sz w:val="20"/>
              </w:rPr>
              <w:t>2</w:t>
            </w:r>
          </w:p>
        </w:tc>
      </w:tr>
      <w:tr>
        <w:tc>
          <w:tcPr>
            <w:tcW w:type="dxa" w:w="4896"/>
            <w:vAlign w:val="top"/>
          </w:tcPr>
          <w:p>
            <w:r/>
            <w:r>
              <w:rPr>
                <w:sz w:val="20"/>
              </w:rPr>
              <w:t>Preparing users for the upgrade prompt</w:t>
            </w:r>
          </w:p>
        </w:tc>
        <w:tc>
          <w:tcPr>
            <w:tcW w:type="dxa" w:w="3456"/>
            <w:vAlign w:val="top"/>
          </w:tcPr>
          <w:p>
            <w:r/>
            <w:r>
              <w:rPr>
                <w:sz w:val="20"/>
              </w:rPr>
              <w:t>admin/upgrade/user-prep</w:t>
            </w:r>
          </w:p>
        </w:tc>
        <w:tc>
          <w:tcPr>
            <w:tcW w:type="dxa" w:w="1008"/>
            <w:vAlign w:val="top"/>
          </w:tcPr>
          <w:p>
            <w:r/>
            <w:r>
              <w:rPr>
                <w:sz w:val="20"/>
              </w:rPr>
              <w:t>2</w:t>
            </w:r>
          </w:p>
        </w:tc>
      </w:tr>
      <w:tr>
        <w:tc>
          <w:tcPr>
            <w:tcW w:type="dxa" w:w="4896"/>
            <w:vAlign w:val="top"/>
          </w:tcPr>
          <w:p>
            <w:r/>
            <w:r>
              <w:rPr>
                <w:sz w:val="20"/>
              </w:rPr>
              <w:t>Rollback procedure</w:t>
            </w:r>
          </w:p>
        </w:tc>
        <w:tc>
          <w:tcPr>
            <w:tcW w:type="dxa" w:w="3456"/>
            <w:vAlign w:val="top"/>
          </w:tcPr>
          <w:p>
            <w:r/>
            <w:r>
              <w:rPr>
                <w:sz w:val="20"/>
              </w:rPr>
              <w:t>admin/upgrade/rollback</w:t>
            </w:r>
          </w:p>
        </w:tc>
        <w:tc>
          <w:tcPr>
            <w:tcW w:type="dxa" w:w="1008"/>
            <w:vAlign w:val="top"/>
          </w:tcPr>
          <w:p>
            <w:r/>
            <w:r>
              <w:rPr>
                <w:sz w:val="20"/>
              </w:rPr>
              <w:t>3</w:t>
            </w:r>
          </w:p>
        </w:tc>
      </w:tr>
      <w:tr>
        <w:tc>
          <w:tcPr>
            <w:tcW w:type="dxa" w:w="4896"/>
            <w:vAlign w:val="top"/>
          </w:tcPr>
          <w:p>
            <w:r/>
            <w:r>
              <w:rPr>
                <w:sz w:val="20"/>
              </w:rPr>
              <w:t>Multi-region migration runbook</w:t>
            </w:r>
          </w:p>
        </w:tc>
        <w:tc>
          <w:tcPr>
            <w:tcW w:type="dxa" w:w="3456"/>
            <w:vAlign w:val="top"/>
          </w:tcPr>
          <w:p>
            <w:r/>
            <w:r>
              <w:rPr>
                <w:sz w:val="20"/>
              </w:rPr>
              <w:t>admin/upgrade/multi-region</w:t>
            </w:r>
          </w:p>
        </w:tc>
        <w:tc>
          <w:tcPr>
            <w:tcW w:type="dxa" w:w="1008"/>
            <w:vAlign w:val="top"/>
          </w:tcPr>
          <w:p>
            <w:r/>
            <w:r>
              <w:rPr>
                <w:sz w:val="20"/>
              </w:rPr>
              <w:t>3</w:t>
            </w:r>
          </w:p>
        </w:tc>
      </w:tr>
    </w:tbl>
    <w:p>
      <w:pPr>
        <w:pStyle w:val="Heading2"/>
      </w:pPr>
      <w:r>
        <w:t>Performance</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Refresh time benchmarks</w:t>
            </w:r>
          </w:p>
        </w:tc>
        <w:tc>
          <w:tcPr>
            <w:tcW w:type="dxa" w:w="3456"/>
            <w:vAlign w:val="top"/>
          </w:tcPr>
          <w:p>
            <w:r/>
            <w:r>
              <w:rPr>
                <w:sz w:val="20"/>
              </w:rPr>
              <w:t>performance/refresh-benchmarks</w:t>
            </w:r>
          </w:p>
        </w:tc>
        <w:tc>
          <w:tcPr>
            <w:tcW w:type="dxa" w:w="1008"/>
            <w:vAlign w:val="top"/>
          </w:tcPr>
          <w:p>
            <w:r/>
            <w:r>
              <w:rPr>
                <w:sz w:val="20"/>
              </w:rPr>
              <w:t>3</w:t>
            </w:r>
          </w:p>
        </w:tc>
      </w:tr>
      <w:tr>
        <w:tc>
          <w:tcPr>
            <w:tcW w:type="dxa" w:w="4896"/>
            <w:vAlign w:val="top"/>
          </w:tcPr>
          <w:p>
            <w:r/>
            <w:r>
              <w:rPr>
                <w:sz w:val="20"/>
              </w:rPr>
              <w:t>32-bit vs 64-bit Excel</w:t>
            </w:r>
          </w:p>
        </w:tc>
        <w:tc>
          <w:tcPr>
            <w:tcW w:type="dxa" w:w="3456"/>
            <w:vAlign w:val="top"/>
          </w:tcPr>
          <w:p>
            <w:r/>
            <w:r>
              <w:rPr>
                <w:sz w:val="20"/>
              </w:rPr>
              <w:t>performance/32-vs-64-bit</w:t>
            </w:r>
          </w:p>
        </w:tc>
        <w:tc>
          <w:tcPr>
            <w:tcW w:type="dxa" w:w="1008"/>
            <w:vAlign w:val="top"/>
          </w:tcPr>
          <w:p>
            <w:r/>
            <w:r>
              <w:rPr>
                <w:sz w:val="20"/>
              </w:rPr>
              <w:t>3</w:t>
            </w:r>
          </w:p>
        </w:tc>
      </w:tr>
      <w:tr>
        <w:tc>
          <w:tcPr>
            <w:tcW w:type="dxa" w:w="4896"/>
            <w:vAlign w:val="top"/>
          </w:tcPr>
          <w:p>
            <w:r/>
            <w:r>
              <w:rPr>
                <w:sz w:val="20"/>
              </w:rPr>
              <w:t>Reducing element count</w:t>
            </w:r>
          </w:p>
        </w:tc>
        <w:tc>
          <w:tcPr>
            <w:tcW w:type="dxa" w:w="3456"/>
            <w:vAlign w:val="top"/>
          </w:tcPr>
          <w:p>
            <w:r/>
            <w:r>
              <w:rPr>
                <w:sz w:val="20"/>
              </w:rPr>
              <w:t>performance/reduce-element-count</w:t>
            </w:r>
          </w:p>
        </w:tc>
        <w:tc>
          <w:tcPr>
            <w:tcW w:type="dxa" w:w="1008"/>
            <w:vAlign w:val="top"/>
          </w:tcPr>
          <w:p>
            <w:r/>
            <w:r>
              <w:rPr>
                <w:sz w:val="20"/>
              </w:rPr>
              <w:t>3</w:t>
            </w:r>
          </w:p>
        </w:tc>
      </w:tr>
      <w:tr>
        <w:tc>
          <w:tcPr>
            <w:tcW w:type="dxa" w:w="4896"/>
            <w:vAlign w:val="top"/>
          </w:tcPr>
          <w:p>
            <w:r/>
            <w:r>
              <w:rPr>
                <w:sz w:val="20"/>
              </w:rPr>
              <w:t>Sheet count limits</w:t>
            </w:r>
          </w:p>
        </w:tc>
        <w:tc>
          <w:tcPr>
            <w:tcW w:type="dxa" w:w="3456"/>
            <w:vAlign w:val="top"/>
          </w:tcPr>
          <w:p>
            <w:r/>
            <w:r>
              <w:rPr>
                <w:sz w:val="20"/>
              </w:rPr>
              <w:t>performance/sheet-count-limits</w:t>
            </w:r>
          </w:p>
        </w:tc>
        <w:tc>
          <w:tcPr>
            <w:tcW w:type="dxa" w:w="1008"/>
            <w:vAlign w:val="top"/>
          </w:tcPr>
          <w:p>
            <w:r/>
            <w:r>
              <w:rPr>
                <w:sz w:val="20"/>
              </w:rPr>
              <w:t>3</w:t>
            </w:r>
          </w:p>
        </w:tc>
      </w:tr>
      <w:tr>
        <w:tc>
          <w:tcPr>
            <w:tcW w:type="dxa" w:w="4896"/>
            <w:vAlign w:val="top"/>
          </w:tcPr>
          <w:p>
            <w:r/>
            <w:r>
              <w:rPr>
                <w:sz w:val="20"/>
              </w:rPr>
              <w:t>Cell explorer memory</w:t>
            </w:r>
          </w:p>
        </w:tc>
        <w:tc>
          <w:tcPr>
            <w:tcW w:type="dxa" w:w="3456"/>
            <w:vAlign w:val="top"/>
          </w:tcPr>
          <w:p>
            <w:r/>
            <w:r>
              <w:rPr>
                <w:sz w:val="20"/>
              </w:rPr>
              <w:t>performance/cell-explorer-memory</w:t>
            </w:r>
          </w:p>
        </w:tc>
        <w:tc>
          <w:tcPr>
            <w:tcW w:type="dxa" w:w="1008"/>
            <w:vAlign w:val="top"/>
          </w:tcPr>
          <w:p>
            <w:r/>
            <w:r>
              <w:rPr>
                <w:sz w:val="20"/>
              </w:rPr>
              <w:t>3</w:t>
            </w:r>
          </w:p>
        </w:tc>
      </w:tr>
      <w:tr>
        <w:tc>
          <w:tcPr>
            <w:tcW w:type="dxa" w:w="4896"/>
            <w:vAlign w:val="top"/>
          </w:tcPr>
          <w:p>
            <w:r/>
            <w:r>
              <w:rPr>
                <w:sz w:val="20"/>
              </w:rPr>
              <w:t>Large repeating reports</w:t>
            </w:r>
          </w:p>
        </w:tc>
        <w:tc>
          <w:tcPr>
            <w:tcW w:type="dxa" w:w="3456"/>
            <w:vAlign w:val="top"/>
          </w:tcPr>
          <w:p>
            <w:r/>
            <w:r>
              <w:rPr>
                <w:sz w:val="20"/>
              </w:rPr>
              <w:t>performance/large-repeating-reports</w:t>
            </w:r>
          </w:p>
        </w:tc>
        <w:tc>
          <w:tcPr>
            <w:tcW w:type="dxa" w:w="1008"/>
            <w:vAlign w:val="top"/>
          </w:tcPr>
          <w:p>
            <w:r/>
            <w:r>
              <w:rPr>
                <w:sz w:val="20"/>
              </w:rPr>
              <w:t>3</w:t>
            </w:r>
          </w:p>
        </w:tc>
      </w:tr>
    </w:tbl>
    <w:p>
      <w:pPr>
        <w:pStyle w:val="Heading2"/>
      </w:pPr>
      <w:r>
        <w:t>Troubleshoot</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Re-enabling a disabled COM add-in</w:t>
            </w:r>
          </w:p>
        </w:tc>
        <w:tc>
          <w:tcPr>
            <w:tcW w:type="dxa" w:w="3456"/>
            <w:vAlign w:val="top"/>
          </w:tcPr>
          <w:p>
            <w:r/>
            <w:r>
              <w:rPr>
                <w:sz w:val="20"/>
              </w:rPr>
              <w:t>troubleshoot/reenable-com-addin</w:t>
            </w:r>
          </w:p>
        </w:tc>
        <w:tc>
          <w:tcPr>
            <w:tcW w:type="dxa" w:w="1008"/>
            <w:vAlign w:val="top"/>
          </w:tcPr>
          <w:p>
            <w:r/>
            <w:r>
              <w:rPr>
                <w:sz w:val="20"/>
              </w:rPr>
              <w:t>1</w:t>
            </w:r>
          </w:p>
        </w:tc>
      </w:tr>
      <w:tr>
        <w:tc>
          <w:tcPr>
            <w:tcW w:type="dxa" w:w="4896"/>
            <w:vAlign w:val="top"/>
          </w:tcPr>
          <w:p>
            <w:r/>
            <w:r>
              <w:rPr>
                <w:sz w:val="20"/>
              </w:rPr>
              <w:t>'Contact technical support' on Refresh</w:t>
            </w:r>
          </w:p>
        </w:tc>
        <w:tc>
          <w:tcPr>
            <w:tcW w:type="dxa" w:w="3456"/>
            <w:vAlign w:val="top"/>
          </w:tcPr>
          <w:p>
            <w:r/>
            <w:r>
              <w:rPr>
                <w:sz w:val="20"/>
              </w:rPr>
              <w:t>troubleshoot/refresh-contact-support</w:t>
            </w:r>
          </w:p>
        </w:tc>
        <w:tc>
          <w:tcPr>
            <w:tcW w:type="dxa" w:w="1008"/>
            <w:vAlign w:val="top"/>
          </w:tcPr>
          <w:p>
            <w:r/>
            <w:r>
              <w:rPr>
                <w:sz w:val="20"/>
              </w:rPr>
              <w:t>1</w:t>
            </w:r>
          </w:p>
        </w:tc>
      </w:tr>
      <w:tr>
        <w:tc>
          <w:tcPr>
            <w:tcW w:type="dxa" w:w="4896"/>
            <w:vAlign w:val="top"/>
          </w:tcPr>
          <w:p>
            <w:r/>
            <w:r>
              <w:rPr>
                <w:sz w:val="20"/>
              </w:rPr>
              <w:t>OfficeConnect + think-cell conflict</w:t>
            </w:r>
          </w:p>
        </w:tc>
        <w:tc>
          <w:tcPr>
            <w:tcW w:type="dxa" w:w="3456"/>
            <w:vAlign w:val="top"/>
          </w:tcPr>
          <w:p>
            <w:r/>
            <w:r>
              <w:rPr>
                <w:sz w:val="20"/>
              </w:rPr>
              <w:t>troubleshoot/think-cell-conflict</w:t>
            </w:r>
          </w:p>
        </w:tc>
        <w:tc>
          <w:tcPr>
            <w:tcW w:type="dxa" w:w="1008"/>
            <w:vAlign w:val="top"/>
          </w:tcPr>
          <w:p>
            <w:r/>
            <w:r>
              <w:rPr>
                <w:sz w:val="20"/>
              </w:rPr>
              <w:t>1</w:t>
            </w:r>
          </w:p>
        </w:tc>
      </w:tr>
      <w:tr>
        <w:tc>
          <w:tcPr>
            <w:tcW w:type="dxa" w:w="4896"/>
            <w:vAlign w:val="top"/>
          </w:tcPr>
          <w:p>
            <w:r/>
            <w:r>
              <w:rPr>
                <w:sz w:val="20"/>
              </w:rPr>
              <w:t>OfficeConnect on Mac: the VDI workflow</w:t>
            </w:r>
          </w:p>
        </w:tc>
        <w:tc>
          <w:tcPr>
            <w:tcW w:type="dxa" w:w="3456"/>
            <w:vAlign w:val="top"/>
          </w:tcPr>
          <w:p>
            <w:r/>
            <w:r>
              <w:rPr>
                <w:sz w:val="20"/>
              </w:rPr>
              <w:t>troubleshoot/mac-vdi-workflow</w:t>
            </w:r>
          </w:p>
        </w:tc>
        <w:tc>
          <w:tcPr>
            <w:tcW w:type="dxa" w:w="1008"/>
            <w:vAlign w:val="top"/>
          </w:tcPr>
          <w:p>
            <w:r/>
            <w:r>
              <w:rPr>
                <w:sz w:val="20"/>
              </w:rPr>
              <w:t>1</w:t>
            </w:r>
          </w:p>
        </w:tc>
      </w:tr>
      <w:tr>
        <w:tc>
          <w:tcPr>
            <w:tcW w:type="dxa" w:w="4896"/>
            <w:vAlign w:val="top"/>
          </w:tcPr>
          <w:p>
            <w:r/>
            <w:r>
              <w:rPr>
                <w:sz w:val="20"/>
              </w:rPr>
              <w:t>SSO bounce loop</w:t>
            </w:r>
          </w:p>
        </w:tc>
        <w:tc>
          <w:tcPr>
            <w:tcW w:type="dxa" w:w="3456"/>
            <w:vAlign w:val="top"/>
          </w:tcPr>
          <w:p>
            <w:r/>
            <w:r>
              <w:rPr>
                <w:sz w:val="20"/>
              </w:rPr>
              <w:t>troubleshoot/sso-bounce-loop</w:t>
            </w:r>
          </w:p>
        </w:tc>
        <w:tc>
          <w:tcPr>
            <w:tcW w:type="dxa" w:w="1008"/>
            <w:vAlign w:val="top"/>
          </w:tcPr>
          <w:p>
            <w:r/>
            <w:r>
              <w:rPr>
                <w:sz w:val="20"/>
              </w:rPr>
              <w:t>3</w:t>
            </w:r>
          </w:p>
        </w:tc>
      </w:tr>
      <w:tr>
        <w:tc>
          <w:tcPr>
            <w:tcW w:type="dxa" w:w="4896"/>
            <w:vAlign w:val="top"/>
          </w:tcPr>
          <w:p>
            <w:r/>
            <w:r>
              <w:rPr>
                <w:sz w:val="20"/>
              </w:rPr>
              <w:t>Tenant switcher missing</w:t>
            </w:r>
          </w:p>
        </w:tc>
        <w:tc>
          <w:tcPr>
            <w:tcW w:type="dxa" w:w="3456"/>
            <w:vAlign w:val="top"/>
          </w:tcPr>
          <w:p>
            <w:r/>
            <w:r>
              <w:rPr>
                <w:sz w:val="20"/>
              </w:rPr>
              <w:t>troubleshoot/tenant-switcher-missing</w:t>
            </w:r>
          </w:p>
        </w:tc>
        <w:tc>
          <w:tcPr>
            <w:tcW w:type="dxa" w:w="1008"/>
            <w:vAlign w:val="top"/>
          </w:tcPr>
          <w:p>
            <w:r/>
            <w:r>
              <w:rPr>
                <w:sz w:val="20"/>
              </w:rPr>
              <w:t>3</w:t>
            </w:r>
          </w:p>
        </w:tc>
      </w:tr>
      <w:tr>
        <w:tc>
          <w:tcPr>
            <w:tcW w:type="dxa" w:w="4896"/>
            <w:vAlign w:val="top"/>
          </w:tcPr>
          <w:p>
            <w:r/>
            <w:r>
              <w:rPr>
                <w:sz w:val="20"/>
              </w:rPr>
              <w:t>MFA prompt issues</w:t>
            </w:r>
          </w:p>
        </w:tc>
        <w:tc>
          <w:tcPr>
            <w:tcW w:type="dxa" w:w="3456"/>
            <w:vAlign w:val="top"/>
          </w:tcPr>
          <w:p>
            <w:r/>
            <w:r>
              <w:rPr>
                <w:sz w:val="20"/>
              </w:rPr>
              <w:t>troubleshoot/mfa-prompts</w:t>
            </w:r>
          </w:p>
        </w:tc>
        <w:tc>
          <w:tcPr>
            <w:tcW w:type="dxa" w:w="1008"/>
            <w:vAlign w:val="top"/>
          </w:tcPr>
          <w:p>
            <w:r/>
            <w:r>
              <w:rPr>
                <w:sz w:val="20"/>
              </w:rPr>
              <w:t>3</w:t>
            </w:r>
          </w:p>
        </w:tc>
      </w:tr>
      <w:tr>
        <w:tc>
          <w:tcPr>
            <w:tcW w:type="dxa" w:w="4896"/>
            <w:vAlign w:val="top"/>
          </w:tcPr>
          <w:p>
            <w:r/>
            <w:r>
              <w:rPr>
                <w:sz w:val="20"/>
              </w:rPr>
              <w:t>Ribbon missing</w:t>
            </w:r>
          </w:p>
        </w:tc>
        <w:tc>
          <w:tcPr>
            <w:tcW w:type="dxa" w:w="3456"/>
            <w:vAlign w:val="top"/>
          </w:tcPr>
          <w:p>
            <w:r/>
            <w:r>
              <w:rPr>
                <w:sz w:val="20"/>
              </w:rPr>
              <w:t>troubleshoot/ribbon-missing</w:t>
            </w:r>
          </w:p>
        </w:tc>
        <w:tc>
          <w:tcPr>
            <w:tcW w:type="dxa" w:w="1008"/>
            <w:vAlign w:val="top"/>
          </w:tcPr>
          <w:p>
            <w:r/>
            <w:r>
              <w:rPr>
                <w:sz w:val="20"/>
              </w:rPr>
              <w:t>3</w:t>
            </w:r>
          </w:p>
        </w:tc>
      </w:tr>
      <w:tr>
        <w:tc>
          <w:tcPr>
            <w:tcW w:type="dxa" w:w="4896"/>
            <w:vAlign w:val="top"/>
          </w:tcPr>
          <w:p>
            <w:r/>
            <w:r>
              <w:rPr>
                <w:sz w:val="20"/>
              </w:rPr>
              <w:t>OfficeConnect tab disappeared after Excel update</w:t>
            </w:r>
          </w:p>
        </w:tc>
        <w:tc>
          <w:tcPr>
            <w:tcW w:type="dxa" w:w="3456"/>
            <w:vAlign w:val="top"/>
          </w:tcPr>
          <w:p>
            <w:r/>
            <w:r>
              <w:rPr>
                <w:sz w:val="20"/>
              </w:rPr>
              <w:t>troubleshoot/tab-disappeared-after-update</w:t>
            </w:r>
          </w:p>
        </w:tc>
        <w:tc>
          <w:tcPr>
            <w:tcW w:type="dxa" w:w="1008"/>
            <w:vAlign w:val="top"/>
          </w:tcPr>
          <w:p>
            <w:r/>
            <w:r>
              <w:rPr>
                <w:sz w:val="20"/>
              </w:rPr>
              <w:t>3</w:t>
            </w:r>
          </w:p>
        </w:tc>
      </w:tr>
      <w:tr>
        <w:tc>
          <w:tcPr>
            <w:tcW w:type="dxa" w:w="4896"/>
            <w:vAlign w:val="top"/>
          </w:tcPr>
          <w:p>
            <w:r/>
            <w:r>
              <w:rPr>
                <w:sz w:val="20"/>
              </w:rPr>
              <w:t>n/a values everywhere after refresh</w:t>
            </w:r>
          </w:p>
        </w:tc>
        <w:tc>
          <w:tcPr>
            <w:tcW w:type="dxa" w:w="3456"/>
            <w:vAlign w:val="top"/>
          </w:tcPr>
          <w:p>
            <w:r/>
            <w:r>
              <w:rPr>
                <w:sz w:val="20"/>
              </w:rPr>
              <w:t>troubleshoot/na-everywhere</w:t>
            </w:r>
          </w:p>
        </w:tc>
        <w:tc>
          <w:tcPr>
            <w:tcW w:type="dxa" w:w="1008"/>
            <w:vAlign w:val="top"/>
          </w:tcPr>
          <w:p>
            <w:r/>
            <w:r>
              <w:rPr>
                <w:sz w:val="20"/>
              </w:rPr>
              <w:t>3</w:t>
            </w:r>
          </w:p>
        </w:tc>
      </w:tr>
      <w:tr>
        <w:tc>
          <w:tcPr>
            <w:tcW w:type="dxa" w:w="4896"/>
            <w:vAlign w:val="top"/>
          </w:tcPr>
          <w:p>
            <w:r/>
            <w:r>
              <w:rPr>
                <w:sz w:val="20"/>
              </w:rPr>
              <w:t>Stale cells after refresh</w:t>
            </w:r>
          </w:p>
        </w:tc>
        <w:tc>
          <w:tcPr>
            <w:tcW w:type="dxa" w:w="3456"/>
            <w:vAlign w:val="top"/>
          </w:tcPr>
          <w:p>
            <w:r/>
            <w:r>
              <w:rPr>
                <w:sz w:val="20"/>
              </w:rPr>
              <w:t>troubleshoot/stale-cells</w:t>
            </w:r>
          </w:p>
        </w:tc>
        <w:tc>
          <w:tcPr>
            <w:tcW w:type="dxa" w:w="1008"/>
            <w:vAlign w:val="top"/>
          </w:tcPr>
          <w:p>
            <w:r/>
            <w:r>
              <w:rPr>
                <w:sz w:val="20"/>
              </w:rPr>
              <w:t>3</w:t>
            </w:r>
          </w:p>
        </w:tc>
      </w:tr>
      <w:tr>
        <w:tc>
          <w:tcPr>
            <w:tcW w:type="dxa" w:w="4896"/>
            <w:vAlign w:val="top"/>
          </w:tcPr>
          <w:p>
            <w:r/>
            <w:r>
              <w:rPr>
                <w:sz w:val="20"/>
              </w:rPr>
              <w:t>Bloomberg add-in conflict</w:t>
            </w:r>
          </w:p>
        </w:tc>
        <w:tc>
          <w:tcPr>
            <w:tcW w:type="dxa" w:w="3456"/>
            <w:vAlign w:val="top"/>
          </w:tcPr>
          <w:p>
            <w:r/>
            <w:r>
              <w:rPr>
                <w:sz w:val="20"/>
              </w:rPr>
              <w:t>troubleshoot/bloomberg-conflict</w:t>
            </w:r>
          </w:p>
        </w:tc>
        <w:tc>
          <w:tcPr>
            <w:tcW w:type="dxa" w:w="1008"/>
            <w:vAlign w:val="top"/>
          </w:tcPr>
          <w:p>
            <w:r/>
            <w:r>
              <w:rPr>
                <w:sz w:val="20"/>
              </w:rPr>
              <w:t>3</w:t>
            </w:r>
          </w:p>
        </w:tc>
      </w:tr>
      <w:tr>
        <w:tc>
          <w:tcPr>
            <w:tcW w:type="dxa" w:w="4896"/>
            <w:vAlign w:val="top"/>
          </w:tcPr>
          <w:p>
            <w:r/>
            <w:r>
              <w:rPr>
                <w:sz w:val="20"/>
              </w:rPr>
              <w:t>Power Pivot conflict</w:t>
            </w:r>
          </w:p>
        </w:tc>
        <w:tc>
          <w:tcPr>
            <w:tcW w:type="dxa" w:w="3456"/>
            <w:vAlign w:val="top"/>
          </w:tcPr>
          <w:p>
            <w:r/>
            <w:r>
              <w:rPr>
                <w:sz w:val="20"/>
              </w:rPr>
              <w:t>troubleshoot/powerpivot-conflict</w:t>
            </w:r>
          </w:p>
        </w:tc>
        <w:tc>
          <w:tcPr>
            <w:tcW w:type="dxa" w:w="1008"/>
            <w:vAlign w:val="top"/>
          </w:tcPr>
          <w:p>
            <w:r/>
            <w:r>
              <w:rPr>
                <w:sz w:val="20"/>
              </w:rPr>
              <w:t>3</w:t>
            </w:r>
          </w:p>
        </w:tc>
      </w:tr>
      <w:tr>
        <w:tc>
          <w:tcPr>
            <w:tcW w:type="dxa" w:w="4896"/>
            <w:vAlign w:val="top"/>
          </w:tcPr>
          <w:p>
            <w:r/>
            <w:r>
              <w:rPr>
                <w:sz w:val="20"/>
              </w:rPr>
              <w:t>Macabacus conflict</w:t>
            </w:r>
          </w:p>
        </w:tc>
        <w:tc>
          <w:tcPr>
            <w:tcW w:type="dxa" w:w="3456"/>
            <w:vAlign w:val="top"/>
          </w:tcPr>
          <w:p>
            <w:r/>
            <w:r>
              <w:rPr>
                <w:sz w:val="20"/>
              </w:rPr>
              <w:t>troubleshoot/macabacus-conflict</w:t>
            </w:r>
          </w:p>
        </w:tc>
        <w:tc>
          <w:tcPr>
            <w:tcW w:type="dxa" w:w="1008"/>
            <w:vAlign w:val="top"/>
          </w:tcPr>
          <w:p>
            <w:r/>
            <w:r>
              <w:rPr>
                <w:sz w:val="20"/>
              </w:rPr>
              <w:t>3</w:t>
            </w:r>
          </w:p>
        </w:tc>
      </w:tr>
      <w:tr>
        <w:tc>
          <w:tcPr>
            <w:tcW w:type="dxa" w:w="4896"/>
            <w:vAlign w:val="top"/>
          </w:tcPr>
          <w:p>
            <w:r/>
            <w:r>
              <w:rPr>
                <w:sz w:val="20"/>
              </w:rPr>
              <w:t>Parallels setup walkthrough</w:t>
            </w:r>
          </w:p>
        </w:tc>
        <w:tc>
          <w:tcPr>
            <w:tcW w:type="dxa" w:w="3456"/>
            <w:vAlign w:val="top"/>
          </w:tcPr>
          <w:p>
            <w:r/>
            <w:r>
              <w:rPr>
                <w:sz w:val="20"/>
              </w:rPr>
              <w:t>troubleshoot/parallels-setup</w:t>
            </w:r>
          </w:p>
        </w:tc>
        <w:tc>
          <w:tcPr>
            <w:tcW w:type="dxa" w:w="1008"/>
            <w:vAlign w:val="top"/>
          </w:tcPr>
          <w:p>
            <w:r/>
            <w:r>
              <w:rPr>
                <w:sz w:val="20"/>
              </w:rPr>
              <w:t>3</w:t>
            </w:r>
          </w:p>
        </w:tc>
      </w:tr>
      <w:tr>
        <w:tc>
          <w:tcPr>
            <w:tcW w:type="dxa" w:w="4896"/>
            <w:vAlign w:val="top"/>
          </w:tcPr>
          <w:p>
            <w:r/>
            <w:r>
              <w:rPr>
                <w:sz w:val="20"/>
              </w:rPr>
              <w:t>AWS WorkSpaces for OfficeConnect</w:t>
            </w:r>
          </w:p>
        </w:tc>
        <w:tc>
          <w:tcPr>
            <w:tcW w:type="dxa" w:w="3456"/>
            <w:vAlign w:val="top"/>
          </w:tcPr>
          <w:p>
            <w:r/>
            <w:r>
              <w:rPr>
                <w:sz w:val="20"/>
              </w:rPr>
              <w:t>troubleshoot/aws-workspaces</w:t>
            </w:r>
          </w:p>
        </w:tc>
        <w:tc>
          <w:tcPr>
            <w:tcW w:type="dxa" w:w="1008"/>
            <w:vAlign w:val="top"/>
          </w:tcPr>
          <w:p>
            <w:r/>
            <w:r>
              <w:rPr>
                <w:sz w:val="20"/>
              </w:rPr>
              <w:t>3</w:t>
            </w:r>
          </w:p>
        </w:tc>
      </w:tr>
      <w:tr>
        <w:tc>
          <w:tcPr>
            <w:tcW w:type="dxa" w:w="4896"/>
            <w:vAlign w:val="top"/>
          </w:tcPr>
          <w:p>
            <w:r/>
            <w:r>
              <w:rPr>
                <w:sz w:val="20"/>
              </w:rPr>
              <w:t>Capturing logs for Workday support</w:t>
            </w:r>
          </w:p>
        </w:tc>
        <w:tc>
          <w:tcPr>
            <w:tcW w:type="dxa" w:w="3456"/>
            <w:vAlign w:val="top"/>
          </w:tcPr>
          <w:p>
            <w:r/>
            <w:r>
              <w:rPr>
                <w:sz w:val="20"/>
              </w:rPr>
              <w:t>troubleshoot/capture-logs</w:t>
            </w:r>
          </w:p>
        </w:tc>
        <w:tc>
          <w:tcPr>
            <w:tcW w:type="dxa" w:w="1008"/>
            <w:vAlign w:val="top"/>
          </w:tcPr>
          <w:p>
            <w:r/>
            <w:r>
              <w:rPr>
                <w:sz w:val="20"/>
              </w:rPr>
              <w:t>3</w:t>
            </w:r>
          </w:p>
        </w:tc>
      </w:tr>
      <w:tr>
        <w:tc>
          <w:tcPr>
            <w:tcW w:type="dxa" w:w="4896"/>
            <w:vAlign w:val="top"/>
          </w:tcPr>
          <w:p>
            <w:r/>
            <w:r>
              <w:rPr>
                <w:sz w:val="20"/>
              </w:rPr>
              <w:t>What to send when you open a Workday ticket</w:t>
            </w:r>
          </w:p>
        </w:tc>
        <w:tc>
          <w:tcPr>
            <w:tcW w:type="dxa" w:w="3456"/>
            <w:vAlign w:val="top"/>
          </w:tcPr>
          <w:p>
            <w:r/>
            <w:r>
              <w:rPr>
                <w:sz w:val="20"/>
              </w:rPr>
              <w:t>troubleshoot/open-workday-ticket</w:t>
            </w:r>
          </w:p>
        </w:tc>
        <w:tc>
          <w:tcPr>
            <w:tcW w:type="dxa" w:w="1008"/>
            <w:vAlign w:val="top"/>
          </w:tcPr>
          <w:p>
            <w:r/>
            <w:r>
              <w:rPr>
                <w:sz w:val="20"/>
              </w:rPr>
              <w:t>3</w:t>
            </w:r>
          </w:p>
        </w:tc>
      </w:tr>
    </w:tbl>
    <w:p>
      <w:pPr>
        <w:pStyle w:val="Heading2"/>
      </w:pPr>
      <w:r>
        <w:t>Migration &amp; Comparison</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OfficeConnect vs Adaptive web reports (decision framework)</w:t>
            </w:r>
          </w:p>
        </w:tc>
        <w:tc>
          <w:tcPr>
            <w:tcW w:type="dxa" w:w="3456"/>
            <w:vAlign w:val="top"/>
          </w:tcPr>
          <w:p>
            <w:r/>
            <w:r>
              <w:rPr>
                <w:sz w:val="20"/>
              </w:rPr>
              <w:t>migration-comparison/oc-vs-web-reports</w:t>
            </w:r>
          </w:p>
        </w:tc>
        <w:tc>
          <w:tcPr>
            <w:tcW w:type="dxa" w:w="1008"/>
            <w:vAlign w:val="top"/>
          </w:tcPr>
          <w:p>
            <w:r/>
            <w:r>
              <w:rPr>
                <w:sz w:val="20"/>
              </w:rPr>
              <w:t>1 (cross-listed in Get Started)</w:t>
            </w:r>
          </w:p>
        </w:tc>
      </w:tr>
      <w:tr>
        <w:tc>
          <w:tcPr>
            <w:tcW w:type="dxa" w:w="4896"/>
            <w:vAlign w:val="top"/>
          </w:tcPr>
          <w:p>
            <w:r/>
            <w:r>
              <w:rPr>
                <w:sz w:val="20"/>
              </w:rPr>
              <w:t>Migrating from Hyperion SmartView</w:t>
            </w:r>
          </w:p>
        </w:tc>
        <w:tc>
          <w:tcPr>
            <w:tcW w:type="dxa" w:w="3456"/>
            <w:vAlign w:val="top"/>
          </w:tcPr>
          <w:p>
            <w:r/>
            <w:r>
              <w:rPr>
                <w:sz w:val="20"/>
              </w:rPr>
              <w:t>migration-comparison/from-smartview</w:t>
            </w:r>
          </w:p>
        </w:tc>
        <w:tc>
          <w:tcPr>
            <w:tcW w:type="dxa" w:w="1008"/>
            <w:vAlign w:val="top"/>
          </w:tcPr>
          <w:p>
            <w:r/>
            <w:r>
              <w:rPr>
                <w:sz w:val="20"/>
              </w:rPr>
              <w:t>3</w:t>
            </w:r>
          </w:p>
        </w:tc>
      </w:tr>
      <w:tr>
        <w:tc>
          <w:tcPr>
            <w:tcW w:type="dxa" w:w="4896"/>
            <w:vAlign w:val="top"/>
          </w:tcPr>
          <w:p>
            <w:r/>
            <w:r>
              <w:rPr>
                <w:sz w:val="20"/>
              </w:rPr>
              <w:t>Migrating from OneStream</w:t>
            </w:r>
          </w:p>
        </w:tc>
        <w:tc>
          <w:tcPr>
            <w:tcW w:type="dxa" w:w="3456"/>
            <w:vAlign w:val="top"/>
          </w:tcPr>
          <w:p>
            <w:r/>
            <w:r>
              <w:rPr>
                <w:sz w:val="20"/>
              </w:rPr>
              <w:t>migration-comparison/from-onestream</w:t>
            </w:r>
          </w:p>
        </w:tc>
        <w:tc>
          <w:tcPr>
            <w:tcW w:type="dxa" w:w="1008"/>
            <w:vAlign w:val="top"/>
          </w:tcPr>
          <w:p>
            <w:r/>
            <w:r>
              <w:rPr>
                <w:sz w:val="20"/>
              </w:rPr>
              <w:t>3</w:t>
            </w:r>
          </w:p>
        </w:tc>
      </w:tr>
      <w:tr>
        <w:tc>
          <w:tcPr>
            <w:tcW w:type="dxa" w:w="4896"/>
            <w:vAlign w:val="top"/>
          </w:tcPr>
          <w:p>
            <w:r/>
            <w:r>
              <w:rPr>
                <w:sz w:val="20"/>
              </w:rPr>
              <w:t>Migrating from Vena</w:t>
            </w:r>
          </w:p>
        </w:tc>
        <w:tc>
          <w:tcPr>
            <w:tcW w:type="dxa" w:w="3456"/>
            <w:vAlign w:val="top"/>
          </w:tcPr>
          <w:p>
            <w:r/>
            <w:r>
              <w:rPr>
                <w:sz w:val="20"/>
              </w:rPr>
              <w:t>migration-comparison/from-vena</w:t>
            </w:r>
          </w:p>
        </w:tc>
        <w:tc>
          <w:tcPr>
            <w:tcW w:type="dxa" w:w="1008"/>
            <w:vAlign w:val="top"/>
          </w:tcPr>
          <w:p>
            <w:r/>
            <w:r>
              <w:rPr>
                <w:sz w:val="20"/>
              </w:rPr>
              <w:t>3</w:t>
            </w:r>
          </w:p>
        </w:tc>
      </w:tr>
      <w:tr>
        <w:tc>
          <w:tcPr>
            <w:tcW w:type="dxa" w:w="4896"/>
            <w:vAlign w:val="top"/>
          </w:tcPr>
          <w:p>
            <w:r/>
            <w:r>
              <w:rPr>
                <w:sz w:val="20"/>
              </w:rPr>
              <w:t>Migrating from Anaplan</w:t>
            </w:r>
          </w:p>
        </w:tc>
        <w:tc>
          <w:tcPr>
            <w:tcW w:type="dxa" w:w="3456"/>
            <w:vAlign w:val="top"/>
          </w:tcPr>
          <w:p>
            <w:r/>
            <w:r>
              <w:rPr>
                <w:sz w:val="20"/>
              </w:rPr>
              <w:t>migration-comparison/from-anaplan</w:t>
            </w:r>
          </w:p>
        </w:tc>
        <w:tc>
          <w:tcPr>
            <w:tcW w:type="dxa" w:w="1008"/>
            <w:vAlign w:val="top"/>
          </w:tcPr>
          <w:p>
            <w:r/>
            <w:r>
              <w:rPr>
                <w:sz w:val="20"/>
              </w:rPr>
              <w:t>3</w:t>
            </w:r>
          </w:p>
        </w:tc>
      </w:tr>
      <w:tr>
        <w:tc>
          <w:tcPr>
            <w:tcW w:type="dxa" w:w="4896"/>
            <w:vAlign w:val="top"/>
          </w:tcPr>
          <w:p>
            <w:r/>
            <w:r>
              <w:rPr>
                <w:sz w:val="20"/>
              </w:rPr>
              <w:t>Replacing macro-heavy Excel workbooks</w:t>
            </w:r>
          </w:p>
        </w:tc>
        <w:tc>
          <w:tcPr>
            <w:tcW w:type="dxa" w:w="3456"/>
            <w:vAlign w:val="top"/>
          </w:tcPr>
          <w:p>
            <w:r/>
            <w:r>
              <w:rPr>
                <w:sz w:val="20"/>
              </w:rPr>
              <w:t>migration-comparison/replacing-macros</w:t>
            </w:r>
          </w:p>
        </w:tc>
        <w:tc>
          <w:tcPr>
            <w:tcW w:type="dxa" w:w="1008"/>
            <w:vAlign w:val="top"/>
          </w:tcPr>
          <w:p>
            <w:r/>
            <w:r>
              <w:rPr>
                <w:sz w:val="20"/>
              </w:rPr>
              <w:t>3</w:t>
            </w:r>
          </w:p>
        </w:tc>
      </w:tr>
      <w:tr>
        <w:tc>
          <w:tcPr>
            <w:tcW w:type="dxa" w:w="4896"/>
            <w:vAlign w:val="top"/>
          </w:tcPr>
          <w:p>
            <w:r/>
            <w:r>
              <w:rPr>
                <w:sz w:val="20"/>
              </w:rPr>
              <w:t>OfficeConnect vs native Excel power tools</w:t>
            </w:r>
          </w:p>
        </w:tc>
        <w:tc>
          <w:tcPr>
            <w:tcW w:type="dxa" w:w="3456"/>
            <w:vAlign w:val="top"/>
          </w:tcPr>
          <w:p>
            <w:r/>
            <w:r>
              <w:rPr>
                <w:sz w:val="20"/>
              </w:rPr>
              <w:t>migration-comparison/vs-excel-power-tools</w:t>
            </w:r>
          </w:p>
        </w:tc>
        <w:tc>
          <w:tcPr>
            <w:tcW w:type="dxa" w:w="1008"/>
            <w:vAlign w:val="top"/>
          </w:tcPr>
          <w:p>
            <w:r/>
            <w:r>
              <w:rPr>
                <w:sz w:val="20"/>
              </w:rPr>
              <w:t>3</w:t>
            </w:r>
          </w:p>
        </w:tc>
      </w:tr>
    </w:tbl>
    <w:p>
      <w:pPr>
        <w:pStyle w:val="Heading2"/>
      </w:pPr>
      <w:r>
        <w:t>What's New</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What's new in OfficeConnect 2026R1</w:t>
            </w:r>
          </w:p>
        </w:tc>
        <w:tc>
          <w:tcPr>
            <w:tcW w:type="dxa" w:w="3456"/>
            <w:vAlign w:val="top"/>
          </w:tcPr>
          <w:p>
            <w:r/>
            <w:r>
              <w:rPr>
                <w:sz w:val="20"/>
              </w:rPr>
              <w:t>whats-new/2026r1</w:t>
            </w:r>
          </w:p>
        </w:tc>
        <w:tc>
          <w:tcPr>
            <w:tcW w:type="dxa" w:w="1008"/>
            <w:vAlign w:val="top"/>
          </w:tcPr>
          <w:p>
            <w:r/>
            <w:r>
              <w:rPr>
                <w:sz w:val="20"/>
              </w:rPr>
              <w:t>1</w:t>
            </w:r>
          </w:p>
        </w:tc>
      </w:tr>
      <w:tr>
        <w:tc>
          <w:tcPr>
            <w:tcW w:type="dxa" w:w="4896"/>
            <w:vAlign w:val="top"/>
          </w:tcPr>
          <w:p>
            <w:r/>
            <w:r>
              <w:rPr>
                <w:sz w:val="20"/>
              </w:rPr>
              <w:t>View By: open cell data in a new sheet (2026R1)</w:t>
            </w:r>
          </w:p>
        </w:tc>
        <w:tc>
          <w:tcPr>
            <w:tcW w:type="dxa" w:w="3456"/>
            <w:vAlign w:val="top"/>
          </w:tcPr>
          <w:p>
            <w:r/>
            <w:r>
              <w:rPr>
                <w:sz w:val="20"/>
              </w:rPr>
              <w:t>whats-new/2026r1-view-by</w:t>
            </w:r>
          </w:p>
        </w:tc>
        <w:tc>
          <w:tcPr>
            <w:tcW w:type="dxa" w:w="1008"/>
            <w:vAlign w:val="top"/>
          </w:tcPr>
          <w:p>
            <w:r/>
            <w:r>
              <w:rPr>
                <w:sz w:val="20"/>
              </w:rPr>
              <w:t>1</w:t>
            </w:r>
          </w:p>
        </w:tc>
      </w:tr>
      <w:tr>
        <w:tc>
          <w:tcPr>
            <w:tcW w:type="dxa" w:w="4896"/>
            <w:vAlign w:val="top"/>
          </w:tcPr>
          <w:p>
            <w:r/>
            <w:r>
              <w:rPr>
                <w:sz w:val="20"/>
              </w:rPr>
              <w:t>Personal what-if scenarios (2026R1)</w:t>
            </w:r>
          </w:p>
        </w:tc>
        <w:tc>
          <w:tcPr>
            <w:tcW w:type="dxa" w:w="3456"/>
            <w:vAlign w:val="top"/>
          </w:tcPr>
          <w:p>
            <w:r/>
            <w:r>
              <w:rPr>
                <w:sz w:val="20"/>
              </w:rPr>
              <w:t>whats-new/2026r1-personal-scenarios</w:t>
            </w:r>
          </w:p>
        </w:tc>
        <w:tc>
          <w:tcPr>
            <w:tcW w:type="dxa" w:w="1008"/>
            <w:vAlign w:val="top"/>
          </w:tcPr>
          <w:p>
            <w:r/>
            <w:r>
              <w:rPr>
                <w:sz w:val="20"/>
              </w:rPr>
              <w:t>1</w:t>
            </w:r>
          </w:p>
        </w:tc>
      </w:tr>
      <w:tr>
        <w:tc>
          <w:tcPr>
            <w:tcW w:type="dxa" w:w="4896"/>
            <w:vAlign w:val="top"/>
          </w:tcPr>
          <w:p>
            <w:r/>
            <w:r>
              <w:rPr>
                <w:sz w:val="20"/>
              </w:rPr>
              <w:t>What's new in 2025R2</w:t>
            </w:r>
          </w:p>
        </w:tc>
        <w:tc>
          <w:tcPr>
            <w:tcW w:type="dxa" w:w="3456"/>
            <w:vAlign w:val="top"/>
          </w:tcPr>
          <w:p>
            <w:r/>
            <w:r>
              <w:rPr>
                <w:sz w:val="20"/>
              </w:rPr>
              <w:t>whats-new/2025r2</w:t>
            </w:r>
          </w:p>
        </w:tc>
        <w:tc>
          <w:tcPr>
            <w:tcW w:type="dxa" w:w="1008"/>
            <w:vAlign w:val="top"/>
          </w:tcPr>
          <w:p>
            <w:r/>
            <w:r>
              <w:rPr>
                <w:sz w:val="20"/>
              </w:rPr>
              <w:t>3</w:t>
            </w:r>
          </w:p>
        </w:tc>
      </w:tr>
      <w:tr>
        <w:tc>
          <w:tcPr>
            <w:tcW w:type="dxa" w:w="4896"/>
            <w:vAlign w:val="top"/>
          </w:tcPr>
          <w:p>
            <w:r/>
            <w:r>
              <w:rPr>
                <w:sz w:val="20"/>
              </w:rPr>
              <w:t>Write-back retrospective (2025R1)</w:t>
            </w:r>
          </w:p>
        </w:tc>
        <w:tc>
          <w:tcPr>
            <w:tcW w:type="dxa" w:w="3456"/>
            <w:vAlign w:val="top"/>
          </w:tcPr>
          <w:p>
            <w:r/>
            <w:r>
              <w:rPr>
                <w:sz w:val="20"/>
              </w:rPr>
              <w:t>whats-new/2025r1-writeback-retro</w:t>
            </w:r>
          </w:p>
        </w:tc>
        <w:tc>
          <w:tcPr>
            <w:tcW w:type="dxa" w:w="1008"/>
            <w:vAlign w:val="top"/>
          </w:tcPr>
          <w:p>
            <w:r/>
            <w:r>
              <w:rPr>
                <w:sz w:val="20"/>
              </w:rPr>
              <w:t>3</w:t>
            </w:r>
          </w:p>
        </w:tc>
      </w:tr>
      <w:tr>
        <w:tc>
          <w:tcPr>
            <w:tcW w:type="dxa" w:w="4896"/>
            <w:vAlign w:val="top"/>
          </w:tcPr>
          <w:p>
            <w:r/>
            <w:r>
              <w:rPr>
                <w:sz w:val="20"/>
              </w:rPr>
              <w:t>Release-notes archive index</w:t>
            </w:r>
          </w:p>
        </w:tc>
        <w:tc>
          <w:tcPr>
            <w:tcW w:type="dxa" w:w="3456"/>
            <w:vAlign w:val="top"/>
          </w:tcPr>
          <w:p>
            <w:r/>
            <w:r>
              <w:rPr>
                <w:sz w:val="20"/>
              </w:rPr>
              <w:t>whats-new/archive</w:t>
            </w:r>
          </w:p>
        </w:tc>
        <w:tc>
          <w:tcPr>
            <w:tcW w:type="dxa" w:w="1008"/>
            <w:vAlign w:val="top"/>
          </w:tcPr>
          <w:p>
            <w:r/>
            <w:r>
              <w:rPr>
                <w:sz w:val="20"/>
              </w:rPr>
              <w:t>3</w:t>
            </w:r>
          </w:p>
        </w:tc>
      </w:tr>
    </w:tbl>
    <w:p>
      <w:pPr>
        <w:pStyle w:val="Heading2"/>
      </w:pPr>
      <w:r>
        <w:t>Reference</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The OfficeConnect glossary</w:t>
            </w:r>
          </w:p>
        </w:tc>
        <w:tc>
          <w:tcPr>
            <w:tcW w:type="dxa" w:w="3456"/>
            <w:vAlign w:val="top"/>
          </w:tcPr>
          <w:p>
            <w:r/>
            <w:r>
              <w:rPr>
                <w:sz w:val="20"/>
              </w:rPr>
              <w:t>reference/glossary</w:t>
            </w:r>
          </w:p>
        </w:tc>
        <w:tc>
          <w:tcPr>
            <w:tcW w:type="dxa" w:w="1008"/>
            <w:vAlign w:val="top"/>
          </w:tcPr>
          <w:p>
            <w:r/>
            <w:r>
              <w:rPr>
                <w:sz w:val="20"/>
              </w:rPr>
              <w:t>1</w:t>
            </w:r>
          </w:p>
        </w:tc>
      </w:tr>
      <w:tr>
        <w:tc>
          <w:tcPr>
            <w:tcW w:type="dxa" w:w="4896"/>
            <w:vAlign w:val="top"/>
          </w:tcPr>
          <w:p>
            <w:r/>
            <w:r>
              <w:rPr>
                <w:sz w:val="20"/>
              </w:rPr>
              <w:t>OfficeConnect formula reference</w:t>
            </w:r>
          </w:p>
        </w:tc>
        <w:tc>
          <w:tcPr>
            <w:tcW w:type="dxa" w:w="3456"/>
            <w:vAlign w:val="top"/>
          </w:tcPr>
          <w:p>
            <w:r/>
            <w:r>
              <w:rPr>
                <w:sz w:val="20"/>
              </w:rPr>
              <w:t>reference/formula-reference</w:t>
            </w:r>
          </w:p>
        </w:tc>
        <w:tc>
          <w:tcPr>
            <w:tcW w:type="dxa" w:w="1008"/>
            <w:vAlign w:val="top"/>
          </w:tcPr>
          <w:p>
            <w:r/>
            <w:r>
              <w:rPr>
                <w:sz w:val="20"/>
              </w:rPr>
              <w:t>1</w:t>
            </w:r>
          </w:p>
        </w:tc>
      </w:tr>
      <w:tr>
        <w:tc>
          <w:tcPr>
            <w:tcW w:type="dxa" w:w="4896"/>
            <w:vAlign w:val="top"/>
          </w:tcPr>
          <w:p>
            <w:r/>
            <w:r>
              <w:rPr>
                <w:sz w:val="20"/>
              </w:rPr>
              <w:t>Element types reference</w:t>
            </w:r>
          </w:p>
        </w:tc>
        <w:tc>
          <w:tcPr>
            <w:tcW w:type="dxa" w:w="3456"/>
            <w:vAlign w:val="top"/>
          </w:tcPr>
          <w:p>
            <w:r/>
            <w:r>
              <w:rPr>
                <w:sz w:val="20"/>
              </w:rPr>
              <w:t>reference/element-types</w:t>
            </w:r>
          </w:p>
        </w:tc>
        <w:tc>
          <w:tcPr>
            <w:tcW w:type="dxa" w:w="1008"/>
            <w:vAlign w:val="top"/>
          </w:tcPr>
          <w:p>
            <w:r/>
            <w:r>
              <w:rPr>
                <w:sz w:val="20"/>
              </w:rPr>
              <w:t>1</w:t>
            </w:r>
          </w:p>
        </w:tc>
      </w:tr>
      <w:tr>
        <w:tc>
          <w:tcPr>
            <w:tcW w:type="dxa" w:w="4896"/>
            <w:vAlign w:val="top"/>
          </w:tcPr>
          <w:p>
            <w:r/>
            <w:r>
              <w:rPr>
                <w:sz w:val="20"/>
              </w:rPr>
              <w:t>Version compatibility matrix</w:t>
            </w:r>
          </w:p>
        </w:tc>
        <w:tc>
          <w:tcPr>
            <w:tcW w:type="dxa" w:w="3456"/>
            <w:vAlign w:val="top"/>
          </w:tcPr>
          <w:p>
            <w:r/>
            <w:r>
              <w:rPr>
                <w:sz w:val="20"/>
              </w:rPr>
              <w:t>reference/version-compatibility</w:t>
            </w:r>
          </w:p>
        </w:tc>
        <w:tc>
          <w:tcPr>
            <w:tcW w:type="dxa" w:w="1008"/>
            <w:vAlign w:val="top"/>
          </w:tcPr>
          <w:p>
            <w:r/>
            <w:r>
              <w:rPr>
                <w:sz w:val="20"/>
              </w:rPr>
              <w:t>1</w:t>
            </w:r>
          </w:p>
        </w:tc>
      </w:tr>
      <w:tr>
        <w:tc>
          <w:tcPr>
            <w:tcW w:type="dxa" w:w="4896"/>
            <w:vAlign w:val="top"/>
          </w:tcPr>
          <w:p>
            <w:r/>
            <w:r>
              <w:rPr>
                <w:sz w:val="20"/>
              </w:rPr>
              <w:t>Filter behavior reference</w:t>
            </w:r>
          </w:p>
        </w:tc>
        <w:tc>
          <w:tcPr>
            <w:tcW w:type="dxa" w:w="3456"/>
            <w:vAlign w:val="top"/>
          </w:tcPr>
          <w:p>
            <w:r/>
            <w:r>
              <w:rPr>
                <w:sz w:val="20"/>
              </w:rPr>
              <w:t>reference/filter-behavior</w:t>
            </w:r>
          </w:p>
        </w:tc>
        <w:tc>
          <w:tcPr>
            <w:tcW w:type="dxa" w:w="1008"/>
            <w:vAlign w:val="top"/>
          </w:tcPr>
          <w:p>
            <w:r/>
            <w:r>
              <w:rPr>
                <w:sz w:val="20"/>
              </w:rPr>
              <w:t>3</w:t>
            </w:r>
          </w:p>
        </w:tc>
      </w:tr>
      <w:tr>
        <w:tc>
          <w:tcPr>
            <w:tcW w:type="dxa" w:w="4896"/>
            <w:vAlign w:val="top"/>
          </w:tcPr>
          <w:p>
            <w:r/>
            <w:r>
              <w:rPr>
                <w:sz w:val="20"/>
              </w:rPr>
              <w:t>Time context tokens cheat sheet</w:t>
            </w:r>
          </w:p>
        </w:tc>
        <w:tc>
          <w:tcPr>
            <w:tcW w:type="dxa" w:w="3456"/>
            <w:vAlign w:val="top"/>
          </w:tcPr>
          <w:p>
            <w:r/>
            <w:r>
              <w:rPr>
                <w:sz w:val="20"/>
              </w:rPr>
              <w:t>reference/time-context-tokens</w:t>
            </w:r>
          </w:p>
        </w:tc>
        <w:tc>
          <w:tcPr>
            <w:tcW w:type="dxa" w:w="1008"/>
            <w:vAlign w:val="top"/>
          </w:tcPr>
          <w:p>
            <w:r/>
            <w:r>
              <w:rPr>
                <w:sz w:val="20"/>
              </w:rPr>
              <w:t>3</w:t>
            </w:r>
          </w:p>
        </w:tc>
      </w:tr>
      <w:tr>
        <w:tc>
          <w:tcPr>
            <w:tcW w:type="dxa" w:w="4896"/>
            <w:vAlign w:val="top"/>
          </w:tcPr>
          <w:p>
            <w:r/>
            <w:r>
              <w:rPr>
                <w:sz w:val="20"/>
              </w:rPr>
              <w:t>Keyboard shortcuts</w:t>
            </w:r>
          </w:p>
        </w:tc>
        <w:tc>
          <w:tcPr>
            <w:tcW w:type="dxa" w:w="3456"/>
            <w:vAlign w:val="top"/>
          </w:tcPr>
          <w:p>
            <w:r/>
            <w:r>
              <w:rPr>
                <w:sz w:val="20"/>
              </w:rPr>
              <w:t>reference/keyboard-shortcuts</w:t>
            </w:r>
          </w:p>
        </w:tc>
        <w:tc>
          <w:tcPr>
            <w:tcW w:type="dxa" w:w="1008"/>
            <w:vAlign w:val="top"/>
          </w:tcPr>
          <w:p>
            <w:r/>
            <w:r>
              <w:rPr>
                <w:sz w:val="20"/>
              </w:rPr>
              <w:t>3</w:t>
            </w:r>
          </w:p>
        </w:tc>
      </w:tr>
      <w:tr>
        <w:tc>
          <w:tcPr>
            <w:tcW w:type="dxa" w:w="4896"/>
            <w:vAlign w:val="top"/>
          </w:tcPr>
          <w:p>
            <w:r/>
            <w:r>
              <w:rPr>
                <w:sz w:val="20"/>
              </w:rPr>
              <w:t>Ribbon command reference</w:t>
            </w:r>
          </w:p>
        </w:tc>
        <w:tc>
          <w:tcPr>
            <w:tcW w:type="dxa" w:w="3456"/>
            <w:vAlign w:val="top"/>
          </w:tcPr>
          <w:p>
            <w:r/>
            <w:r>
              <w:rPr>
                <w:sz w:val="20"/>
              </w:rPr>
              <w:t>reference/ribbon-commands</w:t>
            </w:r>
          </w:p>
        </w:tc>
        <w:tc>
          <w:tcPr>
            <w:tcW w:type="dxa" w:w="1008"/>
            <w:vAlign w:val="top"/>
          </w:tcPr>
          <w:p>
            <w:r/>
            <w:r>
              <w:rPr>
                <w:sz w:val="20"/>
              </w:rPr>
              <w:t>3</w:t>
            </w:r>
          </w:p>
        </w:tc>
      </w:tr>
      <w:tr>
        <w:tc>
          <w:tcPr>
            <w:tcW w:type="dxa" w:w="4896"/>
            <w:vAlign w:val="top"/>
          </w:tcPr>
          <w:p>
            <w:r/>
            <w:r>
              <w:rPr>
                <w:sz w:val="20"/>
              </w:rPr>
              <w:t>Network endpoints reference</w:t>
            </w:r>
          </w:p>
        </w:tc>
        <w:tc>
          <w:tcPr>
            <w:tcW w:type="dxa" w:w="3456"/>
            <w:vAlign w:val="top"/>
          </w:tcPr>
          <w:p>
            <w:r/>
            <w:r>
              <w:rPr>
                <w:sz w:val="20"/>
              </w:rPr>
              <w:t>reference/network-endpoints</w:t>
            </w:r>
          </w:p>
        </w:tc>
        <w:tc>
          <w:tcPr>
            <w:tcW w:type="dxa" w:w="1008"/>
            <w:vAlign w:val="top"/>
          </w:tcPr>
          <w:p>
            <w:r/>
            <w:r>
              <w:rPr>
                <w:sz w:val="20"/>
              </w:rPr>
              <w:t>3</w:t>
            </w:r>
          </w:p>
        </w:tc>
      </w:tr>
    </w:tbl>
    <w:p>
      <w:pPr>
        <w:pStyle w:val="Heading2"/>
      </w:pPr>
      <w:r>
        <w:t>Resources (utility section)</w:t>
      </w:r>
    </w:p>
    <w:tbl>
      <w:tblPr>
        <w:tblW w:type="auto" w:w="0"/>
        <w:jc w:val="center"/>
        <w:tblLayout w:type="fixed"/>
        <w:tblLook w:firstColumn="1" w:firstRow="1" w:lastColumn="0" w:lastRow="0" w:noHBand="0" w:noVBand="1" w:val="04A0"/>
        <w:tblBorders>
          <w:top w:val="single" w:sz="4" w:color="D4D4D8"/>
          <w:left w:val="single" w:sz="4" w:color="D4D4D8"/>
          <w:bottom w:val="single" w:sz="4" w:color="D4D4D8"/>
          <w:right w:val="single" w:sz="4" w:color="D4D4D8"/>
          <w:insideH w:val="single" w:sz="4" w:color="D4D4D8"/>
          <w:insideV w:val="single" w:sz="4" w:color="D4D4D8"/>
        </w:tblBorders>
      </w:tblPr>
      <w:tblGrid>
        <w:gridCol w:w="3120"/>
        <w:gridCol w:w="3120"/>
        <w:gridCol w:w="3120"/>
      </w:tblGrid>
      <w:tr>
        <w:tc>
          <w:tcPr>
            <w:tcW w:type="dxa" w:w="4896"/>
            <w:shd w:val="clear" w:color="auto" w:fill="18181B"/>
            <w:vAlign w:val="center"/>
          </w:tcPr>
          <w:p>
            <w:r/>
            <w:r>
              <w:rPr>
                <w:b/>
                <w:color w:val="FFFFFF"/>
                <w:sz w:val="20"/>
              </w:rPr>
              <w:t>Title</w:t>
            </w:r>
          </w:p>
        </w:tc>
        <w:tc>
          <w:tcPr>
            <w:tcW w:type="dxa" w:w="3456"/>
            <w:shd w:val="clear" w:color="auto" w:fill="18181B"/>
            <w:vAlign w:val="center"/>
          </w:tcPr>
          <w:p>
            <w:r/>
            <w:r>
              <w:rPr>
                <w:b/>
                <w:color w:val="FFFFFF"/>
                <w:sz w:val="20"/>
              </w:rPr>
              <w:t>Slug</w:t>
            </w:r>
          </w:p>
        </w:tc>
        <w:tc>
          <w:tcPr>
            <w:tcW w:type="dxa" w:w="1008"/>
            <w:shd w:val="clear" w:color="auto" w:fill="18181B"/>
            <w:vAlign w:val="center"/>
          </w:tcPr>
          <w:p>
            <w:r/>
            <w:r>
              <w:rPr>
                <w:b/>
                <w:color w:val="FFFFFF"/>
                <w:sz w:val="20"/>
              </w:rPr>
              <w:t>Phase</w:t>
            </w:r>
          </w:p>
        </w:tc>
      </w:tr>
      <w:tr>
        <w:tc>
          <w:tcPr>
            <w:tcW w:type="dxa" w:w="4896"/>
            <w:vAlign w:val="top"/>
          </w:tcPr>
          <w:p>
            <w:r/>
            <w:r>
              <w:rPr>
                <w:sz w:val="20"/>
              </w:rPr>
              <w:t>Downloadable workbook templates</w:t>
            </w:r>
          </w:p>
        </w:tc>
        <w:tc>
          <w:tcPr>
            <w:tcW w:type="dxa" w:w="3456"/>
            <w:vAlign w:val="top"/>
          </w:tcPr>
          <w:p>
            <w:r/>
            <w:r>
              <w:rPr>
                <w:sz w:val="20"/>
              </w:rPr>
              <w:t>resources/templates</w:t>
            </w:r>
          </w:p>
        </w:tc>
        <w:tc>
          <w:tcPr>
            <w:tcW w:type="dxa" w:w="1008"/>
            <w:vAlign w:val="top"/>
          </w:tcPr>
          <w:p>
            <w:r/>
            <w:r>
              <w:rPr>
                <w:sz w:val="20"/>
              </w:rPr>
              <w:t>3</w:t>
            </w:r>
          </w:p>
        </w:tc>
      </w:tr>
      <w:tr>
        <w:tc>
          <w:tcPr>
            <w:tcW w:type="dxa" w:w="4896"/>
            <w:vAlign w:val="top"/>
          </w:tcPr>
          <w:p>
            <w:r/>
            <w:r>
              <w:rPr>
                <w:sz w:val="20"/>
              </w:rPr>
              <w:t>PDF cheat sheets</w:t>
            </w:r>
          </w:p>
        </w:tc>
        <w:tc>
          <w:tcPr>
            <w:tcW w:type="dxa" w:w="3456"/>
            <w:vAlign w:val="top"/>
          </w:tcPr>
          <w:p>
            <w:r/>
            <w:r>
              <w:rPr>
                <w:sz w:val="20"/>
              </w:rPr>
              <w:t>resources/cheat-sheets</w:t>
            </w:r>
          </w:p>
        </w:tc>
        <w:tc>
          <w:tcPr>
            <w:tcW w:type="dxa" w:w="1008"/>
            <w:vAlign w:val="top"/>
          </w:tcPr>
          <w:p>
            <w:r/>
            <w:r>
              <w:rPr>
                <w:sz w:val="20"/>
              </w:rPr>
              <w:t>3</w:t>
            </w:r>
          </w:p>
        </w:tc>
      </w:tr>
      <w:tr>
        <w:tc>
          <w:tcPr>
            <w:tcW w:type="dxa" w:w="4896"/>
            <w:vAlign w:val="top"/>
          </w:tcPr>
          <w:p>
            <w:r/>
            <w:r>
              <w:rPr>
                <w:sz w:val="20"/>
              </w:rPr>
              <w:t>Video library / playlist</w:t>
            </w:r>
          </w:p>
        </w:tc>
        <w:tc>
          <w:tcPr>
            <w:tcW w:type="dxa" w:w="3456"/>
            <w:vAlign w:val="top"/>
          </w:tcPr>
          <w:p>
            <w:r/>
            <w:r>
              <w:rPr>
                <w:sz w:val="20"/>
              </w:rPr>
              <w:t>resources/videos</w:t>
            </w:r>
          </w:p>
        </w:tc>
        <w:tc>
          <w:tcPr>
            <w:tcW w:type="dxa" w:w="1008"/>
            <w:vAlign w:val="top"/>
          </w:tcPr>
          <w:p>
            <w:r/>
            <w:r>
              <w:rPr>
                <w:sz w:val="20"/>
              </w:rPr>
              <w:t>3</w:t>
            </w:r>
          </w:p>
        </w:tc>
      </w:tr>
      <w:tr>
        <w:tc>
          <w:tcPr>
            <w:tcW w:type="dxa" w:w="4896"/>
            <w:vAlign w:val="top"/>
          </w:tcPr>
          <w:p>
            <w:r/>
            <w:r>
              <w:rPr>
                <w:sz w:val="20"/>
              </w:rPr>
              <w:t>Sample tenant data set</w:t>
            </w:r>
          </w:p>
        </w:tc>
        <w:tc>
          <w:tcPr>
            <w:tcW w:type="dxa" w:w="3456"/>
            <w:vAlign w:val="top"/>
          </w:tcPr>
          <w:p>
            <w:r/>
            <w:r>
              <w:rPr>
                <w:sz w:val="20"/>
              </w:rPr>
              <w:t>resources/sample-data</w:t>
            </w:r>
          </w:p>
        </w:tc>
        <w:tc>
          <w:tcPr>
            <w:tcW w:type="dxa" w:w="1008"/>
            <w:vAlign w:val="top"/>
          </w:tcPr>
          <w:p>
            <w:r/>
            <w:r>
              <w:rPr>
                <w:sz w:val="20"/>
              </w:rPr>
              <w:t>3</w:t>
            </w:r>
          </w:p>
        </w:tc>
      </w:tr>
    </w:tbl>
    <w:p>
      <w:r>
        <w:br w:type="page"/>
      </w:r>
    </w:p>
    <w:p>
      <w:pPr>
        <w:pStyle w:val="Heading1"/>
      </w:pPr>
      <w:r>
        <w:t>Appendix B — Revised tag taxonomy</w:t>
      </w:r>
    </w:p>
    <w:p>
      <w:r>
        <w:rPr>
          <w:b w:val="0"/>
          <w:i w:val="0"/>
        </w:rPr>
        <w:t>Every article must carry at least one tag from each of the first three axes. Skill level is optional but recommended for tutorials.</w:t>
      </w:r>
    </w:p>
    <w:p>
      <w:pPr>
        <w:pStyle w:val="Heading3"/>
      </w:pPr>
      <w:r>
        <w:t>Axis 1 — Topic</w:t>
      </w:r>
    </w:p>
    <w:p>
      <w:r>
        <w:rPr>
          <w:b w:val="0"/>
          <w:i w:val="0"/>
        </w:rPr>
        <w:t>adaptive-planning · financials · reporting · data-entry · write-back · sharing · performance · security · sso · deployment · integration · upgrade · governance</w:t>
      </w:r>
    </w:p>
    <w:p>
      <w:pPr>
        <w:pStyle w:val="Heading3"/>
      </w:pPr>
      <w:r>
        <w:t>Axis 2 — Audience</w:t>
      </w:r>
    </w:p>
    <w:p>
      <w:r>
        <w:rPr>
          <w:b w:val="0"/>
          <w:i w:val="0"/>
        </w:rPr>
        <w:t>fp-and-a · it-admin · consultant · executive</w:t>
      </w:r>
    </w:p>
    <w:p>
      <w:pPr>
        <w:pStyle w:val="Heading3"/>
      </w:pPr>
      <w:r>
        <w:t>Axis 3 — Content type</w:t>
      </w:r>
    </w:p>
    <w:p>
      <w:r>
        <w:rPr>
          <w:b w:val="0"/>
          <w:i w:val="0"/>
        </w:rPr>
        <w:t>tutorial · recipe · reference · troubleshoot · comparison · release-notes · how-to</w:t>
      </w:r>
    </w:p>
    <w:p>
      <w:pPr>
        <w:pStyle w:val="Heading3"/>
      </w:pPr>
      <w:r>
        <w:t>Axis 4 — Skill level (optional)</w:t>
      </w:r>
    </w:p>
    <w:p>
      <w:r>
        <w:rPr>
          <w:b w:val="0"/>
          <w:i w:val="0"/>
        </w:rPr>
        <w:t>beginner · intermediate · advanced</w:t>
      </w:r>
    </w:p>
    <w:p/>
    <w:p>
      <w:r>
        <w:rPr>
          <w:b w:val="0"/>
          <w:i w:val="0"/>
        </w:rPr>
        <w:t>Front-matter example for build-reports/quarterly-board-pack:</w:t>
      </w:r>
    </w:p>
    <w:p>
      <w:r>
        <w:rPr>
          <w:b w:val="0"/>
          <w:i/>
        </w:rPr>
        <w:t>tags: [reporting, financials, fp-and-a, recipe, intermediate]</w:t>
      </w:r>
    </w:p>
    <w:p>
      <w:r>
        <w:br w:type="page"/>
      </w:r>
    </w:p>
    <w:p>
      <w:pPr>
        <w:pStyle w:val="Heading1"/>
      </w:pPr>
      <w:r>
        <w:t>Appendix C — Research sources</w:t>
      </w:r>
    </w:p>
    <w:p>
      <w:r>
        <w:rPr>
          <w:b w:val="0"/>
          <w:i w:val="0"/>
        </w:rPr>
        <w:t>Workday official:</w:t>
      </w:r>
    </w:p>
    <w:p>
      <w:pPr>
        <w:pStyle w:val="ListBullet"/>
      </w:pPr>
      <w:r>
        <w:t>doc.workday.com — OfficeConnect documentation portal (public surfaces)</w:t>
      </w:r>
    </w:p>
    <w:p>
      <w:pPr>
        <w:pStyle w:val="ListBullet"/>
      </w:pPr>
      <w:r>
        <w:t>workday.com — Adaptive Planning OfficeConnect product page</w:t>
      </w:r>
    </w:p>
    <w:p>
      <w:r>
        <w:rPr>
          <w:b w:val="0"/>
          <w:i w:val="0"/>
        </w:rPr>
        <w:t>Partner blogs and consulting firms:</w:t>
      </w:r>
    </w:p>
    <w:p>
      <w:pPr>
        <w:pStyle w:val="ListBullet"/>
      </w:pPr>
      <w:r>
        <w:t>Revelwood — OfficeConnect tips and tricks series</w:t>
      </w:r>
    </w:p>
    <w:p>
      <w:pPr>
        <w:pStyle w:val="ListBullet"/>
      </w:pPr>
      <w:r>
        <w:t>QMetrix — Adaptive Planning release recaps</w:t>
      </w:r>
    </w:p>
    <w:p>
      <w:pPr>
        <w:pStyle w:val="ListBullet"/>
      </w:pPr>
      <w:r>
        <w:t>QueBIT — Ask QueBIT Q&amp;A series</w:t>
      </w:r>
    </w:p>
    <w:p>
      <w:pPr>
        <w:pStyle w:val="ListBullet"/>
      </w:pPr>
      <w:r>
        <w:t>Armanino — Ask An Expert video series</w:t>
      </w:r>
    </w:p>
    <w:p>
      <w:pPr>
        <w:pStyle w:val="ListBullet"/>
      </w:pPr>
      <w:r>
        <w:t>Surety Systems — OfficeConnect 101 guides</w:t>
      </w:r>
    </w:p>
    <w:p>
      <w:pPr>
        <w:pStyle w:val="ListBullet"/>
      </w:pPr>
      <w:r>
        <w:t>Opkey — Workday 2026R1 release coverage</w:t>
      </w:r>
    </w:p>
    <w:p>
      <w:pPr>
        <w:pStyle w:val="ListBullet"/>
      </w:pPr>
      <w:r>
        <w:t>GK Horizons — OfficeConnect update articles</w:t>
      </w:r>
    </w:p>
    <w:p>
      <w:pPr>
        <w:pStyle w:val="ListBullet"/>
      </w:pPr>
      <w:r>
        <w:t>Abaci — Adaptive Insights OfficeConnect overview</w:t>
      </w:r>
    </w:p>
    <w:p>
      <w:pPr>
        <w:pStyle w:val="ListBullet"/>
      </w:pPr>
      <w:r>
        <w:t>Accordion, Tridant, Kainos, Decision Inc, Deflytics — additional partner content</w:t>
      </w:r>
    </w:p>
    <w:p>
      <w:r>
        <w:rPr>
          <w:b w:val="0"/>
          <w:i w:val="0"/>
        </w:rPr>
        <w:t>Institutional / higher-ed knowledge bases:</w:t>
      </w:r>
    </w:p>
    <w:p>
      <w:pPr>
        <w:pStyle w:val="ListBullet"/>
      </w:pPr>
      <w:r>
        <w:t>workday.nevada.edu — 2025R1 forced-upgrade notice</w:t>
      </w:r>
    </w:p>
    <w:p>
      <w:pPr>
        <w:pStyle w:val="ListBullet"/>
      </w:pPr>
      <w:r>
        <w:t>MSU Denver TeamDynamix — OfficeConnect install KB</w:t>
      </w:r>
    </w:p>
    <w:p>
      <w:pPr>
        <w:pStyle w:val="ListBullet"/>
      </w:pPr>
      <w:r>
        <w:t>WUSTL — Adaptive Planning and OfficeConnect login</w:t>
      </w:r>
    </w:p>
    <w:p>
      <w:pPr>
        <w:pStyle w:val="ListBullet"/>
      </w:pPr>
      <w:r>
        <w:t>VUMC — OfficeConnect handout (PDF)</w:t>
      </w:r>
    </w:p>
    <w:p>
      <w:r>
        <w:rPr>
          <w:b w:val="0"/>
          <w:i w:val="0"/>
        </w:rPr>
        <w:t>Third-party and competitive:</w:t>
      </w:r>
    </w:p>
    <w:p>
      <w:pPr>
        <w:pStyle w:val="ListBullet"/>
      </w:pPr>
      <w:r>
        <w:t>think-cell KB0231 — OfficeConnect conflict documentation</w:t>
      </w:r>
    </w:p>
    <w:p>
      <w:pPr>
        <w:pStyle w:val="ListBullet"/>
      </w:pPr>
      <w:r>
        <w:t>Reportworq docs — AIInput Excel function reference</w:t>
      </w:r>
    </w:p>
    <w:p>
      <w:pPr>
        <w:pStyle w:val="ListBullet"/>
      </w:pPr>
      <w:r>
        <w:t>Microsoft Q&amp;A — OfficeConnect linked-tables refresh failure thread</w:t>
      </w:r>
    </w:p>
    <w:p>
      <w:r>
        <w:rPr>
          <w:b w:val="0"/>
          <w:i w:val="0"/>
        </w:rPr>
        <w:t>Community / video:</w:t>
      </w:r>
    </w:p>
    <w:p>
      <w:pPr>
        <w:pStyle w:val="ListBullet"/>
      </w:pPr>
      <w:r>
        <w:t>YouTube 'Simplify Your Adaptive Planning Reports with OfficeConnect' (July 2025)</w:t>
      </w:r>
    </w:p>
    <w:p>
      <w:pPr>
        <w:pStyle w:val="ListBullet"/>
      </w:pPr>
      <w:r>
        <w:t>r/workday — sparse OfficeConnect mentions</w:t>
      </w:r>
    </w:p>
    <w:p/>
    <w:p>
      <w:r>
        <w:rPr>
          <w:b w:val="0"/>
          <w:i/>
          <w:color w:val="71717A"/>
          <w:sz w:val="20"/>
        </w:rPr>
        <w:t>Research conducted May 18-19,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8181B"/>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8181B"/>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8181B"/>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8181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