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89327a65ebe38836c20070e02e66f097f1091b8"/>
    <w:p>
      <w:pPr>
        <w:pStyle w:val="Heading2"/>
      </w:pPr>
      <w:r>
        <w:t xml:space="preserve">Factors Affecting Support for Autocratic Governance Among U.S. Adults</w:t>
      </w:r>
    </w:p>
    <w:bookmarkStart w:id="23"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Learn more about sjmisc with 'browseVignettes("sjmisc")'.</w:t>
      </w:r>
      <w:r>
        <w:br/>
      </w:r>
      <w:r>
        <w:rPr>
          <w:rStyle w:val="VerbatimChar"/>
        </w:rPr>
        <w:t xml:space="preserve">## </w:t>
      </w:r>
      <w:r>
        <w:br/>
      </w:r>
      <w:r>
        <w:rPr>
          <w:rStyle w:val="VerbatimChar"/>
        </w:rPr>
        <w:t xml:space="preserve">## </w:t>
      </w:r>
      <w:r>
        <w:br/>
      </w:r>
      <w:r>
        <w:rPr>
          <w:rStyle w:val="VerbatimChar"/>
        </w:rPr>
        <w:t xml:space="preserve">## Attaching package: 'sjmisc'</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is_empty</w:t>
      </w:r>
      <w:r>
        <w:br/>
      </w:r>
      <w:r>
        <w:rPr>
          <w:rStyle w:val="VerbatimChar"/>
        </w:rPr>
        <w:t xml:space="preserve">## </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replace_na</w:t>
      </w:r>
      <w:r>
        <w:br/>
      </w:r>
      <w:r>
        <w:rPr>
          <w:rStyle w:val="VerbatimChar"/>
        </w:rPr>
        <w:t xml:space="preserve">## </w:t>
      </w:r>
      <w:r>
        <w:br/>
      </w:r>
      <w:r>
        <w:rPr>
          <w:rStyle w:val="VerbatimChar"/>
        </w:rPr>
        <w:t xml:space="preserve">## </w:t>
      </w:r>
      <w:r>
        <w:br/>
      </w:r>
      <w:r>
        <w:rPr>
          <w:rStyle w:val="VerbatimChar"/>
        </w:rPr>
        <w:t xml:space="preserve">## The following object is masked from 'package:tibble':</w:t>
      </w:r>
      <w:r>
        <w:br/>
      </w:r>
      <w:r>
        <w:rPr>
          <w:rStyle w:val="VerbatimChar"/>
        </w:rPr>
        <w:t xml:space="preserve">## </w:t>
      </w:r>
      <w:r>
        <w:br/>
      </w:r>
      <w:r>
        <w:rPr>
          <w:rStyle w:val="VerbatimChar"/>
        </w:rPr>
        <w:t xml:space="preserve">##     add_case</w:t>
      </w:r>
    </w:p>
    <w:p>
      <w:pPr>
        <w:pStyle w:val="FirstParagraph"/>
      </w:pPr>
      <w:r>
        <w:drawing>
          <wp:inline>
            <wp:extent cx="5334000" cy="4267200"/>
            <wp:effectExtent b="0" l="0" r="0" t="0"/>
            <wp:docPr descr="" title="" id="21" name="Picture"/>
            <a:graphic>
              <a:graphicData uri="http://schemas.openxmlformats.org/drawingml/2006/picture">
                <pic:pic>
                  <pic:nvPicPr>
                    <pic:cNvPr descr="part_2_proposal_revisions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End w:id="24"/>
    <w:bookmarkStart w:id="25"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 </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higher perceived macro level economic insecurity is associated with support for autocratic leadership. Second, we hypothesize that there is a stronger relationship between the preference for getting news and information primarily from social media and support for autocratic leadership among conservatives compared to liberals.</w:t>
      </w:r>
    </w:p>
    <w:bookmarkEnd w:id="25"/>
    <w:bookmarkStart w:id="29" w:name="methods"/>
    <w:p>
      <w:pPr>
        <w:pStyle w:val="Heading2"/>
      </w:pPr>
      <w:r>
        <w:t xml:space="preserve">Methods</w:t>
      </w:r>
    </w:p>
    <w:p>
      <w:pPr>
        <w:pStyle w:val="FirstParagraph"/>
      </w:pPr>
      <w:r>
        <w:t xml:space="preserve">The primary dependent variable in this study is Support for Autocratic Governance, as represented by the variable</w:t>
      </w:r>
      <w:r>
        <w:t xml:space="preserve"> </w:t>
      </w:r>
      <w:r>
        <w:rPr>
          <w:i/>
          <w:iCs/>
        </w:rPr>
        <w:t xml:space="preserve">POLSYS_AUTOC_W124</w:t>
      </w:r>
      <w:r>
        <w:t xml:space="preserve">,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w:t>
      </w:r>
      <w:r>
        <w:t xml:space="preserve"> </w:t>
      </w:r>
      <w:r>
        <w:t xml:space="preserve">“</w:t>
      </w:r>
      <w:r>
        <w:t xml:space="preserve">Very good,</w:t>
      </w:r>
      <w:r>
        <w:t xml:space="preserve">”</w:t>
      </w:r>
      <w:r>
        <w:t xml:space="preserve"> </w:t>
      </w:r>
      <w:r>
        <w:t xml:space="preserve">“</w:t>
      </w:r>
      <w:r>
        <w:t xml:space="preserve">Somewhat good,</w:t>
      </w:r>
      <w:r>
        <w:t xml:space="preserve">”</w:t>
      </w:r>
      <w:r>
        <w:t xml:space="preserve"> </w:t>
      </w:r>
      <w:r>
        <w:t xml:space="preserve">“</w:t>
      </w:r>
      <w:r>
        <w:t xml:space="preserve">Somewhat bad,</w:t>
      </w:r>
      <w:r>
        <w:t xml:space="preserve">”</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(from</w:t>
      </w:r>
      <w:r>
        <w:t xml:space="preserve"> </w:t>
      </w:r>
      <w:r>
        <w:t xml:space="preserve">“</w:t>
      </w:r>
      <w:r>
        <w:t xml:space="preserve">Very good</w:t>
      </w:r>
      <w:r>
        <w:t xml:space="preserve">”</w:t>
      </w:r>
      <w:r>
        <w:t xml:space="preserve"> </w:t>
      </w:r>
      <w:r>
        <w:t xml:space="preserve">and</w:t>
      </w:r>
      <w:r>
        <w:t xml:space="preserve"> </w:t>
      </w:r>
      <w:r>
        <w:t xml:space="preserve">“</w:t>
      </w:r>
      <w:r>
        <w:t xml:space="preserve">Somewhat good</w:t>
      </w:r>
      <w:r>
        <w:t xml:space="preserve">”</w:t>
      </w:r>
      <w:r>
        <w:t xml:space="preserve">) and</w:t>
      </w:r>
      <w:r>
        <w:t xml:space="preserve"> </w:t>
      </w:r>
      <w:r>
        <w:t xml:space="preserve">“</w:t>
      </w:r>
      <w:r>
        <w:t xml:space="preserve">Does not support</w:t>
      </w:r>
      <w:r>
        <w:t xml:space="preserve">”</w:t>
      </w:r>
      <w:r>
        <w:t xml:space="preserve"> </w:t>
      </w:r>
      <w:r>
        <w:t xml:space="preserve">(from</w:t>
      </w:r>
      <w:r>
        <w:t xml:space="preserve"> </w:t>
      </w:r>
      <w:r>
        <w:t xml:space="preserve">“</w:t>
      </w:r>
      <w:r>
        <w:t xml:space="preserve">Somewhat bad</w:t>
      </w:r>
      <w:r>
        <w:t xml:space="preserve">”</w:t>
      </w:r>
      <w:r>
        <w:t xml:space="preserve"> </w:t>
      </w:r>
      <w:r>
        <w:t xml:space="preserve">and</w:t>
      </w:r>
      <w:r>
        <w:t xml:space="preserve"> </w:t>
      </w:r>
      <w:r>
        <w:t xml:space="preserve">“</w:t>
      </w:r>
      <w:r>
        <w:t xml:space="preserve">Very bad</w:t>
      </w:r>
      <w:r>
        <w:t xml:space="preserve">”</w:t>
      </w:r>
      <w:r>
        <w:t xml:space="preserve">).</w:t>
      </w:r>
    </w:p>
    <w:p>
      <w:pPr>
        <w:pStyle w:val="SourceCode"/>
      </w:pPr>
      <w:r>
        <w:rPr>
          <w:rStyle w:val="VerbatimChar"/>
        </w:rPr>
        <w:t xml:space="preserve">Independent variables include demographic characteristics such as age, race, gender, religion, and family income. In addition, we use *ECON_SIT_W124* (“How would you describe the current economic situation in the U.S.?” with response options “Very good,” “Somewhat good,” “Somewhat bad,” “Very bad,” and “Refused”) to measure perceived economic insecurity at the macro level. These were collapsed into “Good” and “Bad.” Finally, multiple variables were used to measure respondents’ news source and social media preferences, including *NEWSSOURCE_e_W124* (how often respondents get news, facts, and opinions about issues or events from social media sites) and *NEWSUSE_PLAT_a_W124* through *NEWSUSE_PLAT_e_W124* (whether respondents prefer getting certain information from news outlets, social media, both, or neither). The *NEWSUSE* variables were re-coded to contain three levels (2: “Prefers social media”; 1: “Prefers both”; and 0: “Prefers news outlets or neither”). Then, the values for each *NEWSUSE* variable were combined within each row to assign an index score for social media preference to each respondent. With a range of 0-10, higher scores indicated a stronger preference for obtaining information from social media. For all variables, “Refused” responses were treated as “NA” and dropped. </w:t>
      </w:r>
    </w:p>
    <w:p>
      <w:pPr>
        <w:pStyle w:val="FirstParagraph"/>
      </w:pPr>
      <w:r>
        <w:t xml:space="preserve">Frequency tables were used to summarize the counts and proportions for control variables including age, income, race, and political party categories. They were also used to summarize the response and some explanatory variables, including economic perception, social media use frequency, and support for autocratic leadership. The social media preference index score distribution was illustrated with a stacked density plot with autocratic support. The planned modeling method is multiple logistic regression. We will develop the model to confirm our theory, therefore we will include the aforementioned variables relevant to our theory, and use stepwise selection to determine which additional demographic variables should be included. However, since both</w:t>
      </w:r>
      <w:r>
        <w:t xml:space="preserve"> </w:t>
      </w:r>
      <w:r>
        <w:rPr>
          <w:i/>
          <w:iCs/>
        </w:rPr>
        <w:t xml:space="preserve">NEWSSOURCE</w:t>
      </w:r>
      <w:r>
        <w:t xml:space="preserve"> </w:t>
      </w:r>
      <w:r>
        <w:t xml:space="preserve">and</w:t>
      </w:r>
      <w:r>
        <w:t xml:space="preserve"> </w:t>
      </w:r>
      <w:r>
        <w:rPr>
          <w:i/>
          <w:iCs/>
        </w:rPr>
        <w:t xml:space="preserve">NEWSUSE</w:t>
      </w:r>
      <w:r>
        <w:t xml:space="preserve"> </w:t>
      </w:r>
      <w:r>
        <w:t xml:space="preserve">measure social media behavior, they may be collinear. To address this, we will consider models that include each of them individually, in addition to a model with both. The model with the lowest AIC and highest number of significant predictors will be selected.</w:t>
      </w:r>
    </w:p>
    <w:p>
      <w:pPr>
        <w:pStyle w:val="BodyText"/>
      </w:pPr>
      <w:r>
        <w:t xml:space="preserve">##Results</w:t>
      </w:r>
      <w:r>
        <w:t xml:space="preserve"> </w:t>
      </w:r>
      <w:r>
        <w:t xml:space="preserve">The average social media preference index score for the sample was 3.80, with standard deviation 3.29, while the median was 5.00. Thirty-eight respondents (32.48%) supported autocratic leadership and 79 (67.52%) did not. The distribution of the scores for each group is presented in the stacked density figure below.</w:t>
      </w:r>
    </w:p>
    <w:p>
      <w:pPr>
        <w:pStyle w:val="SourceCode"/>
      </w:pPr>
      <w:r>
        <w:rPr>
          <w:rStyle w:val="FunctionTok"/>
        </w:rPr>
        <w:t xml:space="preserve">ggplot</w:t>
      </w:r>
      <w:r>
        <w:rPr>
          <w:rStyle w:val="NormalTok"/>
        </w:rPr>
        <w:t xml:space="preserve">(amertrends_subset)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w:t>
      </w:r>
      <w:r>
        <w:br/>
      </w:r>
      <w:r>
        <w:rPr>
          <w:rStyle w:val="NormalTok"/>
        </w:rPr>
        <w:t xml:space="preserve">                   </w:t>
      </w:r>
      <w:r>
        <w:rPr>
          <w:rStyle w:val="AttributeTok"/>
        </w:rPr>
        <w:t xml:space="preserve">fill =</w:t>
      </w:r>
      <w:r>
        <w:rPr>
          <w:rStyle w:val="NormalTok"/>
        </w:rPr>
        <w:t xml:space="preserve"> autoc_support_cat), </w:t>
      </w:r>
      <w:r>
        <w:br/>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"Support for 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Social Media Prefence Index Scores"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"turquoise3"</w:t>
      </w:r>
      <w:r>
        <w:rPr>
          <w:rStyle w:val="NormalTok"/>
        </w:rPr>
        <w:t xml:space="preserve">, </w:t>
      </w:r>
      <w:r>
        <w:rPr>
          <w:rStyle w:val="StringTok"/>
        </w:rPr>
        <w:t xml:space="preserve">"blue4"</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art_2_proposal_revisions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Within the sample, 22 respondents (18.80%) were 18-29 years old, 53 (45.30%) were 30-49 years old, 29 (24.79%) were 50-64 years old, and 13 (11.11%) were over 65 (see table 1). Forty-six respondents (39.32%) were lower income, 55 were middle income (47.01%), and 16 were upper income (13.68%) (see table 2).</w:t>
      </w:r>
    </w:p>
    <w:bookmarkEnd w:id="29"/>
    <w:bookmarkStart w:id="30" w:name="appendix"/>
    <w:p>
      <w:pPr>
        <w:pStyle w:val="Heading2"/>
      </w:pPr>
      <w:r>
        <w:t xml:space="preserve">Appendix</w:t>
      </w:r>
    </w:p>
    <w:p>
      <w:pPr>
        <w:pStyle w:val="FirstParagraph"/>
      </w:pPr>
      <w:r>
        <w:t xml:space="preserve">Table 1. Frequency table for age categories.</w:t>
      </w:r>
    </w:p>
    <w:p>
      <w:pPr>
        <w:pStyle w:val="SourceCode"/>
      </w:pPr>
      <w:r>
        <w:rPr>
          <w:rStyle w:val="VerbatimChar"/>
        </w:rPr>
        <w:t xml:space="preserve">## Warning: Unknown or uninitialised column: `age`.</w:t>
      </w:r>
    </w:p>
    <w:p>
      <w:pPr>
        <w:pStyle w:val="SourceCode"/>
      </w:pPr>
      <w:r>
        <w:rPr>
          <w:rStyle w:val="VerbatimChar"/>
        </w:rPr>
        <w:t xml:space="preserve">## NULL</w:t>
      </w:r>
    </w:p>
    <w:p>
      <w:pPr>
        <w:pStyle w:val="FirstParagraph"/>
      </w:pPr>
      <w:r>
        <w:t xml:space="preserve">Table 2. Frequency table for income categories.</w:t>
      </w:r>
    </w:p>
    <w:p>
      <w:pPr>
        <w:pStyle w:val="SourceCode"/>
      </w:pPr>
      <w:r>
        <w:rPr>
          <w:rStyle w:val="VerbatimChar"/>
        </w:rPr>
        <w:t xml:space="preserve">## Warning: Unknown or uninitialised column: `income`.</w:t>
      </w:r>
    </w:p>
    <w:p>
      <w:pPr>
        <w:pStyle w:val="SourceCode"/>
      </w:pPr>
      <w:r>
        <w:rPr>
          <w:rStyle w:val="VerbatimChar"/>
        </w:rPr>
        <w:t xml:space="preserve">## NULL</w:t>
      </w:r>
    </w:p>
    <w:p>
      <w:pPr>
        <w:pStyle w:val="FirstParagraph"/>
      </w:pPr>
      <w:r>
        <w:t xml:space="preserve">Table 3. Frequency table for race categories.</w:t>
      </w:r>
    </w:p>
    <w:p>
      <w:pPr>
        <w:pStyle w:val="SourceCode"/>
      </w:pPr>
      <w:r>
        <w:rPr>
          <w:rStyle w:val="VerbatimChar"/>
        </w:rPr>
        <w:t xml:space="preserve">## Warning: Unknown or uninitialised column: `race_1`.</w:t>
      </w:r>
    </w:p>
    <w:p>
      <w:pPr>
        <w:pStyle w:val="SourceCode"/>
      </w:pPr>
      <w:r>
        <w:rPr>
          <w:rStyle w:val="VerbatimChar"/>
        </w:rPr>
        <w:t xml:space="preserve">## NULL</w:t>
      </w:r>
    </w:p>
    <w:p>
      <w:pPr>
        <w:pStyle w:val="FirstParagraph"/>
      </w:pPr>
      <w:r>
        <w:t xml:space="preserve">Table 4. Frequency table for economic perception categories.</w:t>
      </w:r>
    </w:p>
    <w:p>
      <w:pPr>
        <w:pStyle w:val="BodyText"/>
      </w:pPr>
      <w:r>
        <w:t xml:space="preserve">x</w:t>
      </w:r>
      <w:r>
        <w:t xml:space="preserve"> </w:t>
      </w:r>
      <w:r>
        <w:t xml:space="preserve">&lt;categorical&gt;</w:t>
      </w:r>
    </w:p>
    <w:p>
      <w:pPr>
        <w:pStyle w:val="BodyText"/>
      </w:pPr>
      <w:r>
        <w:t xml:space="preserve">val</w:t>
      </w:r>
    </w:p>
    <w:p>
      <w:pPr>
        <w:pStyle w:val="BodyText"/>
      </w:pPr>
      <w:r>
        <w:t xml:space="preserve">label</w:t>
      </w:r>
    </w:p>
    <w:p>
      <w:pPr>
        <w:pStyle w:val="BodyText"/>
      </w:pPr>
      <w:r>
        <w:t xml:space="preserve">frq</w:t>
      </w:r>
    </w:p>
    <w:p>
      <w:pPr>
        <w:pStyle w:val="BodyText"/>
      </w:pPr>
      <w:r>
        <w:t xml:space="preserve">raw.prc</w:t>
      </w:r>
    </w:p>
    <w:p>
      <w:pPr>
        <w:pStyle w:val="BodyText"/>
      </w:pPr>
      <w:r>
        <w:t xml:space="preserve">valid.prc</w:t>
      </w:r>
    </w:p>
    <w:p>
      <w:pPr>
        <w:pStyle w:val="BodyText"/>
      </w:pPr>
      <w:r>
        <w:t xml:space="preserve">cum.prc</w:t>
      </w:r>
    </w:p>
    <w:p>
      <w:pPr>
        <w:pStyle w:val="BodyText"/>
      </w:pPr>
      <w:r>
        <w:t xml:space="preserve">good</w:t>
      </w:r>
    </w:p>
    <w:p>
      <w:pPr>
        <w:pStyle w:val="BodyText"/>
      </w:pPr>
    </w:p>
    <w:p>
      <w:pPr>
        <w:pStyle w:val="BodyText"/>
      </w:pPr>
      <w:r>
        <w:t xml:space="preserve">37</w:t>
      </w:r>
    </w:p>
    <w:p>
      <w:pPr>
        <w:pStyle w:val="BodyText"/>
      </w:pPr>
      <w:r>
        <w:t xml:space="preserve">31.62</w:t>
      </w:r>
    </w:p>
    <w:p>
      <w:pPr>
        <w:pStyle w:val="BodyText"/>
      </w:pPr>
      <w:r>
        <w:t xml:space="preserve">31.62</w:t>
      </w:r>
    </w:p>
    <w:p>
      <w:pPr>
        <w:pStyle w:val="BodyText"/>
      </w:pPr>
      <w:r>
        <w:t xml:space="preserve">31.62</w:t>
      </w:r>
    </w:p>
    <w:p>
      <w:pPr>
        <w:pStyle w:val="BodyText"/>
      </w:pPr>
      <w:r>
        <w:t xml:space="preserve">bad</w:t>
      </w:r>
    </w:p>
    <w:p>
      <w:pPr>
        <w:pStyle w:val="BodyText"/>
      </w:pPr>
    </w:p>
    <w:p>
      <w:pPr>
        <w:pStyle w:val="BodyText"/>
      </w:pPr>
      <w:r>
        <w:t xml:space="preserve">80</w:t>
      </w:r>
    </w:p>
    <w:p>
      <w:pPr>
        <w:pStyle w:val="BodyText"/>
      </w:pPr>
      <w:r>
        <w:t xml:space="preserve">68.38</w:t>
      </w:r>
    </w:p>
    <w:p>
      <w:pPr>
        <w:pStyle w:val="BodyText"/>
      </w:pPr>
      <w:r>
        <w:t xml:space="preserve">68.38</w:t>
      </w:r>
    </w:p>
    <w:p>
      <w:pPr>
        <w:pStyle w:val="BodyText"/>
      </w:pPr>
      <w:r>
        <w:t xml:space="preserve">100.00</w:t>
      </w:r>
    </w:p>
    <w:p>
      <w:pPr>
        <w:pStyle w:val="BodyText"/>
      </w:pPr>
      <w:r>
        <w:t xml:space="preserve">NA</w:t>
      </w:r>
    </w:p>
    <w:p>
      <w:pPr>
        <w:pStyle w:val="BodyText"/>
      </w:pPr>
      <w:r>
        <w:t xml:space="preserve">NA</w:t>
      </w:r>
    </w:p>
    <w:p>
      <w:pPr>
        <w:pStyle w:val="BodyText"/>
      </w:pPr>
      <w:r>
        <w:t xml:space="preserve">0</w:t>
      </w:r>
    </w:p>
    <w:p>
      <w:pPr>
        <w:pStyle w:val="BodyText"/>
      </w:pPr>
      <w:r>
        <w:t xml:space="preserve">0.00</w:t>
      </w:r>
    </w:p>
    <w:p>
      <w:pPr>
        <w:pStyle w:val="BodyText"/>
      </w:pPr>
      <w:r>
        <w:t xml:space="preserve">NA</w:t>
      </w:r>
    </w:p>
    <w:p>
      <w:pPr>
        <w:pStyle w:val="BodyText"/>
      </w:pPr>
      <w:r>
        <w:t xml:space="preserve">NA</w:t>
      </w:r>
    </w:p>
    <w:p>
      <w:pPr>
        <w:pStyle w:val="BodyText"/>
      </w:pPr>
      <w:r>
        <w:t xml:space="preserve">total N=117 · valid N=117 · x̄=1.68 · σ=0.47</w:t>
      </w:r>
    </w:p>
    <w:p>
      <w:pPr>
        <w:pStyle w:val="BodyText"/>
      </w:pPr>
      <w:r>
        <w:t xml:space="preserve">Table 5. Frequency table for political leaning categories.</w:t>
      </w:r>
    </w:p>
    <w:p>
      <w:pPr>
        <w:pStyle w:val="SourceCode"/>
      </w:pPr>
      <w:r>
        <w:rPr>
          <w:rStyle w:val="VerbatimChar"/>
        </w:rPr>
        <w:t xml:space="preserve">## Warning: Unknown or uninitialised column: `pol_lean`.</w:t>
      </w:r>
    </w:p>
    <w:p>
      <w:pPr>
        <w:pStyle w:val="SourceCode"/>
      </w:pPr>
      <w:r>
        <w:rPr>
          <w:rStyle w:val="VerbatimChar"/>
        </w:rPr>
        <w:t xml:space="preserve">## NULL</w:t>
      </w:r>
    </w:p>
    <w:bookmarkEnd w:id="30"/>
    <w:bookmarkStart w:id="45" w:name="references"/>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31">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32">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33">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34">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35">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36">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37">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38">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39">
        <w:r>
          <w:rPr>
            <w:rStyle w:val="Hyperlink"/>
          </w:rPr>
          <w:t xml:space="preserve">https://doi.org/10.1080/1461670X.2018.1500492</w:t>
        </w:r>
      </w:hyperlink>
    </w:p>
    <w:p>
      <w:pPr>
        <w:pStyle w:val="BodyText"/>
      </w:pPr>
      <w:r>
        <w:t xml:space="preserve">Mutz, D. C. (2018). Status threat, not economic hardship, explains the 2016 presidential vote. Proceedings of the National Academy of Sciences, 115(19).</w:t>
      </w:r>
      <w:r>
        <w:t xml:space="preserve"> </w:t>
      </w:r>
      <w:hyperlink r:id="rId40">
        <w:r>
          <w:rPr>
            <w:rStyle w:val="Hyperlink"/>
          </w:rPr>
          <w:t xml:space="preserve">https://doi.org/10.1073/pnas.1718155115</w:t>
        </w:r>
      </w:hyperlink>
    </w:p>
    <w:p>
      <w:pPr>
        <w:pStyle w:val="BodyText"/>
      </w:pPr>
      <w:r>
        <w:t xml:space="preserve">Pew Research Center. (2023). American Trends Panel Wave 124 [Data file and codebook]. Retrieved from</w:t>
      </w:r>
      <w:r>
        <w:t xml:space="preserve"> </w:t>
      </w:r>
      <w:hyperlink r:id="rId41">
        <w:r>
          <w:rPr>
            <w:rStyle w:val="Hyperlink"/>
          </w:rPr>
          <w:t xml:space="preserve">https://www.pewresearch.org/dataset/american-trends-panel-wave-124/.</w:t>
        </w:r>
      </w:hyperlink>
      <w:r>
        <w:t xml:space="preserve"> </w:t>
      </w:r>
    </w:p>
    <w:p>
      <w:pPr>
        <w:pStyle w:val="BodyText"/>
      </w:pPr>
      <w:r>
        <w:t xml:space="preserve">Roccato, M., Cavazza, N., Colloca, P., &amp; Russo, S. (2020). A democratic emergency after a health emergency? Exposure to COVID‐19, perceived economic threat and support for anti‐democratic political systems. Social Science Quarterly, 101(6), 2193–2202.</w:t>
      </w:r>
      <w:r>
        <w:t xml:space="preserve"> </w:t>
      </w:r>
      <w:hyperlink r:id="rId42">
        <w:r>
          <w:rPr>
            <w:rStyle w:val="Hyperlink"/>
          </w:rPr>
          <w:t xml:space="preserve">https://doi.org/10.1111/ssqu.12865</w:t>
        </w:r>
      </w:hyperlink>
    </w:p>
    <w:p>
      <w:pPr>
        <w:pStyle w:val="BodyText"/>
      </w:pPr>
      <w:r>
        <w:t xml:space="preserve">Wahba, L. L. (2022). Innocents, psychopaths and the imagination. Journal of Analytical Psychology, 67(1), 183–195.</w:t>
      </w:r>
      <w:r>
        <w:t xml:space="preserve"> </w:t>
      </w:r>
      <w:hyperlink r:id="rId43">
        <w:r>
          <w:rPr>
            <w:rStyle w:val="Hyperlink"/>
          </w:rPr>
          <w:t xml:space="preserve">https://doi.org/10.1111/1468-5922.12773</w:t>
        </w:r>
      </w:hyperlink>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44">
        <w:r>
          <w:rPr>
            <w:rStyle w:val="Hyperlink"/>
          </w:rPr>
          <w:t xml:space="preserve">https://doi.org/10.1007/s11205-021-02767-8</w:t>
        </w:r>
      </w:hyperlink>
    </w:p>
    <w:bookmarkEnd w:id="45"/>
    <w:bookmarkStart w:id="46" w:name="codes"/>
    <w:p>
      <w:pPr>
        <w:pStyle w:val="Heading2"/>
      </w:pPr>
      <w:r>
        <w:t xml:space="preserve">Codes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33" Target="http://www.jstor.org/stable/44481863" TargetMode="External" /><Relationship Type="http://schemas.openxmlformats.org/officeDocument/2006/relationships/hyperlink" Id="rId35" Target="https://dictionary.cambridge.org/us/dictionary/english/autocracy" TargetMode="External" /><Relationship Type="http://schemas.openxmlformats.org/officeDocument/2006/relationships/hyperlink" Id="rId44" Target="https://doi.org/10.1007/s11205-021-02767-8" TargetMode="External" /><Relationship Type="http://schemas.openxmlformats.org/officeDocument/2006/relationships/hyperlink" Id="rId40" Target="https://doi.org/10.1073/pnas.1718155115" TargetMode="External" /><Relationship Type="http://schemas.openxmlformats.org/officeDocument/2006/relationships/hyperlink" Id="rId34" Target="https://doi.org/10.1080/13510347.2022.2069751" TargetMode="External" /><Relationship Type="http://schemas.openxmlformats.org/officeDocument/2006/relationships/hyperlink" Id="rId32" Target="https://doi.org/10.1080/13510347.2024.2391482" TargetMode="External" /><Relationship Type="http://schemas.openxmlformats.org/officeDocument/2006/relationships/hyperlink" Id="rId39" Target="https://doi.org/10.1080/1461670X.2018.1500492" TargetMode="External" /><Relationship Type="http://schemas.openxmlformats.org/officeDocument/2006/relationships/hyperlink" Id="rId38" Target="https://doi.org/10.1080/15205436.2023.2264265" TargetMode="External" /><Relationship Type="http://schemas.openxmlformats.org/officeDocument/2006/relationships/hyperlink" Id="rId37" Target="https://doi.org/10.1111/1468-4446.12319" TargetMode="External" /><Relationship Type="http://schemas.openxmlformats.org/officeDocument/2006/relationships/hyperlink" Id="rId43" Target="https://doi.org/10.1111/1468-5922.12773" TargetMode="External" /><Relationship Type="http://schemas.openxmlformats.org/officeDocument/2006/relationships/hyperlink" Id="rId42" Target="https://doi.org/10.1111/ssqu.12865" TargetMode="External" /><Relationship Type="http://schemas.openxmlformats.org/officeDocument/2006/relationships/hyperlink" Id="rId31" Target="https://doi.org/10.47191/ijmra/v7-i10-18" TargetMode="External" /><Relationship Type="http://schemas.openxmlformats.org/officeDocument/2006/relationships/hyperlink" Id="rId41" Target="https://www.pewresearch.org/dataset/american-trends-panel-wave-124/." TargetMode="External" /><Relationship Type="http://schemas.openxmlformats.org/officeDocument/2006/relationships/hyperlink" Id="rId36"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33" Target="http://www.jstor.org/stable/44481863" TargetMode="External" /><Relationship Type="http://schemas.openxmlformats.org/officeDocument/2006/relationships/hyperlink" Id="rId35" Target="https://dictionary.cambridge.org/us/dictionary/english/autocracy" TargetMode="External" /><Relationship Type="http://schemas.openxmlformats.org/officeDocument/2006/relationships/hyperlink" Id="rId44" Target="https://doi.org/10.1007/s11205-021-02767-8" TargetMode="External" /><Relationship Type="http://schemas.openxmlformats.org/officeDocument/2006/relationships/hyperlink" Id="rId40" Target="https://doi.org/10.1073/pnas.1718155115" TargetMode="External" /><Relationship Type="http://schemas.openxmlformats.org/officeDocument/2006/relationships/hyperlink" Id="rId34" Target="https://doi.org/10.1080/13510347.2022.2069751" TargetMode="External" /><Relationship Type="http://schemas.openxmlformats.org/officeDocument/2006/relationships/hyperlink" Id="rId32" Target="https://doi.org/10.1080/13510347.2024.2391482" TargetMode="External" /><Relationship Type="http://schemas.openxmlformats.org/officeDocument/2006/relationships/hyperlink" Id="rId39" Target="https://doi.org/10.1080/1461670X.2018.1500492" TargetMode="External" /><Relationship Type="http://schemas.openxmlformats.org/officeDocument/2006/relationships/hyperlink" Id="rId38" Target="https://doi.org/10.1080/15205436.2023.2264265" TargetMode="External" /><Relationship Type="http://schemas.openxmlformats.org/officeDocument/2006/relationships/hyperlink" Id="rId37" Target="https://doi.org/10.1111/1468-4446.12319" TargetMode="External" /><Relationship Type="http://schemas.openxmlformats.org/officeDocument/2006/relationships/hyperlink" Id="rId43" Target="https://doi.org/10.1111/1468-5922.12773" TargetMode="External" /><Relationship Type="http://schemas.openxmlformats.org/officeDocument/2006/relationships/hyperlink" Id="rId42" Target="https://doi.org/10.1111/ssqu.12865" TargetMode="External" /><Relationship Type="http://schemas.openxmlformats.org/officeDocument/2006/relationships/hyperlink" Id="rId31" Target="https://doi.org/10.47191/ijmra/v7-i10-18" TargetMode="External" /><Relationship Type="http://schemas.openxmlformats.org/officeDocument/2006/relationships/hyperlink" Id="rId41" Target="https://www.pewresearch.org/dataset/american-trends-panel-wave-124/." TargetMode="External" /><Relationship Type="http://schemas.openxmlformats.org/officeDocument/2006/relationships/hyperlink" Id="rId36"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2025-04-09T20:58:52Z</dcterms:created>
  <dcterms:modified xsi:type="dcterms:W3CDTF">2025-04-09T20:58:52Z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