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AB7F7" w14:textId="63675815" w:rsidR="00BF4A59" w:rsidRDefault="00C864ED" w:rsidP="008E42EB">
      <w:pPr>
        <w:pStyle w:val="Subtitle"/>
      </w:pPr>
      <w:r>
        <w:t xml:space="preserve">Introduction </w:t>
      </w:r>
    </w:p>
    <w:p w14:paraId="0EAB1AD6" w14:textId="55314B39" w:rsidR="00C864ED" w:rsidRDefault="00C864ED"/>
    <w:p w14:paraId="47EDF42F" w14:textId="50FFAAAC" w:rsidR="00ED2EF0" w:rsidRDefault="00C864ED">
      <w:r>
        <w:t xml:space="preserve">Septic arthritis and gout present themselves in patients with similar </w:t>
      </w:r>
      <w:r w:rsidR="00814EF6">
        <w:t>physiological symptoms. Gout is</w:t>
      </w:r>
      <w:r w:rsidR="000F1051">
        <w:t xml:space="preserve"> primarily caused by hyperuricaemia</w:t>
      </w:r>
      <w:r w:rsidR="00791617">
        <w:t>, the acute build-up of monosodium urate crystals</w:t>
      </w:r>
      <w:r w:rsidR="00CB2CAA">
        <w:t xml:space="preserve">. </w:t>
      </w:r>
      <w:r w:rsidR="00CF7AAE">
        <w:t>T</w:t>
      </w:r>
      <w:r w:rsidR="00CB6BCA" w:rsidRPr="00CB6BCA">
        <w:t xml:space="preserve">he combination of excess urate production and a decrease in excretion results in crystal development. </w:t>
      </w:r>
      <w:r w:rsidR="00750DD5" w:rsidRPr="00A661BF">
        <w:t xml:space="preserve">(Perez-Ruiz and </w:t>
      </w:r>
      <w:proofErr w:type="spellStart"/>
      <w:r w:rsidR="00750DD5" w:rsidRPr="00A661BF">
        <w:t>Dalbeth</w:t>
      </w:r>
      <w:proofErr w:type="spellEnd"/>
      <w:r w:rsidR="00750DD5" w:rsidRPr="00A661BF">
        <w:t xml:space="preserve"> 2019)</w:t>
      </w:r>
      <w:r w:rsidR="00750DD5" w:rsidRPr="00750DD5">
        <w:rPr>
          <w:i/>
          <w:iCs/>
        </w:rPr>
        <w:t xml:space="preserve"> </w:t>
      </w:r>
      <w:r w:rsidR="00BB31E2">
        <w:t xml:space="preserve">The deposition of these crystals and absorption in macrophage inflammasomes </w:t>
      </w:r>
      <w:r w:rsidR="002A7824" w:rsidRPr="00A661BF">
        <w:t>(</w:t>
      </w:r>
      <w:proofErr w:type="spellStart"/>
      <w:r w:rsidR="00D77DFC" w:rsidRPr="00A661BF">
        <w:t>Martinon</w:t>
      </w:r>
      <w:proofErr w:type="spellEnd"/>
      <w:r w:rsidR="00D77DFC" w:rsidRPr="00A661BF">
        <w:t xml:space="preserve"> et al</w:t>
      </w:r>
      <w:r w:rsidR="00750DD5" w:rsidRPr="00A661BF">
        <w:t>.</w:t>
      </w:r>
      <w:r w:rsidR="00D77DFC" w:rsidRPr="00A661BF">
        <w:t xml:space="preserve"> </w:t>
      </w:r>
      <w:r w:rsidR="0068179C" w:rsidRPr="00A661BF">
        <w:t>2006</w:t>
      </w:r>
      <w:r w:rsidR="002A7824" w:rsidRPr="00A661BF">
        <w:t xml:space="preserve">) </w:t>
      </w:r>
      <w:r w:rsidR="007B7D42">
        <w:t xml:space="preserve">can </w:t>
      </w:r>
      <w:r w:rsidR="00350D85">
        <w:t xml:space="preserve">cause acute inflammation in the joints of the patients, primarily in the feet. </w:t>
      </w:r>
      <w:r w:rsidR="004A7FA7" w:rsidRPr="00A661BF">
        <w:t>(</w:t>
      </w:r>
      <w:proofErr w:type="spellStart"/>
      <w:r w:rsidR="00ED2EF0" w:rsidRPr="00A661BF">
        <w:t>Dalbeth</w:t>
      </w:r>
      <w:proofErr w:type="spellEnd"/>
      <w:r w:rsidR="00ED2EF0" w:rsidRPr="00A661BF">
        <w:t xml:space="preserve"> et al</w:t>
      </w:r>
      <w:r w:rsidR="00750DD5" w:rsidRPr="00A661BF">
        <w:t>.</w:t>
      </w:r>
      <w:r w:rsidR="00ED2EF0" w:rsidRPr="00A661BF">
        <w:t xml:space="preserve"> 2013)</w:t>
      </w:r>
      <w:r w:rsidR="00ED2EF0" w:rsidRPr="005D40AB">
        <w:rPr>
          <w:i/>
          <w:iCs/>
        </w:rPr>
        <w:t xml:space="preserve"> </w:t>
      </w:r>
    </w:p>
    <w:p w14:paraId="569FED7F" w14:textId="58033CB8" w:rsidR="006845E6" w:rsidRDefault="0068179C">
      <w:r>
        <w:t xml:space="preserve">Septic arthritis present itself in joints as well, </w:t>
      </w:r>
      <w:r w:rsidR="00495CA2">
        <w:t xml:space="preserve">however this inflammation is caused by a bacterial infection. The synovial fluid in joints suffers from acute </w:t>
      </w:r>
      <w:r w:rsidR="005B556B">
        <w:t xml:space="preserve">bacteraemia causing the infiltration of inflammatory cells that release cytokines to clear the infection. </w:t>
      </w:r>
      <w:r w:rsidR="00F034CE">
        <w:t>Cytokine</w:t>
      </w:r>
      <w:r w:rsidR="007B7D42">
        <w:t>s</w:t>
      </w:r>
      <w:r w:rsidR="00F034CE">
        <w:t xml:space="preserve"> binding to cartilage leads to permanent </w:t>
      </w:r>
      <w:r w:rsidR="0015262C">
        <w:t xml:space="preserve">bone loss. </w:t>
      </w:r>
      <w:r w:rsidR="0015262C" w:rsidRPr="00A661BF">
        <w:t>(Goldenberg</w:t>
      </w:r>
      <w:r w:rsidR="00C527C7">
        <w:t xml:space="preserve"> </w:t>
      </w:r>
      <w:r w:rsidR="007B7D42">
        <w:t xml:space="preserve">1998) </w:t>
      </w:r>
      <w:r w:rsidR="00C527C7" w:rsidRPr="00C527C7">
        <w:rPr>
          <w:i/>
          <w:iCs/>
        </w:rPr>
        <w:t>Staphylococcus aureus</w:t>
      </w:r>
      <w:r w:rsidR="00C527C7">
        <w:t xml:space="preserve"> is the most common </w:t>
      </w:r>
      <w:r w:rsidR="00CB1F86">
        <w:t xml:space="preserve">causative pathogen, with </w:t>
      </w:r>
      <w:r w:rsidR="00CB1F86" w:rsidRPr="00CB1F86">
        <w:t xml:space="preserve">methicillin-resistant </w:t>
      </w:r>
      <w:r w:rsidR="00CB1F86" w:rsidRPr="00CB1F86">
        <w:rPr>
          <w:i/>
          <w:iCs/>
        </w:rPr>
        <w:t>S. aureus</w:t>
      </w:r>
      <w:r w:rsidR="00CB1F86">
        <w:t xml:space="preserve"> </w:t>
      </w:r>
      <w:r w:rsidR="00F6093C">
        <w:t xml:space="preserve">cases increasing amongst the elderly. </w:t>
      </w:r>
      <w:r w:rsidR="00A661BF" w:rsidRPr="00A661BF">
        <w:t>(García-Arias, Balsa and Mola 2011</w:t>
      </w:r>
      <w:r w:rsidR="00A661BF">
        <w:t>)</w:t>
      </w:r>
    </w:p>
    <w:p w14:paraId="48484161" w14:textId="77777777" w:rsidR="00A661BF" w:rsidRDefault="00A661BF"/>
    <w:p w14:paraId="21EEDD33" w14:textId="4194E200" w:rsidR="009B6106" w:rsidRDefault="006845E6">
      <w:r>
        <w:t xml:space="preserve">In this report, we will examine </w:t>
      </w:r>
      <w:r w:rsidR="00175E19">
        <w:t xml:space="preserve">transcriptomic data from whole blood samples from 27 subjects, where </w:t>
      </w:r>
      <w:r w:rsidR="00766931">
        <w:t xml:space="preserve">the thirds </w:t>
      </w:r>
      <w:r w:rsidR="00175E19">
        <w:t xml:space="preserve">are healthy controls, </w:t>
      </w:r>
      <w:r w:rsidR="00766931">
        <w:t>Gout pa</w:t>
      </w:r>
      <w:r w:rsidR="00644ECD">
        <w:t>tients, and Septic arthritis</w:t>
      </w:r>
      <w:r w:rsidR="0006210C">
        <w:t xml:space="preserve"> (SA)</w:t>
      </w:r>
      <w:r w:rsidR="00644ECD">
        <w:t xml:space="preserve"> patients. The aim of this report is to find differentially expressed genes </w:t>
      </w:r>
      <w:r w:rsidR="004731AE">
        <w:t xml:space="preserve">between </w:t>
      </w:r>
      <w:r w:rsidR="00450EC3">
        <w:t>these</w:t>
      </w:r>
      <w:r w:rsidR="00644ECD">
        <w:t xml:space="preserve"> groups </w:t>
      </w:r>
      <w:r w:rsidR="004536F6">
        <w:t>to</w:t>
      </w:r>
      <w:r w:rsidR="00644ECD">
        <w:t xml:space="preserve"> </w:t>
      </w:r>
      <w:r w:rsidR="0006210C">
        <w:t>develop a rapid test to differentiate between Gout and SA patients to aid in th</w:t>
      </w:r>
      <w:r w:rsidR="00450EC3">
        <w:t xml:space="preserve">eir recovery. </w:t>
      </w:r>
    </w:p>
    <w:p w14:paraId="22E93C5B" w14:textId="77777777" w:rsidR="00F31BDA" w:rsidRPr="00F31BDA" w:rsidRDefault="00F31BDA"/>
    <w:p w14:paraId="59DF3917" w14:textId="2F86986F" w:rsidR="009B6106" w:rsidRPr="00B87992" w:rsidRDefault="009B6106" w:rsidP="00B87992">
      <w:pPr>
        <w:pStyle w:val="Subtitle"/>
        <w:rPr>
          <w:shd w:val="clear" w:color="auto" w:fill="FFFFFF"/>
        </w:rPr>
      </w:pPr>
      <w:r>
        <w:rPr>
          <w:shd w:val="clear" w:color="auto" w:fill="FFFFFF"/>
        </w:rPr>
        <w:t xml:space="preserve">Methods </w:t>
      </w:r>
    </w:p>
    <w:p w14:paraId="408F421A" w14:textId="47E88419" w:rsidR="009B6106" w:rsidRPr="009B6106" w:rsidRDefault="009B6106" w:rsidP="009B6106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9B6106">
        <w:rPr>
          <w:rFonts w:ascii="Arial" w:hAnsi="Arial" w:cs="Arial"/>
          <w:color w:val="222222"/>
          <w:sz w:val="20"/>
          <w:szCs w:val="20"/>
          <w:shd w:val="clear" w:color="auto" w:fill="FFFFFF"/>
        </w:rPr>
        <w:t>Principal component analysis</w:t>
      </w:r>
      <w:r w:rsidR="00C942C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</w:p>
    <w:p w14:paraId="36D97847" w14:textId="6A8C8234" w:rsidR="00B87992" w:rsidRDefault="00B940B0" w:rsidP="00A661BF">
      <w:pPr>
        <w:rPr>
          <w:shd w:val="clear" w:color="auto" w:fill="FFFFFF"/>
        </w:rPr>
      </w:pPr>
      <w:r>
        <w:rPr>
          <w:shd w:val="clear" w:color="auto" w:fill="FFFFFF"/>
        </w:rPr>
        <w:t xml:space="preserve">This was carried </w:t>
      </w:r>
      <w:r w:rsidR="000A6CE0">
        <w:rPr>
          <w:shd w:val="clear" w:color="auto" w:fill="FFFFFF"/>
        </w:rPr>
        <w:t xml:space="preserve">using </w:t>
      </w:r>
      <w:proofErr w:type="spellStart"/>
      <w:proofErr w:type="gramStart"/>
      <w:r w:rsidR="000A6CE0">
        <w:rPr>
          <w:shd w:val="clear" w:color="auto" w:fill="FFFFFF"/>
        </w:rPr>
        <w:t>prcomp</w:t>
      </w:r>
      <w:proofErr w:type="spellEnd"/>
      <w:r w:rsidR="000A6CE0">
        <w:rPr>
          <w:shd w:val="clear" w:color="auto" w:fill="FFFFFF"/>
        </w:rPr>
        <w:t>(</w:t>
      </w:r>
      <w:proofErr w:type="gramEnd"/>
      <w:r w:rsidR="000A6CE0">
        <w:rPr>
          <w:shd w:val="clear" w:color="auto" w:fill="FFFFFF"/>
        </w:rPr>
        <w:t>)</w:t>
      </w:r>
      <w:r>
        <w:rPr>
          <w:shd w:val="clear" w:color="auto" w:fill="FFFFFF"/>
        </w:rPr>
        <w:t xml:space="preserve"> </w:t>
      </w:r>
      <w:r w:rsidR="00773B4D">
        <w:rPr>
          <w:shd w:val="clear" w:color="auto" w:fill="FFFFFF"/>
        </w:rPr>
        <w:t xml:space="preserve">{stats} </w:t>
      </w:r>
      <w:r>
        <w:rPr>
          <w:shd w:val="clear" w:color="auto" w:fill="FFFFFF"/>
        </w:rPr>
        <w:t>on the</w:t>
      </w:r>
      <w:r w:rsidR="000A6CE0">
        <w:rPr>
          <w:shd w:val="clear" w:color="auto" w:fill="FFFFFF"/>
        </w:rPr>
        <w:t xml:space="preserve"> transposed</w:t>
      </w:r>
      <w:r>
        <w:rPr>
          <w:shd w:val="clear" w:color="auto" w:fill="FFFFFF"/>
        </w:rPr>
        <w:t xml:space="preserve"> raw expression table to gain a rough insight </w:t>
      </w:r>
      <w:r w:rsidR="00457EFD">
        <w:rPr>
          <w:shd w:val="clear" w:color="auto" w:fill="FFFFFF"/>
        </w:rPr>
        <w:t xml:space="preserve">into where PC1/2 </w:t>
      </w:r>
      <w:r w:rsidR="007B4918">
        <w:rPr>
          <w:shd w:val="clear" w:color="auto" w:fill="FFFFFF"/>
        </w:rPr>
        <w:t xml:space="preserve">examine </w:t>
      </w:r>
      <w:r w:rsidR="00982842">
        <w:rPr>
          <w:shd w:val="clear" w:color="auto" w:fill="FFFFFF"/>
        </w:rPr>
        <w:t>relative placement</w:t>
      </w:r>
      <w:r w:rsidR="007B4918">
        <w:rPr>
          <w:shd w:val="clear" w:color="auto" w:fill="FFFFFF"/>
        </w:rPr>
        <w:t xml:space="preserve"> </w:t>
      </w:r>
      <w:r w:rsidR="00982842">
        <w:rPr>
          <w:shd w:val="clear" w:color="auto" w:fill="FFFFFF"/>
        </w:rPr>
        <w:t>of</w:t>
      </w:r>
      <w:r w:rsidR="007B4918">
        <w:rPr>
          <w:shd w:val="clear" w:color="auto" w:fill="FFFFFF"/>
        </w:rPr>
        <w:t xml:space="preserve"> the sample groups</w:t>
      </w:r>
      <w:r w:rsidR="00457EFD">
        <w:rPr>
          <w:shd w:val="clear" w:color="auto" w:fill="FFFFFF"/>
        </w:rPr>
        <w:t xml:space="preserve"> </w:t>
      </w:r>
      <w:r w:rsidR="00982842">
        <w:rPr>
          <w:shd w:val="clear" w:color="auto" w:fill="FFFFFF"/>
        </w:rPr>
        <w:t>that account for the great</w:t>
      </w:r>
      <w:r w:rsidR="004731AE">
        <w:rPr>
          <w:shd w:val="clear" w:color="auto" w:fill="FFFFFF"/>
        </w:rPr>
        <w:t>est</w:t>
      </w:r>
      <w:r w:rsidR="00982842">
        <w:rPr>
          <w:shd w:val="clear" w:color="auto" w:fill="FFFFFF"/>
        </w:rPr>
        <w:t xml:space="preserve"> variation in the data. </w:t>
      </w:r>
    </w:p>
    <w:p w14:paraId="7FF29773" w14:textId="5454ECDA" w:rsidR="009B6106" w:rsidRPr="009B6106" w:rsidRDefault="009B6106" w:rsidP="009B6106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9B6106">
        <w:rPr>
          <w:rFonts w:ascii="Arial" w:hAnsi="Arial" w:cs="Arial"/>
          <w:color w:val="222222"/>
          <w:sz w:val="20"/>
          <w:szCs w:val="20"/>
          <w:shd w:val="clear" w:color="auto" w:fill="FFFFFF"/>
        </w:rPr>
        <w:t>Summary statistics</w:t>
      </w:r>
    </w:p>
    <w:p w14:paraId="590F4D3F" w14:textId="60A469AE" w:rsidR="009B6106" w:rsidRPr="00B87992" w:rsidRDefault="002B6CF6">
      <w:r>
        <w:t>The groups gene expression and Log</w:t>
      </w:r>
      <w:r w:rsidRPr="002B6CF6">
        <w:rPr>
          <w:vertAlign w:val="superscript"/>
        </w:rPr>
        <w:t>2</w:t>
      </w:r>
      <w:r>
        <w:t>Fold change were filtered for p-values &lt; 0.05 and absolute fold changes greater than 1 for Gout and 2 for SA were carried on the data sets. This created a shortlist of potential candidate genes to accomplish our aims. These genes were further filtered by a coefficient of variation &lt; 0.02 within the group expression counts to avoid outlier</w:t>
      </w:r>
      <w:r w:rsidR="00DB1639">
        <w:t>-</w:t>
      </w:r>
      <w:r>
        <w:t xml:space="preserve">influenced </w:t>
      </w:r>
      <w:r w:rsidR="00036293">
        <w:t>genes.</w:t>
      </w:r>
    </w:p>
    <w:p w14:paraId="6F5EAE1E" w14:textId="1E771E57" w:rsidR="009B6106" w:rsidRPr="009B6106" w:rsidRDefault="009B6106" w:rsidP="009B6106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9B6106">
        <w:rPr>
          <w:rFonts w:ascii="Arial" w:hAnsi="Arial" w:cs="Arial"/>
          <w:color w:val="222222"/>
          <w:sz w:val="20"/>
          <w:szCs w:val="20"/>
          <w:shd w:val="clear" w:color="auto" w:fill="FFFFFF"/>
        </w:rPr>
        <w:t>T</w:t>
      </w:r>
      <w:r w:rsidR="00CB6BCA">
        <w:rPr>
          <w:rFonts w:ascii="Arial" w:hAnsi="Arial" w:cs="Arial"/>
          <w:color w:val="222222"/>
          <w:sz w:val="20"/>
          <w:szCs w:val="20"/>
          <w:shd w:val="clear" w:color="auto" w:fill="FFFFFF"/>
        </w:rPr>
        <w:t>-</w:t>
      </w:r>
      <w:r w:rsidRPr="009B6106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tests </w:t>
      </w:r>
    </w:p>
    <w:p w14:paraId="24A307A2" w14:textId="3C1EFADF" w:rsidR="009B6106" w:rsidRDefault="00982842" w:rsidP="00A661BF">
      <w:pPr>
        <w:rPr>
          <w:shd w:val="clear" w:color="auto" w:fill="FFFFFF"/>
        </w:rPr>
      </w:pPr>
      <w:r>
        <w:rPr>
          <w:shd w:val="clear" w:color="auto" w:fill="FFFFFF"/>
        </w:rPr>
        <w:t>Unpaired T</w:t>
      </w:r>
      <w:r w:rsidR="004731AE">
        <w:rPr>
          <w:shd w:val="clear" w:color="auto" w:fill="FFFFFF"/>
        </w:rPr>
        <w:t>-</w:t>
      </w:r>
      <w:r>
        <w:rPr>
          <w:shd w:val="clear" w:color="auto" w:fill="FFFFFF"/>
        </w:rPr>
        <w:t xml:space="preserve">tests </w:t>
      </w:r>
      <w:r w:rsidR="00D40054">
        <w:rPr>
          <w:shd w:val="clear" w:color="auto" w:fill="FFFFFF"/>
        </w:rPr>
        <w:t xml:space="preserve">were carried using the R function </w:t>
      </w:r>
      <w:proofErr w:type="spellStart"/>
      <w:r w:rsidR="00D40054">
        <w:rPr>
          <w:shd w:val="clear" w:color="auto" w:fill="FFFFFF"/>
        </w:rPr>
        <w:t>stat_comare_</w:t>
      </w:r>
      <w:proofErr w:type="gramStart"/>
      <w:r w:rsidR="00D40054">
        <w:rPr>
          <w:shd w:val="clear" w:color="auto" w:fill="FFFFFF"/>
        </w:rPr>
        <w:t>means</w:t>
      </w:r>
      <w:proofErr w:type="spellEnd"/>
      <w:r w:rsidR="00D40054">
        <w:rPr>
          <w:shd w:val="clear" w:color="auto" w:fill="FFFFFF"/>
        </w:rPr>
        <w:t>(</w:t>
      </w:r>
      <w:proofErr w:type="gramEnd"/>
      <w:r w:rsidR="00D40054">
        <w:rPr>
          <w:shd w:val="clear" w:color="auto" w:fill="FFFFFF"/>
        </w:rPr>
        <w:t>)</w:t>
      </w:r>
      <w:r w:rsidR="00773B4D">
        <w:rPr>
          <w:shd w:val="clear" w:color="auto" w:fill="FFFFFF"/>
        </w:rPr>
        <w:t xml:space="preserve"> {</w:t>
      </w:r>
      <w:proofErr w:type="spellStart"/>
      <w:r w:rsidR="00D40054">
        <w:rPr>
          <w:shd w:val="clear" w:color="auto" w:fill="FFFFFF"/>
        </w:rPr>
        <w:t>ggpu</w:t>
      </w:r>
      <w:r w:rsidR="00773B4D">
        <w:rPr>
          <w:shd w:val="clear" w:color="auto" w:fill="FFFFFF"/>
        </w:rPr>
        <w:t>br</w:t>
      </w:r>
      <w:proofErr w:type="spellEnd"/>
      <w:r w:rsidR="00773B4D">
        <w:rPr>
          <w:shd w:val="clear" w:color="auto" w:fill="FFFFFF"/>
        </w:rPr>
        <w:t>}</w:t>
      </w:r>
      <w:r w:rsidR="00157C84">
        <w:rPr>
          <w:shd w:val="clear" w:color="auto" w:fill="FFFFFF"/>
        </w:rPr>
        <w:t>, the p-values generated can be seen in the boxplot figures</w:t>
      </w:r>
      <w:r w:rsidR="00CB6BCA">
        <w:rPr>
          <w:shd w:val="clear" w:color="auto" w:fill="FFFFFF"/>
        </w:rPr>
        <w:t xml:space="preserve"> 3 -5</w:t>
      </w:r>
      <w:r w:rsidR="00157C84">
        <w:rPr>
          <w:shd w:val="clear" w:color="auto" w:fill="FFFFFF"/>
        </w:rPr>
        <w:t xml:space="preserve">. </w:t>
      </w:r>
    </w:p>
    <w:p w14:paraId="4DDE188A" w14:textId="3620624E" w:rsidR="009B6106" w:rsidRPr="009B6106" w:rsidRDefault="009B6106" w:rsidP="009B6106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9B6106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GLM </w:t>
      </w:r>
    </w:p>
    <w:p w14:paraId="7D31088F" w14:textId="3BBAF721" w:rsidR="009B6106" w:rsidRDefault="00CB3D05" w:rsidP="00A661BF">
      <w:pPr>
        <w:rPr>
          <w:shd w:val="clear" w:color="auto" w:fill="FFFFFF"/>
        </w:rPr>
      </w:pPr>
      <w:r>
        <w:rPr>
          <w:shd w:val="clear" w:color="auto" w:fill="FFFFFF"/>
        </w:rPr>
        <w:t xml:space="preserve">Using both the </w:t>
      </w:r>
      <w:proofErr w:type="spellStart"/>
      <w:proofErr w:type="gramStart"/>
      <w:r>
        <w:rPr>
          <w:shd w:val="clear" w:color="auto" w:fill="FFFFFF"/>
        </w:rPr>
        <w:t>glm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 xml:space="preserve">) {stats} and </w:t>
      </w:r>
      <w:proofErr w:type="spellStart"/>
      <w:r>
        <w:rPr>
          <w:shd w:val="clear" w:color="auto" w:fill="FFFFFF"/>
        </w:rPr>
        <w:t>logistf</w:t>
      </w:r>
      <w:proofErr w:type="spellEnd"/>
      <w:r>
        <w:rPr>
          <w:shd w:val="clear" w:color="auto" w:fill="FFFFFF"/>
        </w:rPr>
        <w:t>()</w:t>
      </w:r>
      <w:r w:rsidR="00D82B4C">
        <w:rPr>
          <w:shd w:val="clear" w:color="auto" w:fill="FFFFFF"/>
        </w:rPr>
        <w:t xml:space="preserve"> </w:t>
      </w:r>
      <w:r>
        <w:rPr>
          <w:shd w:val="clear" w:color="auto" w:fill="FFFFFF"/>
        </w:rPr>
        <w:t>{</w:t>
      </w:r>
      <w:proofErr w:type="spellStart"/>
      <w:r w:rsidR="00D82B4C">
        <w:rPr>
          <w:shd w:val="clear" w:color="auto" w:fill="FFFFFF"/>
        </w:rPr>
        <w:t>logistf</w:t>
      </w:r>
      <w:proofErr w:type="spellEnd"/>
      <w:r w:rsidR="00D82B4C">
        <w:rPr>
          <w:shd w:val="clear" w:color="auto" w:fill="FFFFFF"/>
        </w:rPr>
        <w:t xml:space="preserve">}, GLMs were generated and </w:t>
      </w:r>
      <w:r w:rsidR="007C0CB0">
        <w:rPr>
          <w:shd w:val="clear" w:color="auto" w:fill="FFFFFF"/>
        </w:rPr>
        <w:t xml:space="preserve">model diagnostics were carried out with </w:t>
      </w:r>
      <w:proofErr w:type="spellStart"/>
      <w:r w:rsidR="007C0CB0">
        <w:rPr>
          <w:shd w:val="clear" w:color="auto" w:fill="FFFFFF"/>
        </w:rPr>
        <w:t>autoplot</w:t>
      </w:r>
      <w:proofErr w:type="spellEnd"/>
      <w:r w:rsidR="007C0CB0">
        <w:rPr>
          <w:shd w:val="clear" w:color="auto" w:fill="FFFFFF"/>
        </w:rPr>
        <w:t xml:space="preserve">() to generate potential predictive models. </w:t>
      </w:r>
    </w:p>
    <w:p w14:paraId="586BE711" w14:textId="3B85C7DE" w:rsidR="009B6106" w:rsidRDefault="009B6106" w:rsidP="008E42EB">
      <w:pPr>
        <w:pStyle w:val="Subtitle"/>
        <w:rPr>
          <w:shd w:val="clear" w:color="auto" w:fill="FFFFFF"/>
        </w:rPr>
      </w:pPr>
      <w:r>
        <w:rPr>
          <w:shd w:val="clear" w:color="auto" w:fill="FFFFFF"/>
        </w:rPr>
        <w:lastRenderedPageBreak/>
        <w:t>Results</w:t>
      </w:r>
    </w:p>
    <w:p w14:paraId="60A1C981" w14:textId="5112EE60" w:rsidR="00301152" w:rsidRPr="00301152" w:rsidRDefault="00301152">
      <w:pPr>
        <w:rPr>
          <w:rFonts w:ascii="Arial" w:hAnsi="Arial" w:cs="Arial"/>
          <w:i/>
          <w:iCs/>
          <w:color w:val="222222"/>
          <w:sz w:val="20"/>
          <w:szCs w:val="20"/>
          <w:u w:val="single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z w:val="20"/>
          <w:szCs w:val="20"/>
          <w:u w:val="single"/>
          <w:shd w:val="clear" w:color="auto" w:fill="FFFFFF"/>
        </w:rPr>
        <w:t>Principal component analysis</w:t>
      </w:r>
    </w:p>
    <w:p w14:paraId="61B88333" w14:textId="09E831EC" w:rsidR="00C7096B" w:rsidRDefault="00EC41CD">
      <w:r>
        <w:t>A PCA was carried out</w:t>
      </w:r>
      <w:r w:rsidR="002C2398">
        <w:t xml:space="preserve"> on t</w:t>
      </w:r>
      <w:r w:rsidR="002C2398">
        <w:t xml:space="preserve">he expression table </w:t>
      </w:r>
      <w:r w:rsidR="002C2398">
        <w:t xml:space="preserve">that </w:t>
      </w:r>
      <w:r w:rsidR="002C2398">
        <w:t>contains the gene expression measurements of roughly 30,000 genes f</w:t>
      </w:r>
      <w:r w:rsidR="002C2398">
        <w:t>rom</w:t>
      </w:r>
      <w:r w:rsidR="002C2398">
        <w:t xml:space="preserve"> the 27 patients. </w:t>
      </w:r>
      <w:r w:rsidR="002C2398">
        <w:t>This was</w:t>
      </w:r>
      <w:r>
        <w:t xml:space="preserve"> to initially verify if the </w:t>
      </w:r>
      <w:r>
        <w:t xml:space="preserve">first two </w:t>
      </w:r>
      <w:r>
        <w:t>components could distinguish between the sample groups.</w:t>
      </w:r>
      <w:r>
        <w:t xml:space="preserve"> </w:t>
      </w:r>
      <w:r w:rsidR="00C942C1">
        <w:t xml:space="preserve">Figure 1 shows that the SA group is separate from the </w:t>
      </w:r>
      <w:r w:rsidR="00257BA2">
        <w:t xml:space="preserve">HC and Gout groups, and the latter groups appear to </w:t>
      </w:r>
      <w:r w:rsidR="0066532B">
        <w:t xml:space="preserve">overlap. This could mean that the underlying </w:t>
      </w:r>
      <w:r w:rsidR="00312E0C">
        <w:t>pattern</w:t>
      </w:r>
      <w:r w:rsidR="0066532B">
        <w:t xml:space="preserve"> in expression </w:t>
      </w:r>
      <w:r w:rsidR="00C82535">
        <w:t>show</w:t>
      </w:r>
      <w:r w:rsidR="004308D4">
        <w:t>s</w:t>
      </w:r>
      <w:r w:rsidR="00C82535">
        <w:t xml:space="preserve"> HC and Gout</w:t>
      </w:r>
      <w:r w:rsidR="004308D4">
        <w:t xml:space="preserve"> samples are more </w:t>
      </w:r>
      <w:proofErr w:type="gramStart"/>
      <w:r w:rsidR="004308D4">
        <w:t>similar to</w:t>
      </w:r>
      <w:proofErr w:type="gramEnd"/>
      <w:r w:rsidR="004308D4">
        <w:t xml:space="preserve"> each other</w:t>
      </w:r>
      <w:r w:rsidR="006E562B">
        <w:t xml:space="preserve">, </w:t>
      </w:r>
      <w:r w:rsidR="004308D4">
        <w:t>where SA</w:t>
      </w:r>
      <w:r w:rsidR="00C95485">
        <w:t xml:space="preserve"> sample gene expression i</w:t>
      </w:r>
      <w:r w:rsidR="00B808D4">
        <w:t>s distinct</w:t>
      </w:r>
      <w:r w:rsidR="006E562B">
        <w:t xml:space="preserve">. </w:t>
      </w:r>
    </w:p>
    <w:p w14:paraId="796492B2" w14:textId="77777777" w:rsidR="00A263EC" w:rsidRDefault="00A263EC"/>
    <w:p w14:paraId="65BD6F50" w14:textId="5A7A405E" w:rsidR="001338FF" w:rsidRDefault="00C7096B" w:rsidP="00A263EC">
      <w:pPr>
        <w:jc w:val="center"/>
      </w:pPr>
      <w:r w:rsidRPr="00C7096B">
        <w:rPr>
          <w:noProof/>
        </w:rPr>
        <w:drawing>
          <wp:inline distT="0" distB="0" distL="0" distR="0" wp14:anchorId="24FB24D6" wp14:editId="7F8B9AF6">
            <wp:extent cx="4686300" cy="3707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3446" cy="372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23EE" w14:textId="31821B09" w:rsidR="001338FF" w:rsidRDefault="001338FF"/>
    <w:p w14:paraId="6753EA5B" w14:textId="195286D8" w:rsidR="00EB285D" w:rsidRDefault="00EB285D"/>
    <w:p w14:paraId="0E0BC185" w14:textId="740BD5DE" w:rsidR="00EB285D" w:rsidRDefault="00EB285D"/>
    <w:p w14:paraId="05189B97" w14:textId="1C159FBD" w:rsidR="00EB285D" w:rsidRDefault="00EB285D"/>
    <w:p w14:paraId="049DCBC3" w14:textId="349EB0DC" w:rsidR="00EB285D" w:rsidRDefault="00EB285D"/>
    <w:p w14:paraId="46F3CA87" w14:textId="11AD7862" w:rsidR="00EB285D" w:rsidRDefault="00EB285D"/>
    <w:p w14:paraId="46F00B30" w14:textId="01EA0423" w:rsidR="00EB285D" w:rsidRDefault="00EB285D"/>
    <w:p w14:paraId="09AD6213" w14:textId="5B981E96" w:rsidR="00EB285D" w:rsidRDefault="00EB285D"/>
    <w:p w14:paraId="75DA4D5A" w14:textId="52D663B0" w:rsidR="00EB285D" w:rsidRDefault="00EB285D"/>
    <w:p w14:paraId="05BB49A8" w14:textId="7D056906" w:rsidR="00EB285D" w:rsidRDefault="00EB285D"/>
    <w:p w14:paraId="539B17D2" w14:textId="7FEDAAE0" w:rsidR="00EB285D" w:rsidRDefault="00EB285D"/>
    <w:p w14:paraId="6054FF29" w14:textId="77777777" w:rsidR="00EB285D" w:rsidRDefault="00EB285D"/>
    <w:p w14:paraId="14B9C845" w14:textId="37CDB092" w:rsidR="0045320F" w:rsidRDefault="00301152">
      <w:pPr>
        <w:rPr>
          <w:i/>
          <w:iCs/>
          <w:u w:val="single"/>
        </w:rPr>
      </w:pPr>
      <w:r>
        <w:rPr>
          <w:i/>
          <w:iCs/>
          <w:u w:val="single"/>
        </w:rPr>
        <w:lastRenderedPageBreak/>
        <w:t>Clinical Sample information</w:t>
      </w:r>
    </w:p>
    <w:p w14:paraId="68FBA15C" w14:textId="77777777" w:rsidR="00EB285D" w:rsidRPr="00301152" w:rsidRDefault="00EB285D">
      <w:pPr>
        <w:rPr>
          <w:i/>
          <w:iCs/>
          <w:u w:val="single"/>
        </w:rPr>
      </w:pPr>
    </w:p>
    <w:p w14:paraId="604F2300" w14:textId="722AAB98" w:rsidR="00301152" w:rsidRDefault="001338FF" w:rsidP="001338FF">
      <w:pPr>
        <w:jc w:val="center"/>
      </w:pPr>
      <w:r w:rsidRPr="001338FF">
        <w:rPr>
          <w:noProof/>
        </w:rPr>
        <w:drawing>
          <wp:inline distT="0" distB="0" distL="0" distR="0" wp14:anchorId="5656E230" wp14:editId="18FB0CE7">
            <wp:extent cx="4835770" cy="397742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1972" cy="39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D077" w14:textId="77777777" w:rsidR="00882DB0" w:rsidRDefault="00882DB0" w:rsidP="001338FF">
      <w:pPr>
        <w:jc w:val="center"/>
      </w:pPr>
    </w:p>
    <w:p w14:paraId="2B295058" w14:textId="08000546" w:rsidR="00DB7B19" w:rsidRDefault="006E562B">
      <w:r>
        <w:t xml:space="preserve">The information </w:t>
      </w:r>
      <w:r w:rsidR="003317BD">
        <w:t xml:space="preserve">from </w:t>
      </w:r>
      <w:r w:rsidR="00EE7A27">
        <w:t>the</w:t>
      </w:r>
      <w:r w:rsidR="003317BD">
        <w:t xml:space="preserve"> study patient</w:t>
      </w:r>
      <w:r w:rsidR="00EE7A27">
        <w:t>s</w:t>
      </w:r>
      <w:r w:rsidR="003317BD">
        <w:t xml:space="preserve"> </w:t>
      </w:r>
      <w:r w:rsidR="00EE7A27">
        <w:t>shows</w:t>
      </w:r>
      <w:r w:rsidR="003317BD">
        <w:t xml:space="preserve"> a </w:t>
      </w:r>
      <w:r w:rsidR="00EE7A27">
        <w:t xml:space="preserve">balance in the sexes, </w:t>
      </w:r>
      <w:r w:rsidR="00912E79">
        <w:t xml:space="preserve">the neutrophil count was taken from the whole blood samples. These counts can be seen in Figure 2, </w:t>
      </w:r>
      <w:r w:rsidR="00DB1639">
        <w:t>which</w:t>
      </w:r>
      <w:r w:rsidR="005D73AC">
        <w:t xml:space="preserve"> shows a great overlap in the counts for HC and Gout and that </w:t>
      </w:r>
      <w:r w:rsidR="006164D7">
        <w:t xml:space="preserve">there is </w:t>
      </w:r>
      <w:r w:rsidR="00DB1639">
        <w:t xml:space="preserve">a </w:t>
      </w:r>
      <w:r w:rsidR="006164D7">
        <w:t>significant portion of SA patients that</w:t>
      </w:r>
      <w:r w:rsidR="00912E79">
        <w:t xml:space="preserve"> </w:t>
      </w:r>
      <w:r w:rsidR="006164D7">
        <w:t xml:space="preserve">have a count above 10. This </w:t>
      </w:r>
      <w:r w:rsidR="00B808D4">
        <w:t>difference in distribution</w:t>
      </w:r>
      <w:r w:rsidR="00B808D4">
        <w:t xml:space="preserve"> </w:t>
      </w:r>
      <w:r w:rsidR="00914354">
        <w:t xml:space="preserve">in neutrophil counts </w:t>
      </w:r>
      <w:r w:rsidR="006164D7">
        <w:t xml:space="preserve">between the </w:t>
      </w:r>
      <w:r w:rsidR="00325A84">
        <w:t>two conditions</w:t>
      </w:r>
      <w:r w:rsidR="00DB7B19">
        <w:t xml:space="preserve"> coincides with the acute inflammatory </w:t>
      </w:r>
      <w:r w:rsidR="00693E54">
        <w:t>response of a septic infection versus the chronic inflammation of Gout.</w:t>
      </w:r>
    </w:p>
    <w:p w14:paraId="2EBF1C1E" w14:textId="7C1B54F2" w:rsidR="0045320F" w:rsidRDefault="0045320F"/>
    <w:p w14:paraId="3F96C173" w14:textId="1588243C" w:rsidR="00882DB0" w:rsidRDefault="00882DB0"/>
    <w:p w14:paraId="22E2C1E7" w14:textId="703585EB" w:rsidR="00882DB0" w:rsidRDefault="00882DB0"/>
    <w:p w14:paraId="505F81C1" w14:textId="7B01ACD7" w:rsidR="00882DB0" w:rsidRDefault="00882DB0"/>
    <w:p w14:paraId="0A50AB3F" w14:textId="53C63C2B" w:rsidR="00882DB0" w:rsidRDefault="00882DB0"/>
    <w:p w14:paraId="76FF24DF" w14:textId="35366464" w:rsidR="00882DB0" w:rsidRDefault="00882DB0"/>
    <w:p w14:paraId="02B62108" w14:textId="201DD513" w:rsidR="00882DB0" w:rsidRDefault="00882DB0"/>
    <w:p w14:paraId="3383F0FA" w14:textId="67C084B4" w:rsidR="00882DB0" w:rsidRDefault="00882DB0"/>
    <w:p w14:paraId="5FAFDE15" w14:textId="78E7ACA8" w:rsidR="00882DB0" w:rsidRDefault="00882DB0"/>
    <w:p w14:paraId="6AD7B1D9" w14:textId="6FCEC5BE" w:rsidR="00882DB0" w:rsidRDefault="00882DB0"/>
    <w:p w14:paraId="6A850A39" w14:textId="0CE624D2" w:rsidR="00882DB0" w:rsidRDefault="00882DB0"/>
    <w:p w14:paraId="741F4648" w14:textId="6ED8289F" w:rsidR="00882DB0" w:rsidRDefault="00882DB0"/>
    <w:p w14:paraId="03C4614A" w14:textId="77777777" w:rsidR="00882DB0" w:rsidRDefault="00882DB0"/>
    <w:p w14:paraId="188C876A" w14:textId="74A67CF1" w:rsidR="002D716D" w:rsidRDefault="002D716D">
      <w:pPr>
        <w:rPr>
          <w:i/>
          <w:iCs/>
          <w:u w:val="single"/>
        </w:rPr>
      </w:pPr>
      <w:r w:rsidRPr="00301152">
        <w:rPr>
          <w:i/>
          <w:iCs/>
          <w:u w:val="single"/>
        </w:rPr>
        <w:t xml:space="preserve">Significant Differential </w:t>
      </w:r>
      <w:r w:rsidR="00301152" w:rsidRPr="00301152">
        <w:rPr>
          <w:i/>
          <w:iCs/>
          <w:u w:val="single"/>
        </w:rPr>
        <w:t>expression analysis</w:t>
      </w:r>
    </w:p>
    <w:p w14:paraId="321425C8" w14:textId="77777777" w:rsidR="0045320F" w:rsidRPr="00301152" w:rsidRDefault="0045320F">
      <w:pPr>
        <w:rPr>
          <w:i/>
          <w:iCs/>
          <w:u w:val="single"/>
        </w:rPr>
      </w:pPr>
    </w:p>
    <w:p w14:paraId="1DB83955" w14:textId="6621ACEC" w:rsidR="002D716D" w:rsidRDefault="0045320F" w:rsidP="0045320F">
      <w:pPr>
        <w:jc w:val="center"/>
      </w:pPr>
      <w:r w:rsidRPr="0045320F">
        <w:rPr>
          <w:noProof/>
        </w:rPr>
        <w:drawing>
          <wp:inline distT="0" distB="0" distL="0" distR="0" wp14:anchorId="10E1A657" wp14:editId="565A6D58">
            <wp:extent cx="4958862" cy="38927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1905" cy="39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BF6A" w14:textId="77777777" w:rsidR="00882DB0" w:rsidRDefault="00882DB0" w:rsidP="0045320F">
      <w:pPr>
        <w:jc w:val="center"/>
      </w:pPr>
    </w:p>
    <w:p w14:paraId="09A548F5" w14:textId="6B53FDEB" w:rsidR="002B6CF6" w:rsidRDefault="002B6CF6">
      <w:pPr>
        <w:rPr>
          <w:rFonts w:cs="Times New Roman"/>
          <w:color w:val="1A1A1A"/>
        </w:rPr>
      </w:pPr>
      <w:r>
        <w:t xml:space="preserve">In Figure 3, significant genes </w:t>
      </w:r>
      <w:r w:rsidR="00F70C4C">
        <w:t>shortlisted</w:t>
      </w:r>
      <w:r>
        <w:t xml:space="preserve"> by the summary statistics were plotted</w:t>
      </w:r>
      <w:r w:rsidR="001D493F">
        <w:t xml:space="preserve"> in boxplot</w:t>
      </w:r>
      <w:r w:rsidR="00F70C4C">
        <w:t>s</w:t>
      </w:r>
      <w:r w:rsidR="001D493F">
        <w:t xml:space="preserve"> and unpaired t-tests were carried </w:t>
      </w:r>
      <w:r w:rsidR="00F70C4C">
        <w:t xml:space="preserve">out </w:t>
      </w:r>
      <w:r w:rsidR="001D493F">
        <w:t>amongst HC and Gout groups.</w:t>
      </w:r>
      <w:r w:rsidR="00520E2B">
        <w:t xml:space="preserve"> The significant genes </w:t>
      </w:r>
      <w:r w:rsidR="00EE106F">
        <w:t xml:space="preserve">are </w:t>
      </w:r>
      <w:r w:rsidR="00B83AB3" w:rsidRPr="00B83AB3">
        <w:rPr>
          <w:i/>
          <w:iCs/>
        </w:rPr>
        <w:t>PCP2</w:t>
      </w:r>
      <w:r w:rsidR="00B83AB3">
        <w:t xml:space="preserve">, </w:t>
      </w:r>
      <w:r w:rsidR="00B83AB3">
        <w:rPr>
          <w:rFonts w:cs="Times New Roman"/>
          <w:i/>
          <w:iCs/>
          <w:color w:val="1A1A1A"/>
        </w:rPr>
        <w:t xml:space="preserve">SNHG25, AC010300.1, Z82217.1, SMKR1, </w:t>
      </w:r>
      <w:r w:rsidR="00B83AB3" w:rsidRPr="00B83AB3">
        <w:rPr>
          <w:rFonts w:cs="Times New Roman"/>
          <w:color w:val="1A1A1A"/>
        </w:rPr>
        <w:t>and</w:t>
      </w:r>
      <w:r w:rsidR="00B83AB3">
        <w:rPr>
          <w:rFonts w:cs="Times New Roman"/>
          <w:i/>
          <w:iCs/>
          <w:color w:val="1A1A1A"/>
        </w:rPr>
        <w:t xml:space="preserve"> SNORA73B.</w:t>
      </w:r>
      <w:r w:rsidR="00693E54">
        <w:rPr>
          <w:rFonts w:cs="Times New Roman"/>
          <w:color w:val="1A1A1A"/>
        </w:rPr>
        <w:t xml:space="preserve"> Several</w:t>
      </w:r>
      <w:r w:rsidR="001B4F51">
        <w:rPr>
          <w:rFonts w:cs="Times New Roman"/>
          <w:color w:val="1A1A1A"/>
        </w:rPr>
        <w:t xml:space="preserve"> outliers can be seen in certain Gout </w:t>
      </w:r>
      <w:r w:rsidR="00022697">
        <w:rPr>
          <w:rFonts w:cs="Times New Roman"/>
          <w:color w:val="1A1A1A"/>
        </w:rPr>
        <w:t>samples;</w:t>
      </w:r>
      <w:r w:rsidR="001B4F51">
        <w:rPr>
          <w:rFonts w:cs="Times New Roman"/>
          <w:color w:val="1A1A1A"/>
        </w:rPr>
        <w:t xml:space="preserve"> this is perhaps why they appeared significant in the summary statistics. </w:t>
      </w:r>
      <w:r w:rsidR="007E320A">
        <w:rPr>
          <w:rFonts w:cs="Times New Roman"/>
          <w:color w:val="1A1A1A"/>
        </w:rPr>
        <w:t xml:space="preserve">There is a homogenous mixture of both down and up-regulated genes compared to the HC group. </w:t>
      </w:r>
      <w:r w:rsidR="00694DD5">
        <w:rPr>
          <w:rFonts w:cs="Times New Roman"/>
          <w:color w:val="1A1A1A"/>
        </w:rPr>
        <w:t xml:space="preserve">The neutrophil counts are not significantly different compared to the control. </w:t>
      </w:r>
    </w:p>
    <w:p w14:paraId="79CFF9BB" w14:textId="70A1AF7E" w:rsidR="00694DD5" w:rsidRDefault="00A263EC" w:rsidP="00A263EC">
      <w:pPr>
        <w:jc w:val="center"/>
        <w:rPr>
          <w:rFonts w:cs="Times New Roman"/>
          <w:color w:val="1A1A1A"/>
        </w:rPr>
      </w:pPr>
      <w:r w:rsidRPr="00A263EC">
        <w:rPr>
          <w:rFonts w:cs="Times New Roman"/>
          <w:noProof/>
          <w:color w:val="1A1A1A"/>
        </w:rPr>
        <w:lastRenderedPageBreak/>
        <w:drawing>
          <wp:inline distT="0" distB="0" distL="0" distR="0" wp14:anchorId="5DA817AD" wp14:editId="0B0C4437">
            <wp:extent cx="5169877" cy="3828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7768" cy="383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79DA" w14:textId="77777777" w:rsidR="00882DB0" w:rsidRDefault="00882DB0" w:rsidP="00A263EC">
      <w:pPr>
        <w:jc w:val="center"/>
        <w:rPr>
          <w:rFonts w:cs="Times New Roman"/>
          <w:color w:val="1A1A1A"/>
        </w:rPr>
      </w:pPr>
    </w:p>
    <w:p w14:paraId="03399F48" w14:textId="68D07861" w:rsidR="00694DD5" w:rsidRDefault="00694DD5">
      <w:r>
        <w:rPr>
          <w:rFonts w:cs="Times New Roman"/>
          <w:color w:val="1A1A1A"/>
        </w:rPr>
        <w:t xml:space="preserve">In Figure 4, </w:t>
      </w:r>
      <w:r>
        <w:t xml:space="preserve">significant genes </w:t>
      </w:r>
      <w:r w:rsidR="00F70C4C">
        <w:t>shortlisted</w:t>
      </w:r>
      <w:r>
        <w:t xml:space="preserve"> by the summary statistics were plotted in boxplot</w:t>
      </w:r>
      <w:r w:rsidR="00F70C4C">
        <w:t>s</w:t>
      </w:r>
      <w:r>
        <w:t xml:space="preserve"> and unpaired t-tests were carried </w:t>
      </w:r>
      <w:r w:rsidR="00F70C4C">
        <w:t xml:space="preserve">out </w:t>
      </w:r>
      <w:r>
        <w:t xml:space="preserve">amongst HC and SA groups. </w:t>
      </w:r>
      <w:r w:rsidR="00667D08">
        <w:t>All the genes in the figure</w:t>
      </w:r>
      <w:r w:rsidR="00DA3E2F">
        <w:t xml:space="preserve">, </w:t>
      </w:r>
      <w:r w:rsidR="00667D08">
        <w:t xml:space="preserve">apart from the </w:t>
      </w:r>
      <w:r w:rsidR="00DA3E2F">
        <w:t xml:space="preserve">two down-regulated genes </w:t>
      </w:r>
      <w:r w:rsidR="00667D08" w:rsidRPr="00667D08">
        <w:rPr>
          <w:i/>
          <w:iCs/>
        </w:rPr>
        <w:t>FAR2</w:t>
      </w:r>
      <w:r w:rsidR="00667D08">
        <w:t xml:space="preserve"> and </w:t>
      </w:r>
      <w:r w:rsidR="00667D08" w:rsidRPr="00667D08">
        <w:rPr>
          <w:i/>
          <w:iCs/>
        </w:rPr>
        <w:t>PECR</w:t>
      </w:r>
      <w:r w:rsidR="00DA3E2F">
        <w:rPr>
          <w:i/>
          <w:iCs/>
        </w:rPr>
        <w:t>,</w:t>
      </w:r>
      <w:r w:rsidR="00667D08">
        <w:t xml:space="preserve"> </w:t>
      </w:r>
      <w:r w:rsidR="00DA3E2F">
        <w:t>are significant</w:t>
      </w:r>
      <w:r w:rsidR="002170FB">
        <w:t>ly different</w:t>
      </w:r>
      <w:r w:rsidR="00DA3E2F">
        <w:t xml:space="preserve">. There is a clear separation and upregulation in these genes compared to HC and the neutrophil counts are also significantly increased. </w:t>
      </w:r>
    </w:p>
    <w:p w14:paraId="086589FC" w14:textId="77777777" w:rsidR="00A263EC" w:rsidRDefault="00A263EC"/>
    <w:p w14:paraId="53F50496" w14:textId="3A6B3894" w:rsidR="007F034C" w:rsidRDefault="00A263EC" w:rsidP="00A263EC">
      <w:pPr>
        <w:jc w:val="center"/>
      </w:pPr>
      <w:r w:rsidRPr="00A263EC">
        <w:rPr>
          <w:noProof/>
        </w:rPr>
        <w:lastRenderedPageBreak/>
        <w:drawing>
          <wp:inline distT="0" distB="0" distL="0" distR="0" wp14:anchorId="2D338F86" wp14:editId="43761982">
            <wp:extent cx="4677508" cy="3591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896" cy="360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49CD" w14:textId="77777777" w:rsidR="00A263EC" w:rsidRDefault="00A263EC" w:rsidP="00A263EC">
      <w:pPr>
        <w:jc w:val="center"/>
      </w:pPr>
    </w:p>
    <w:p w14:paraId="580BE0E4" w14:textId="27EEBAF7" w:rsidR="000A321B" w:rsidRDefault="007F034C">
      <w:pPr>
        <w:rPr>
          <w:rFonts w:cs="Times New Roman"/>
          <w:color w:val="1A1A1A"/>
        </w:rPr>
      </w:pPr>
      <w:r>
        <w:t xml:space="preserve">In Figure 5, significant genes </w:t>
      </w:r>
      <w:r w:rsidR="00F70C4C">
        <w:t>shortlisted</w:t>
      </w:r>
      <w:r>
        <w:t xml:space="preserve"> by the summary statistics were plotted in boxplot</w:t>
      </w:r>
      <w:r w:rsidR="00F70C4C">
        <w:t>s</w:t>
      </w:r>
      <w:r>
        <w:t xml:space="preserve"> and unpaired t-tests were carried </w:t>
      </w:r>
      <w:r w:rsidR="00F70C4C">
        <w:t xml:space="preserve">out </w:t>
      </w:r>
      <w:r>
        <w:t>amongst SA and Gout groups.</w:t>
      </w:r>
      <w:r w:rsidR="00F867DB">
        <w:t xml:space="preserve"> The figure contains genes that were also present in Figure 4</w:t>
      </w:r>
      <w:r w:rsidR="00B53697">
        <w:t>;</w:t>
      </w:r>
      <w:r w:rsidR="00F867DB">
        <w:t xml:space="preserve"> </w:t>
      </w:r>
      <w:r w:rsidR="00F867DB" w:rsidRPr="00B53697">
        <w:rPr>
          <w:i/>
          <w:iCs/>
        </w:rPr>
        <w:t>S100A8</w:t>
      </w:r>
      <w:r w:rsidR="00B53697">
        <w:rPr>
          <w:i/>
          <w:iCs/>
        </w:rPr>
        <w:t xml:space="preserve">, </w:t>
      </w:r>
      <w:r w:rsidR="00B53697">
        <w:rPr>
          <w:rFonts w:cs="Times New Roman"/>
          <w:i/>
          <w:iCs/>
          <w:color w:val="1A1A1A"/>
        </w:rPr>
        <w:t xml:space="preserve">MPZL2, PDZK1IP1, TPBG, </w:t>
      </w:r>
      <w:r w:rsidR="0092792B">
        <w:rPr>
          <w:rFonts w:cs="Times New Roman"/>
          <w:i/>
          <w:iCs/>
          <w:color w:val="1A1A1A"/>
        </w:rPr>
        <w:t>FAM110</w:t>
      </w:r>
      <w:r w:rsidR="000A321B">
        <w:rPr>
          <w:rFonts w:cs="Times New Roman"/>
          <w:i/>
          <w:iCs/>
          <w:color w:val="1A1A1A"/>
        </w:rPr>
        <w:t>C,</w:t>
      </w:r>
      <w:r w:rsidR="0092792B">
        <w:rPr>
          <w:rFonts w:cs="Times New Roman"/>
          <w:i/>
          <w:iCs/>
          <w:color w:val="1A1A1A"/>
        </w:rPr>
        <w:t xml:space="preserve"> </w:t>
      </w:r>
      <w:r w:rsidR="00B53697" w:rsidRPr="0092792B">
        <w:rPr>
          <w:rFonts w:cs="Times New Roman"/>
          <w:color w:val="1A1A1A"/>
        </w:rPr>
        <w:t>and</w:t>
      </w:r>
      <w:r w:rsidR="00B53697">
        <w:rPr>
          <w:rFonts w:cs="Times New Roman"/>
          <w:i/>
          <w:iCs/>
          <w:color w:val="1A1A1A"/>
        </w:rPr>
        <w:t xml:space="preserve"> C10orf99</w:t>
      </w:r>
      <w:r w:rsidR="0092792B">
        <w:rPr>
          <w:rFonts w:cs="Times New Roman"/>
          <w:i/>
          <w:iCs/>
          <w:color w:val="1A1A1A"/>
        </w:rPr>
        <w:t xml:space="preserve">. </w:t>
      </w:r>
      <w:r w:rsidR="0092792B">
        <w:rPr>
          <w:rFonts w:cs="Times New Roman"/>
          <w:color w:val="1A1A1A"/>
        </w:rPr>
        <w:t xml:space="preserve"> Neutrophils are also significantly different </w:t>
      </w:r>
      <w:r w:rsidR="000A321B">
        <w:rPr>
          <w:rFonts w:cs="Times New Roman"/>
          <w:color w:val="1A1A1A"/>
        </w:rPr>
        <w:t>between both groups, although not to the same extent as in Figure 4.</w:t>
      </w:r>
    </w:p>
    <w:p w14:paraId="455451A2" w14:textId="4ECC9A0E" w:rsidR="008E42EB" w:rsidRDefault="008E42EB">
      <w:pPr>
        <w:rPr>
          <w:rFonts w:cs="Times New Roman"/>
          <w:color w:val="1A1A1A"/>
        </w:rPr>
      </w:pPr>
    </w:p>
    <w:p w14:paraId="1A3EDBA3" w14:textId="239F274F" w:rsidR="008E42EB" w:rsidRDefault="008E42EB" w:rsidP="008E42EB">
      <w:pPr>
        <w:pStyle w:val="Subtitle"/>
      </w:pPr>
      <w:r>
        <w:t>Discussion</w:t>
      </w:r>
    </w:p>
    <w:p w14:paraId="7D8E0E62" w14:textId="77777777" w:rsidR="000A321B" w:rsidRDefault="000A321B">
      <w:pPr>
        <w:rPr>
          <w:rFonts w:cs="Times New Roman"/>
          <w:color w:val="1A1A1A"/>
        </w:rPr>
      </w:pPr>
    </w:p>
    <w:p w14:paraId="755B7244" w14:textId="6260DDCA" w:rsidR="00F354C3" w:rsidRDefault="000A321B">
      <w:pPr>
        <w:rPr>
          <w:rFonts w:cs="Times New Roman"/>
          <w:color w:val="1A1A1A"/>
        </w:rPr>
      </w:pPr>
      <w:r>
        <w:rPr>
          <w:rFonts w:cs="Times New Roman"/>
          <w:color w:val="1A1A1A"/>
        </w:rPr>
        <w:t xml:space="preserve"> </w:t>
      </w:r>
      <w:r w:rsidR="00D91775">
        <w:rPr>
          <w:rFonts w:cs="Times New Roman"/>
          <w:color w:val="1A1A1A"/>
        </w:rPr>
        <w:t>T</w:t>
      </w:r>
      <w:r w:rsidR="00AE2F69">
        <w:rPr>
          <w:rFonts w:cs="Times New Roman"/>
          <w:color w:val="1A1A1A"/>
        </w:rPr>
        <w:t xml:space="preserve">here is a clear distinction in the </w:t>
      </w:r>
      <w:r w:rsidR="00F87F3A">
        <w:rPr>
          <w:rFonts w:cs="Times New Roman"/>
          <w:color w:val="1A1A1A"/>
        </w:rPr>
        <w:t xml:space="preserve">gene expression between the two disease groups and the healthy controls. </w:t>
      </w:r>
      <w:r w:rsidR="00F70C4C">
        <w:rPr>
          <w:rFonts w:cs="Times New Roman"/>
          <w:color w:val="1A1A1A"/>
        </w:rPr>
        <w:t>This study aimed to ascertain the significantly differentially expressed gene to</w:t>
      </w:r>
      <w:r w:rsidR="00F87F3A">
        <w:rPr>
          <w:rFonts w:cs="Times New Roman"/>
          <w:color w:val="1A1A1A"/>
        </w:rPr>
        <w:t xml:space="preserve"> </w:t>
      </w:r>
      <w:r w:rsidR="00E43CB9">
        <w:rPr>
          <w:rFonts w:cs="Times New Roman"/>
          <w:color w:val="1A1A1A"/>
        </w:rPr>
        <w:t>develop</w:t>
      </w:r>
      <w:r w:rsidR="00F87F3A">
        <w:rPr>
          <w:rFonts w:cs="Times New Roman"/>
          <w:color w:val="1A1A1A"/>
        </w:rPr>
        <w:t xml:space="preserve"> some predictive test to </w:t>
      </w:r>
      <w:r w:rsidR="00172706">
        <w:rPr>
          <w:rFonts w:cs="Times New Roman"/>
          <w:color w:val="1A1A1A"/>
        </w:rPr>
        <w:t xml:space="preserve">distinguish between these two </w:t>
      </w:r>
      <w:r w:rsidR="00E86EF1">
        <w:rPr>
          <w:rFonts w:cs="Times New Roman"/>
          <w:color w:val="1A1A1A"/>
        </w:rPr>
        <w:t xml:space="preserve">similar physiological symptoms. </w:t>
      </w:r>
      <w:r w:rsidR="00A315AF">
        <w:rPr>
          <w:rFonts w:cs="Times New Roman"/>
          <w:color w:val="1A1A1A"/>
        </w:rPr>
        <w:t xml:space="preserve">A generalized linear model using a binomial link function was </w:t>
      </w:r>
      <w:r w:rsidR="00D52A7A">
        <w:rPr>
          <w:rFonts w:cs="Times New Roman"/>
          <w:color w:val="1A1A1A"/>
        </w:rPr>
        <w:t xml:space="preserve">used to predict whether certain genes had predictive weight </w:t>
      </w:r>
      <w:r w:rsidR="00D67368">
        <w:rPr>
          <w:rFonts w:cs="Times New Roman"/>
          <w:color w:val="1A1A1A"/>
        </w:rPr>
        <w:t xml:space="preserve">to </w:t>
      </w:r>
      <w:r w:rsidR="004958E7">
        <w:rPr>
          <w:rFonts w:cs="Times New Roman"/>
          <w:color w:val="1A1A1A"/>
        </w:rPr>
        <w:t>extricate</w:t>
      </w:r>
      <w:r w:rsidR="00D67368">
        <w:rPr>
          <w:rFonts w:cs="Times New Roman"/>
          <w:color w:val="1A1A1A"/>
        </w:rPr>
        <w:t xml:space="preserve"> between the disease groups and a healthy baseline set by the controls.</w:t>
      </w:r>
      <w:r w:rsidR="00334A2C">
        <w:rPr>
          <w:rFonts w:cs="Times New Roman"/>
          <w:color w:val="1A1A1A"/>
        </w:rPr>
        <w:t xml:space="preserve"> </w:t>
      </w:r>
      <w:r w:rsidR="00693E54">
        <w:rPr>
          <w:rFonts w:cs="Times New Roman"/>
          <w:color w:val="1A1A1A"/>
        </w:rPr>
        <w:t xml:space="preserve">The </w:t>
      </w:r>
      <w:r w:rsidR="00334A2C">
        <w:rPr>
          <w:rFonts w:cs="Times New Roman"/>
          <w:color w:val="1A1A1A"/>
        </w:rPr>
        <w:t>H</w:t>
      </w:r>
      <w:r w:rsidR="00334A2C" w:rsidRPr="00334A2C">
        <w:rPr>
          <w:rFonts w:cs="Times New Roman"/>
          <w:color w:val="1A1A1A"/>
          <w:vertAlign w:val="subscript"/>
        </w:rPr>
        <w:t>0</w:t>
      </w:r>
      <w:r w:rsidR="00334A2C">
        <w:rPr>
          <w:rFonts w:cs="Times New Roman"/>
          <w:color w:val="1A1A1A"/>
        </w:rPr>
        <w:t xml:space="preserve"> was that</w:t>
      </w:r>
      <w:r w:rsidR="00E350BC">
        <w:rPr>
          <w:rFonts w:cs="Times New Roman"/>
          <w:color w:val="1A1A1A"/>
        </w:rPr>
        <w:t xml:space="preserve"> the level of</w:t>
      </w:r>
      <w:r w:rsidR="00334A2C">
        <w:rPr>
          <w:rFonts w:cs="Times New Roman"/>
          <w:color w:val="1A1A1A"/>
        </w:rPr>
        <w:t xml:space="preserve"> </w:t>
      </w:r>
      <w:r w:rsidR="007E5C90">
        <w:rPr>
          <w:rFonts w:cs="Times New Roman"/>
          <w:color w:val="1A1A1A"/>
        </w:rPr>
        <w:t>gene expression predicts for the healthy control</w:t>
      </w:r>
      <w:r w:rsidR="0039143E">
        <w:rPr>
          <w:rFonts w:cs="Times New Roman"/>
          <w:color w:val="1A1A1A"/>
        </w:rPr>
        <w:t xml:space="preserve"> group</w:t>
      </w:r>
      <w:r w:rsidR="00693E54">
        <w:rPr>
          <w:rFonts w:cs="Times New Roman"/>
          <w:color w:val="1A1A1A"/>
        </w:rPr>
        <w:t>.</w:t>
      </w:r>
      <w:r w:rsidR="0039143E">
        <w:rPr>
          <w:rFonts w:cs="Times New Roman"/>
          <w:color w:val="1A1A1A"/>
        </w:rPr>
        <w:t xml:space="preserve"> </w:t>
      </w:r>
      <w:r w:rsidR="00693E54">
        <w:rPr>
          <w:rFonts w:cs="Times New Roman"/>
          <w:color w:val="1A1A1A"/>
        </w:rPr>
        <w:t>T</w:t>
      </w:r>
      <w:r w:rsidR="007E5C90">
        <w:rPr>
          <w:rFonts w:cs="Times New Roman"/>
          <w:color w:val="1A1A1A"/>
        </w:rPr>
        <w:t>he H</w:t>
      </w:r>
      <w:r w:rsidR="007E5C90">
        <w:rPr>
          <w:rFonts w:cs="Times New Roman"/>
          <w:color w:val="1A1A1A"/>
          <w:vertAlign w:val="subscript"/>
        </w:rPr>
        <w:t>al</w:t>
      </w:r>
      <w:r w:rsidR="00E13B98">
        <w:rPr>
          <w:rFonts w:cs="Times New Roman"/>
          <w:color w:val="1A1A1A"/>
          <w:vertAlign w:val="subscript"/>
        </w:rPr>
        <w:t>t</w:t>
      </w:r>
      <w:r w:rsidR="00E13B98">
        <w:rPr>
          <w:rFonts w:cs="Times New Roman"/>
          <w:color w:val="1A1A1A"/>
        </w:rPr>
        <w:t xml:space="preserve"> was that</w:t>
      </w:r>
      <w:r w:rsidR="007E5C90">
        <w:rPr>
          <w:rFonts w:cs="Times New Roman"/>
          <w:color w:val="1A1A1A"/>
        </w:rPr>
        <w:t xml:space="preserve"> gene expression predicts for either one the disease groups being </w:t>
      </w:r>
      <w:r w:rsidR="00E13B98">
        <w:rPr>
          <w:rFonts w:cs="Times New Roman"/>
          <w:color w:val="1A1A1A"/>
        </w:rPr>
        <w:t>tested.</w:t>
      </w:r>
      <w:r w:rsidR="00D67368">
        <w:rPr>
          <w:rFonts w:cs="Times New Roman"/>
          <w:color w:val="1A1A1A"/>
        </w:rPr>
        <w:t xml:space="preserve"> </w:t>
      </w:r>
      <w:r w:rsidR="00E156B0">
        <w:rPr>
          <w:rFonts w:cs="Times New Roman"/>
          <w:color w:val="1A1A1A"/>
        </w:rPr>
        <w:t>The function can be seen below:</w:t>
      </w:r>
    </w:p>
    <w:p w14:paraId="240D0285" w14:textId="63AC0DED" w:rsidR="00F354C3" w:rsidRPr="00BB3CC2" w:rsidRDefault="005813BB" w:rsidP="00F354C3">
      <w:pPr>
        <w:pStyle w:val="NormalWeb"/>
        <w:shd w:val="clear" w:color="auto" w:fill="FFFFFF"/>
        <w:jc w:val="center"/>
        <w:rPr>
          <w:sz w:val="28"/>
          <w:szCs w:val="28"/>
        </w:rPr>
      </w:pPr>
      <w:r w:rsidRPr="00BB3CC2">
        <w:rPr>
          <w:rFonts w:ascii="Carlito" w:hAnsi="Carlito"/>
          <w:i/>
          <w:iCs/>
          <w:sz w:val="28"/>
          <w:szCs w:val="28"/>
        </w:rPr>
        <w:t>Sample Group</w:t>
      </w:r>
      <w:proofErr w:type="spellStart"/>
      <w:r w:rsidR="00F354C3" w:rsidRPr="00BB3CC2">
        <w:rPr>
          <w:rFonts w:ascii="Carlito" w:hAnsi="Carlito"/>
          <w:i/>
          <w:iCs/>
          <w:position w:val="-24"/>
          <w:sz w:val="28"/>
          <w:szCs w:val="28"/>
        </w:rPr>
        <w:t>i</w:t>
      </w:r>
      <w:proofErr w:type="spellEnd"/>
      <w:r w:rsidR="00F354C3" w:rsidRPr="00BB3CC2">
        <w:rPr>
          <w:rFonts w:ascii="Carlito" w:hAnsi="Carlito"/>
          <w:sz w:val="28"/>
          <w:szCs w:val="28"/>
        </w:rPr>
        <w:t xml:space="preserve">~ </w:t>
      </w:r>
      <w:proofErr w:type="gramStart"/>
      <w:r w:rsidRPr="00BB3CC2">
        <w:rPr>
          <w:rFonts w:ascii="Carlito" w:hAnsi="Carlito"/>
          <w:i/>
          <w:iCs/>
          <w:sz w:val="28"/>
          <w:szCs w:val="28"/>
        </w:rPr>
        <w:t>Bern</w:t>
      </w:r>
      <w:r w:rsidRPr="00BB3CC2">
        <w:rPr>
          <w:rFonts w:ascii="Carlito" w:hAnsi="Carlito"/>
          <w:sz w:val="28"/>
          <w:szCs w:val="28"/>
        </w:rPr>
        <w:t>(</w:t>
      </w:r>
      <w:proofErr w:type="gramEnd"/>
      <w:r w:rsidRPr="00BB3CC2">
        <w:rPr>
          <w:rFonts w:ascii="Carlito" w:hAnsi="Carlito"/>
          <w:i/>
          <w:iCs/>
          <w:sz w:val="28"/>
          <w:szCs w:val="28"/>
        </w:rPr>
        <w:t>Gene expression</w:t>
      </w:r>
      <w:proofErr w:type="spellStart"/>
      <w:r w:rsidR="00F354C3" w:rsidRPr="00BB3CC2">
        <w:rPr>
          <w:rFonts w:ascii="Carlito" w:hAnsi="Carlito"/>
          <w:i/>
          <w:iCs/>
          <w:position w:val="-24"/>
          <w:sz w:val="28"/>
          <w:szCs w:val="28"/>
        </w:rPr>
        <w:t>i</w:t>
      </w:r>
      <w:proofErr w:type="spellEnd"/>
      <w:r w:rsidR="00F354C3" w:rsidRPr="00BB3CC2">
        <w:rPr>
          <w:rFonts w:ascii="Carlito" w:hAnsi="Carlito"/>
          <w:sz w:val="28"/>
          <w:szCs w:val="28"/>
        </w:rPr>
        <w:t>)</w:t>
      </w:r>
    </w:p>
    <w:p w14:paraId="18485853" w14:textId="7CF9B8C2" w:rsidR="00F354C3" w:rsidRDefault="00E156B0">
      <w:r>
        <w:t xml:space="preserve">Some of the genes </w:t>
      </w:r>
      <w:r w:rsidR="00720D77">
        <w:t xml:space="preserve">showed clear </w:t>
      </w:r>
      <w:r w:rsidR="00F70C4C">
        <w:t>distinctions</w:t>
      </w:r>
      <w:r w:rsidR="00720D77">
        <w:t xml:space="preserve"> in gene expression between sample groups with minor variation from their respective means. </w:t>
      </w:r>
      <w:r w:rsidR="00C10DDE">
        <w:t xml:space="preserve">Yet for many of these clear cases, an error arose whilst generating the GLM. </w:t>
      </w:r>
      <w:r w:rsidR="00D636FE">
        <w:t xml:space="preserve">The binomial </w:t>
      </w:r>
      <w:r w:rsidR="00035A2A">
        <w:t>approximation</w:t>
      </w:r>
      <w:r w:rsidR="00D636FE">
        <w:t xml:space="preserve"> of the sample group (response) from either one or many gene </w:t>
      </w:r>
      <w:r w:rsidR="00F70C4C">
        <w:lastRenderedPageBreak/>
        <w:t>expressions</w:t>
      </w:r>
      <w:r w:rsidR="00D636FE">
        <w:t xml:space="preserve"> (explanatory) </w:t>
      </w:r>
      <w:r w:rsidR="00F70C4C">
        <w:t>fail</w:t>
      </w:r>
      <w:r w:rsidR="00035A2A">
        <w:t xml:space="preserve"> </w:t>
      </w:r>
      <w:r w:rsidR="00D2279C">
        <w:t>due to data appearing to be quasi-separated</w:t>
      </w:r>
      <w:r w:rsidR="009A62DB">
        <w:t xml:space="preserve">. This results in </w:t>
      </w:r>
      <w:r w:rsidR="00F70C4C">
        <w:t xml:space="preserve">the </w:t>
      </w:r>
      <w:r w:rsidR="009A62DB">
        <w:t xml:space="preserve">model output having p-values of 1 and a z-score 0 and the predictive power of the model disappearing. </w:t>
      </w:r>
      <w:r w:rsidR="00BA759B">
        <w:t xml:space="preserve">The Hauck-Donner effect </w:t>
      </w:r>
      <w:r w:rsidR="00DE45D7">
        <w:t>could explain why the Wald tests</w:t>
      </w:r>
      <w:r w:rsidR="00F70C4C">
        <w:t>, in this case,</w:t>
      </w:r>
      <w:r w:rsidR="00DE45D7">
        <w:t xml:space="preserve"> are failing as the estimates </w:t>
      </w:r>
      <w:r w:rsidR="00AD154A">
        <w:t>are trying to</w:t>
      </w:r>
      <w:r w:rsidR="001A73B7">
        <w:t xml:space="preserve"> be</w:t>
      </w:r>
      <w:r w:rsidR="00AD154A">
        <w:t xml:space="preserve"> fitted near zero and</w:t>
      </w:r>
      <w:r w:rsidR="00526F96">
        <w:t xml:space="preserve"> that</w:t>
      </w:r>
      <w:r w:rsidR="00AD154A">
        <w:t xml:space="preserve"> “</w:t>
      </w:r>
      <w:r w:rsidR="00AD154A" w:rsidRPr="00AD154A">
        <w:t xml:space="preserve">a truly large effect contaminated by the </w:t>
      </w:r>
      <w:r w:rsidR="001A73B7">
        <w:t xml:space="preserve">Hauck-Donner effect </w:t>
      </w:r>
      <w:r w:rsidR="00AD154A" w:rsidRPr="00AD154A">
        <w:t>might be construed as being nonsignificant</w:t>
      </w:r>
      <w:r w:rsidR="00AD154A">
        <w:t>”</w:t>
      </w:r>
      <w:r w:rsidR="00AD154A" w:rsidRPr="00AD154A">
        <w:t>.</w:t>
      </w:r>
      <w:r w:rsidR="00AD154A">
        <w:t xml:space="preserve"> (</w:t>
      </w:r>
      <w:r w:rsidR="001A73B7">
        <w:t>Yee</w:t>
      </w:r>
      <w:r w:rsidR="00164DDC">
        <w:t xml:space="preserve"> 2021</w:t>
      </w:r>
      <w:r w:rsidR="001A73B7">
        <w:t>)</w:t>
      </w:r>
      <w:r w:rsidR="00490399">
        <w:t xml:space="preserve"> This </w:t>
      </w:r>
      <w:r w:rsidR="00C058AB">
        <w:t>is in part due to low sample sizes (n=9) in each sample group</w:t>
      </w:r>
      <w:r w:rsidR="004813F8">
        <w:t xml:space="preserve">, </w:t>
      </w:r>
      <w:r w:rsidR="004E6FBC">
        <w:t>this issue was discussed</w:t>
      </w:r>
      <w:r w:rsidR="004813F8">
        <w:t xml:space="preserve"> in the original paper identifying the effect. (Hauck and Donner 1977) </w:t>
      </w:r>
      <w:r w:rsidR="00B55033">
        <w:t>A potential solution instead of using a binary GLM is to use a Likelihood ratio test</w:t>
      </w:r>
      <w:r w:rsidR="00A965C5">
        <w:t xml:space="preserve"> as outlined in Xing et al. (2012)</w:t>
      </w:r>
      <w:r w:rsidR="00B03A93">
        <w:t xml:space="preserve"> as they found the Wald test missed out on </w:t>
      </w:r>
      <w:r w:rsidR="00F70C4C">
        <w:t>potentially</w:t>
      </w:r>
      <w:r w:rsidR="00B03A93">
        <w:t xml:space="preserve"> </w:t>
      </w:r>
      <w:r w:rsidR="00BE566A">
        <w:t xml:space="preserve">significant explanatory variables in their GWAS study. </w:t>
      </w:r>
    </w:p>
    <w:p w14:paraId="67B3FEC9" w14:textId="7F4248AC" w:rsidR="00BE566A" w:rsidRDefault="00BE566A"/>
    <w:p w14:paraId="49B55137" w14:textId="2D495C0D" w:rsidR="00757FDC" w:rsidRDefault="00BE566A">
      <w:pPr>
        <w:rPr>
          <w:rFonts w:cs="Times New Roman"/>
          <w:color w:val="1A1A1A"/>
        </w:rPr>
      </w:pPr>
      <w:r>
        <w:t xml:space="preserve">In this report, unpaired T-tests were </w:t>
      </w:r>
      <w:r w:rsidR="00103762">
        <w:t>used to compare</w:t>
      </w:r>
      <w:r w:rsidR="0059062C">
        <w:t xml:space="preserve"> the disease groups and to the HC gene expression</w:t>
      </w:r>
      <w:r w:rsidR="001635E6">
        <w:t xml:space="preserve"> as seen in figures 3 to 5. </w:t>
      </w:r>
      <w:r w:rsidR="00683C4E">
        <w:t>T</w:t>
      </w:r>
      <w:r w:rsidR="00BF0BA1">
        <w:t xml:space="preserve">he significant genes found in Figure 3 have been linked to </w:t>
      </w:r>
      <w:r w:rsidR="002B2A3E">
        <w:t xml:space="preserve">Gout patients or similar </w:t>
      </w:r>
      <w:r w:rsidR="00F70C4C">
        <w:t>gene families</w:t>
      </w:r>
      <w:r w:rsidR="002B2A3E">
        <w:t xml:space="preserve"> such as the Long Non-Coding (LNC) genes that will </w:t>
      </w:r>
      <w:r w:rsidR="00F70C4C">
        <w:t>be discussed</w:t>
      </w:r>
      <w:r w:rsidR="002B2A3E">
        <w:t xml:space="preserve"> </w:t>
      </w:r>
      <w:r w:rsidR="00F70C4C">
        <w:t>shortly</w:t>
      </w:r>
      <w:r w:rsidR="002B2A3E">
        <w:t xml:space="preserve">. </w:t>
      </w:r>
      <w:r w:rsidR="0060035D">
        <w:t xml:space="preserve">Firstly, Transferrin (TF) appears to be upregulated in the gout group. </w:t>
      </w:r>
      <w:r w:rsidR="00F51DD4">
        <w:t xml:space="preserve">This iron transporter has been shown to be upregulated in </w:t>
      </w:r>
      <w:r w:rsidR="0074783C">
        <w:t xml:space="preserve">other transcriptomic studies, </w:t>
      </w:r>
      <w:r w:rsidR="00FD2EF1">
        <w:t>alongside</w:t>
      </w:r>
      <w:r w:rsidR="0074783C">
        <w:t xml:space="preserve"> Ferritin </w:t>
      </w:r>
      <w:r w:rsidR="00FD2EF1">
        <w:t>and elevated serum iron levels.</w:t>
      </w:r>
      <w:r w:rsidR="00832EEE" w:rsidRPr="00832EEE">
        <w:t xml:space="preserve"> </w:t>
      </w:r>
      <w:r w:rsidR="00832EEE">
        <w:t xml:space="preserve">(Fatima et </w:t>
      </w:r>
      <w:r w:rsidR="00B54968">
        <w:t>al</w:t>
      </w:r>
      <w:r w:rsidR="003A1211">
        <w:t>.</w:t>
      </w:r>
      <w:r w:rsidR="00832EEE">
        <w:t xml:space="preserve"> 2018; </w:t>
      </w:r>
      <w:r w:rsidR="00B54968" w:rsidRPr="00B54968">
        <w:t>Yuan and Larsson 2020</w:t>
      </w:r>
      <w:r w:rsidR="00832EEE">
        <w:t>)</w:t>
      </w:r>
      <w:r w:rsidR="00FD2EF1">
        <w:t xml:space="preserve"> Iron </w:t>
      </w:r>
      <w:r w:rsidR="00E826A0">
        <w:t xml:space="preserve">and urate are linked biochemically as iron can modulate xanthine oxidase </w:t>
      </w:r>
      <w:r w:rsidR="00832EEE">
        <w:t xml:space="preserve">and lead to increased purine degradation. </w:t>
      </w:r>
      <w:r w:rsidR="001D60BE">
        <w:t>(</w:t>
      </w:r>
      <w:proofErr w:type="spellStart"/>
      <w:r w:rsidR="001D60BE">
        <w:t>Ghio</w:t>
      </w:r>
      <w:proofErr w:type="spellEnd"/>
      <w:r w:rsidR="001D60BE">
        <w:t xml:space="preserve"> et al. 2002)</w:t>
      </w:r>
      <w:r w:rsidR="003B28CC">
        <w:t xml:space="preserve"> LNCs </w:t>
      </w:r>
      <w:r w:rsidR="0039138A">
        <w:t xml:space="preserve">such as </w:t>
      </w:r>
      <w:r w:rsidR="0039138A">
        <w:rPr>
          <w:rFonts w:cs="Times New Roman"/>
          <w:i/>
          <w:iCs/>
          <w:color w:val="1A1A1A"/>
        </w:rPr>
        <w:t>AC010300.1,</w:t>
      </w:r>
      <w:r w:rsidR="0039138A" w:rsidRPr="0039138A">
        <w:rPr>
          <w:rFonts w:cs="Times New Roman"/>
          <w:i/>
          <w:iCs/>
          <w:color w:val="1A1A1A"/>
        </w:rPr>
        <w:t xml:space="preserve"> </w:t>
      </w:r>
      <w:r w:rsidR="0039138A">
        <w:rPr>
          <w:rFonts w:cs="Times New Roman"/>
          <w:i/>
          <w:iCs/>
          <w:color w:val="1A1A1A"/>
        </w:rPr>
        <w:t>Z82217.1,</w:t>
      </w:r>
      <w:r w:rsidR="0039138A" w:rsidRPr="0039138A">
        <w:rPr>
          <w:rFonts w:cs="Times New Roman"/>
          <w:i/>
          <w:iCs/>
          <w:color w:val="1A1A1A"/>
        </w:rPr>
        <w:t xml:space="preserve"> </w:t>
      </w:r>
      <w:r w:rsidR="0039138A">
        <w:rPr>
          <w:rFonts w:cs="Times New Roman"/>
          <w:i/>
          <w:iCs/>
          <w:color w:val="1A1A1A"/>
        </w:rPr>
        <w:t xml:space="preserve">SNORA73B, </w:t>
      </w:r>
      <w:r w:rsidR="0039138A" w:rsidRPr="00FF6CAA">
        <w:rPr>
          <w:rFonts w:cs="Times New Roman"/>
          <w:color w:val="1A1A1A"/>
        </w:rPr>
        <w:t>and</w:t>
      </w:r>
      <w:r w:rsidR="0039138A">
        <w:rPr>
          <w:rFonts w:cs="Times New Roman"/>
          <w:i/>
          <w:iCs/>
          <w:color w:val="1A1A1A"/>
        </w:rPr>
        <w:t xml:space="preserve"> SN</w:t>
      </w:r>
      <w:r w:rsidR="00FF6CAA">
        <w:rPr>
          <w:rFonts w:cs="Times New Roman"/>
          <w:i/>
          <w:iCs/>
          <w:color w:val="1A1A1A"/>
        </w:rPr>
        <w:t>HG25</w:t>
      </w:r>
      <w:r w:rsidR="00FF6CAA">
        <w:rPr>
          <w:rFonts w:cs="Times New Roman"/>
          <w:color w:val="1A1A1A"/>
        </w:rPr>
        <w:t xml:space="preserve"> can be seen to be both down/up regulated compared to HC. </w:t>
      </w:r>
      <w:r w:rsidR="00325227">
        <w:rPr>
          <w:rFonts w:cs="Times New Roman"/>
          <w:color w:val="1A1A1A"/>
        </w:rPr>
        <w:t>Similar LNCs have been shown to be upregulated by Zhong et al. (2018)</w:t>
      </w:r>
      <w:r w:rsidR="00225D7F">
        <w:rPr>
          <w:rFonts w:cs="Times New Roman"/>
          <w:color w:val="1A1A1A"/>
        </w:rPr>
        <w:t xml:space="preserve"> and linked to </w:t>
      </w:r>
      <w:r w:rsidR="0058274D">
        <w:rPr>
          <w:rFonts w:cs="Times New Roman"/>
          <w:color w:val="1A1A1A"/>
        </w:rPr>
        <w:t>innate immunity pathways TNF and NF-kB</w:t>
      </w:r>
      <w:r w:rsidR="008A4402">
        <w:rPr>
          <w:rFonts w:cs="Times New Roman"/>
          <w:color w:val="1A1A1A"/>
        </w:rPr>
        <w:t xml:space="preserve">. </w:t>
      </w:r>
      <w:r w:rsidR="0039143E">
        <w:rPr>
          <w:rFonts w:cs="Times New Roman"/>
          <w:color w:val="1A1A1A"/>
        </w:rPr>
        <w:t xml:space="preserve">A possible explanation is that the </w:t>
      </w:r>
      <w:r w:rsidR="008A4402">
        <w:rPr>
          <w:rFonts w:cs="Times New Roman"/>
          <w:color w:val="1A1A1A"/>
        </w:rPr>
        <w:t xml:space="preserve">LNCs </w:t>
      </w:r>
      <w:r w:rsidR="0039143E">
        <w:rPr>
          <w:rFonts w:cs="Times New Roman"/>
          <w:color w:val="1A1A1A"/>
        </w:rPr>
        <w:t xml:space="preserve">observed </w:t>
      </w:r>
      <w:r w:rsidR="008A4402">
        <w:rPr>
          <w:rFonts w:cs="Times New Roman"/>
          <w:color w:val="1A1A1A"/>
        </w:rPr>
        <w:t>could be</w:t>
      </w:r>
      <w:r w:rsidR="000737BE">
        <w:rPr>
          <w:rFonts w:cs="Times New Roman"/>
          <w:color w:val="1A1A1A"/>
        </w:rPr>
        <w:t xml:space="preserve"> being</w:t>
      </w:r>
      <w:r w:rsidR="008A4402">
        <w:rPr>
          <w:rFonts w:cs="Times New Roman"/>
          <w:color w:val="1A1A1A"/>
        </w:rPr>
        <w:t xml:space="preserve"> expressed to aid in the </w:t>
      </w:r>
      <w:r w:rsidR="008B756C">
        <w:rPr>
          <w:rFonts w:cs="Times New Roman"/>
          <w:color w:val="1A1A1A"/>
        </w:rPr>
        <w:t xml:space="preserve">recruitment of </w:t>
      </w:r>
      <w:r w:rsidR="00EE4948">
        <w:rPr>
          <w:rFonts w:cs="Times New Roman"/>
          <w:color w:val="1A1A1A"/>
        </w:rPr>
        <w:t>interleukins such as IL-8 discussed in Zhong et al. (2018)</w:t>
      </w:r>
      <w:r w:rsidR="005E6A86">
        <w:rPr>
          <w:rFonts w:cs="Times New Roman"/>
          <w:color w:val="1A1A1A"/>
        </w:rPr>
        <w:t xml:space="preserve"> </w:t>
      </w:r>
      <w:r w:rsidR="002B5B44">
        <w:rPr>
          <w:rFonts w:cs="Times New Roman"/>
          <w:color w:val="1A1A1A"/>
        </w:rPr>
        <w:t xml:space="preserve">These LNCs need to be further </w:t>
      </w:r>
      <w:r w:rsidR="00ED7F95">
        <w:rPr>
          <w:rFonts w:cs="Times New Roman"/>
          <w:color w:val="1A1A1A"/>
        </w:rPr>
        <w:t xml:space="preserve">characterised as they </w:t>
      </w:r>
      <w:r w:rsidR="00757FDC">
        <w:rPr>
          <w:rFonts w:cs="Times New Roman"/>
          <w:color w:val="1A1A1A"/>
        </w:rPr>
        <w:t xml:space="preserve">could be potential markers for gout. </w:t>
      </w:r>
    </w:p>
    <w:p w14:paraId="3D49CAE5" w14:textId="77777777" w:rsidR="00757FDC" w:rsidRDefault="00757FDC">
      <w:pPr>
        <w:rPr>
          <w:rFonts w:cs="Times New Roman"/>
          <w:color w:val="1A1A1A"/>
        </w:rPr>
      </w:pPr>
    </w:p>
    <w:p w14:paraId="7DEBDC88" w14:textId="7A3381CE" w:rsidR="005F732D" w:rsidRDefault="00757FDC">
      <w:pPr>
        <w:rPr>
          <w:rFonts w:cs="Times New Roman"/>
          <w:color w:val="1A1A1A"/>
        </w:rPr>
      </w:pPr>
      <w:r>
        <w:rPr>
          <w:rFonts w:cs="Times New Roman"/>
          <w:color w:val="1A1A1A"/>
        </w:rPr>
        <w:t>The significant genes found in Figure 4</w:t>
      </w:r>
      <w:r w:rsidR="003A4AE2">
        <w:rPr>
          <w:rFonts w:cs="Times New Roman"/>
          <w:color w:val="1A1A1A"/>
        </w:rPr>
        <w:t xml:space="preserve">, </w:t>
      </w:r>
      <w:r w:rsidR="007C7458">
        <w:rPr>
          <w:rFonts w:cs="Times New Roman"/>
          <w:color w:val="1A1A1A"/>
        </w:rPr>
        <w:t xml:space="preserve">are all linked to </w:t>
      </w:r>
      <w:r w:rsidR="00F70C4C">
        <w:rPr>
          <w:rFonts w:cs="Times New Roman"/>
          <w:color w:val="1A1A1A"/>
        </w:rPr>
        <w:t xml:space="preserve">the </w:t>
      </w:r>
      <w:r w:rsidR="003B189A">
        <w:rPr>
          <w:rFonts w:cs="Times New Roman"/>
          <w:color w:val="1A1A1A"/>
        </w:rPr>
        <w:t>recruitment and signalling of both the innate and adaptive immune systems. The neutrophil counts are also significantly increased in SA patients</w:t>
      </w:r>
      <w:r w:rsidR="00273E8D">
        <w:rPr>
          <w:rFonts w:cs="Times New Roman"/>
          <w:color w:val="1A1A1A"/>
        </w:rPr>
        <w:t xml:space="preserve">, with </w:t>
      </w:r>
      <w:r w:rsidR="004B1093">
        <w:rPr>
          <w:rFonts w:cs="Times New Roman"/>
          <w:i/>
          <w:iCs/>
          <w:color w:val="1A1A1A"/>
        </w:rPr>
        <w:t xml:space="preserve">S100A8 </w:t>
      </w:r>
      <w:r w:rsidR="004B1093">
        <w:rPr>
          <w:rFonts w:cs="Times New Roman"/>
          <w:color w:val="1A1A1A"/>
        </w:rPr>
        <w:t xml:space="preserve">being expressed in neutrophils and monocytes. (Wang et al. 2018) </w:t>
      </w:r>
      <w:r w:rsidR="00521E9C">
        <w:rPr>
          <w:rFonts w:cs="Times New Roman"/>
          <w:color w:val="1A1A1A"/>
        </w:rPr>
        <w:t>The gene encodes</w:t>
      </w:r>
      <w:r w:rsidR="004B1093">
        <w:rPr>
          <w:rFonts w:cs="Times New Roman"/>
          <w:color w:val="1A1A1A"/>
        </w:rPr>
        <w:t xml:space="preserve"> </w:t>
      </w:r>
      <w:r w:rsidR="00521E9C">
        <w:rPr>
          <w:rFonts w:cs="Times New Roman"/>
          <w:color w:val="1A1A1A"/>
        </w:rPr>
        <w:t xml:space="preserve">a </w:t>
      </w:r>
      <w:r w:rsidR="00F70C4C">
        <w:rPr>
          <w:rFonts w:cs="Times New Roman"/>
          <w:color w:val="1A1A1A"/>
        </w:rPr>
        <w:t>calcium-binding</w:t>
      </w:r>
      <w:r w:rsidR="00521E9C">
        <w:rPr>
          <w:rFonts w:cs="Times New Roman"/>
          <w:color w:val="1A1A1A"/>
        </w:rPr>
        <w:t xml:space="preserve"> protein involved in cytokine </w:t>
      </w:r>
      <w:r w:rsidR="00041CB1">
        <w:rPr>
          <w:rFonts w:cs="Times New Roman"/>
          <w:color w:val="1A1A1A"/>
        </w:rPr>
        <w:t xml:space="preserve">secretion and lymphocyte recruitment. </w:t>
      </w:r>
      <w:r w:rsidR="00041CB1">
        <w:rPr>
          <w:rFonts w:cs="Times New Roman"/>
          <w:i/>
          <w:iCs/>
          <w:color w:val="1A1A1A"/>
        </w:rPr>
        <w:t>PDZK1IP1</w:t>
      </w:r>
      <w:r w:rsidR="00041CB1">
        <w:rPr>
          <w:rFonts w:cs="Times New Roman"/>
          <w:color w:val="1A1A1A"/>
        </w:rPr>
        <w:t xml:space="preserve"> </w:t>
      </w:r>
      <w:r w:rsidR="00824F0F">
        <w:rPr>
          <w:rFonts w:cs="Times New Roman"/>
          <w:color w:val="1A1A1A"/>
        </w:rPr>
        <w:t>encode</w:t>
      </w:r>
      <w:r w:rsidR="0035536E">
        <w:rPr>
          <w:rFonts w:cs="Times New Roman"/>
          <w:color w:val="1A1A1A"/>
        </w:rPr>
        <w:t>s</w:t>
      </w:r>
      <w:r w:rsidR="00824F0F">
        <w:rPr>
          <w:rFonts w:cs="Times New Roman"/>
          <w:color w:val="1A1A1A"/>
        </w:rPr>
        <w:t xml:space="preserve"> MAP17</w:t>
      </w:r>
      <w:r w:rsidR="0035536E">
        <w:rPr>
          <w:rFonts w:cs="Times New Roman"/>
          <w:color w:val="1A1A1A"/>
        </w:rPr>
        <w:t xml:space="preserve"> which has been shown to activate IL-6</w:t>
      </w:r>
      <w:r w:rsidR="008D7D92">
        <w:rPr>
          <w:rFonts w:cs="Times New Roman"/>
          <w:color w:val="1A1A1A"/>
        </w:rPr>
        <w:t xml:space="preserve">, </w:t>
      </w:r>
      <w:r w:rsidR="0035536E">
        <w:rPr>
          <w:rFonts w:cs="Times New Roman"/>
          <w:color w:val="1A1A1A"/>
        </w:rPr>
        <w:t xml:space="preserve">promote dendritic </w:t>
      </w:r>
      <w:r w:rsidR="00340C73">
        <w:rPr>
          <w:rFonts w:cs="Times New Roman"/>
          <w:color w:val="1A1A1A"/>
        </w:rPr>
        <w:t>cell</w:t>
      </w:r>
      <w:r w:rsidR="0035536E">
        <w:rPr>
          <w:rFonts w:cs="Times New Roman"/>
          <w:color w:val="1A1A1A"/>
        </w:rPr>
        <w:t xml:space="preserve"> </w:t>
      </w:r>
      <w:r w:rsidR="008D7D92">
        <w:rPr>
          <w:rFonts w:cs="Times New Roman"/>
          <w:color w:val="1A1A1A"/>
        </w:rPr>
        <w:t xml:space="preserve">differentiation, and </w:t>
      </w:r>
      <w:r w:rsidR="00340C73">
        <w:rPr>
          <w:rFonts w:cs="Times New Roman"/>
          <w:color w:val="1A1A1A"/>
        </w:rPr>
        <w:t xml:space="preserve">be involved </w:t>
      </w:r>
      <w:r w:rsidR="008D7D92">
        <w:rPr>
          <w:rFonts w:cs="Times New Roman"/>
          <w:color w:val="1A1A1A"/>
        </w:rPr>
        <w:t>in chronic inflammation. (Garcia-</w:t>
      </w:r>
      <w:r w:rsidR="00B54ADA">
        <w:rPr>
          <w:rFonts w:cs="Times New Roman"/>
          <w:color w:val="1A1A1A"/>
        </w:rPr>
        <w:t xml:space="preserve">Heredia and </w:t>
      </w:r>
      <w:proofErr w:type="spellStart"/>
      <w:r w:rsidR="00B54ADA">
        <w:rPr>
          <w:rFonts w:cs="Times New Roman"/>
          <w:color w:val="1A1A1A"/>
        </w:rPr>
        <w:t>Carnero</w:t>
      </w:r>
      <w:proofErr w:type="spellEnd"/>
      <w:r w:rsidR="00340C73">
        <w:rPr>
          <w:rFonts w:cs="Times New Roman"/>
          <w:color w:val="1A1A1A"/>
        </w:rPr>
        <w:t>,</w:t>
      </w:r>
      <w:r w:rsidR="00B54ADA">
        <w:rPr>
          <w:rFonts w:cs="Times New Roman"/>
          <w:color w:val="1A1A1A"/>
        </w:rPr>
        <w:t xml:space="preserve"> 2017)</w:t>
      </w:r>
      <w:r w:rsidR="009974B9">
        <w:rPr>
          <w:rFonts w:cs="Times New Roman"/>
          <w:color w:val="1A1A1A"/>
        </w:rPr>
        <w:t xml:space="preserve"> </w:t>
      </w:r>
    </w:p>
    <w:p w14:paraId="2CEADEA7" w14:textId="6405CF99" w:rsidR="00BE566A" w:rsidRDefault="009974B9">
      <w:pPr>
        <w:rPr>
          <w:rFonts w:cs="Times New Roman"/>
          <w:color w:val="1A1A1A"/>
        </w:rPr>
      </w:pPr>
      <w:r w:rsidRPr="009974B9">
        <w:rPr>
          <w:rFonts w:cs="Times New Roman"/>
          <w:i/>
          <w:iCs/>
          <w:color w:val="1A1A1A"/>
        </w:rPr>
        <w:t>EHF</w:t>
      </w:r>
      <w:r w:rsidR="005F732D">
        <w:rPr>
          <w:rFonts w:cs="Times New Roman"/>
          <w:color w:val="1A1A1A"/>
        </w:rPr>
        <w:t xml:space="preserve">, </w:t>
      </w:r>
      <w:r w:rsidRPr="009974B9">
        <w:rPr>
          <w:rFonts w:cs="Times New Roman"/>
          <w:i/>
          <w:iCs/>
          <w:color w:val="1A1A1A"/>
        </w:rPr>
        <w:t>NOD2</w:t>
      </w:r>
      <w:r w:rsidR="005F732D">
        <w:rPr>
          <w:rFonts w:cs="Times New Roman"/>
          <w:color w:val="1A1A1A"/>
        </w:rPr>
        <w:t xml:space="preserve">, and </w:t>
      </w:r>
      <w:r w:rsidR="00764C26" w:rsidRPr="005F732D">
        <w:rPr>
          <w:rFonts w:cs="Times New Roman"/>
          <w:i/>
          <w:iCs/>
          <w:color w:val="1A1A1A"/>
        </w:rPr>
        <w:t>HPSE</w:t>
      </w:r>
      <w:r w:rsidR="00764C26">
        <w:rPr>
          <w:rFonts w:cs="Times New Roman"/>
          <w:color w:val="1A1A1A"/>
        </w:rPr>
        <w:t xml:space="preserve"> encode</w:t>
      </w:r>
      <w:r w:rsidR="005F732D">
        <w:rPr>
          <w:rFonts w:cs="Times New Roman"/>
          <w:color w:val="1A1A1A"/>
        </w:rPr>
        <w:t xml:space="preserve"> for </w:t>
      </w:r>
      <w:proofErr w:type="spellStart"/>
      <w:r w:rsidR="00567FFB" w:rsidRPr="00567FFB">
        <w:rPr>
          <w:rFonts w:cs="Times New Roman"/>
          <w:color w:val="1A1A1A"/>
        </w:rPr>
        <w:t>Ets</w:t>
      </w:r>
      <w:proofErr w:type="spellEnd"/>
      <w:r w:rsidR="00567FFB" w:rsidRPr="00567FFB">
        <w:rPr>
          <w:rFonts w:cs="Times New Roman"/>
          <w:color w:val="1A1A1A"/>
        </w:rPr>
        <w:t xml:space="preserve"> homologous facto</w:t>
      </w:r>
      <w:r w:rsidR="00567FFB">
        <w:rPr>
          <w:rFonts w:cs="Times New Roman"/>
          <w:color w:val="1A1A1A"/>
        </w:rPr>
        <w:t>r, NOD-like receptor</w:t>
      </w:r>
      <w:r w:rsidR="00AD7C3E">
        <w:rPr>
          <w:rFonts w:cs="Times New Roman"/>
          <w:color w:val="1A1A1A"/>
        </w:rPr>
        <w:t xml:space="preserve">, and </w:t>
      </w:r>
      <w:proofErr w:type="spellStart"/>
      <w:r w:rsidR="00AD7C3E">
        <w:rPr>
          <w:rFonts w:cs="Times New Roman"/>
          <w:color w:val="1A1A1A"/>
        </w:rPr>
        <w:t>Heparanase</w:t>
      </w:r>
      <w:proofErr w:type="spellEnd"/>
      <w:r w:rsidR="00AD7C3E">
        <w:rPr>
          <w:rFonts w:cs="Times New Roman"/>
          <w:color w:val="1A1A1A"/>
        </w:rPr>
        <w:t xml:space="preserve"> respectively.</w:t>
      </w:r>
      <w:r w:rsidR="00764C26">
        <w:rPr>
          <w:rFonts w:cs="Times New Roman"/>
          <w:color w:val="1A1A1A"/>
        </w:rPr>
        <w:t xml:space="preserve"> All these proteins have been found to be upregulated in inflamed tissue</w:t>
      </w:r>
      <w:r w:rsidR="00340C73">
        <w:rPr>
          <w:rFonts w:cs="Times New Roman"/>
          <w:color w:val="1A1A1A"/>
        </w:rPr>
        <w:t xml:space="preserve">. Furthermore, </w:t>
      </w:r>
      <w:r w:rsidR="00764C26">
        <w:rPr>
          <w:rFonts w:cs="Times New Roman"/>
          <w:color w:val="1A1A1A"/>
        </w:rPr>
        <w:t xml:space="preserve">their </w:t>
      </w:r>
      <w:r w:rsidR="00800415">
        <w:rPr>
          <w:rFonts w:cs="Times New Roman"/>
          <w:color w:val="1A1A1A"/>
        </w:rPr>
        <w:t xml:space="preserve">interactions between TLR4, TNF-a, </w:t>
      </w:r>
      <w:r w:rsidR="00AD377E">
        <w:rPr>
          <w:rFonts w:cs="Times New Roman"/>
          <w:color w:val="1A1A1A"/>
        </w:rPr>
        <w:t>IL-1/6, and CXCL1/6</w:t>
      </w:r>
      <w:r w:rsidR="002A22B1">
        <w:rPr>
          <w:rFonts w:cs="Times New Roman"/>
          <w:color w:val="1A1A1A"/>
        </w:rPr>
        <w:t xml:space="preserve"> promote </w:t>
      </w:r>
      <w:r w:rsidR="00340C73">
        <w:rPr>
          <w:rFonts w:cs="Times New Roman"/>
          <w:color w:val="1A1A1A"/>
        </w:rPr>
        <w:t xml:space="preserve">the </w:t>
      </w:r>
      <w:r w:rsidR="002A22B1">
        <w:rPr>
          <w:rFonts w:cs="Times New Roman"/>
          <w:color w:val="1A1A1A"/>
        </w:rPr>
        <w:t>chemotaxis of macrophages and neutrophils</w:t>
      </w:r>
      <w:r w:rsidR="007C06F8">
        <w:rPr>
          <w:rFonts w:cs="Times New Roman"/>
          <w:color w:val="1A1A1A"/>
        </w:rPr>
        <w:t xml:space="preserve">, </w:t>
      </w:r>
      <w:r w:rsidR="00FF2285">
        <w:rPr>
          <w:rFonts w:cs="Times New Roman"/>
          <w:color w:val="1A1A1A"/>
        </w:rPr>
        <w:t>epithelial cell migration and healing</w:t>
      </w:r>
      <w:r w:rsidR="00AA397F">
        <w:rPr>
          <w:rFonts w:cs="Times New Roman"/>
          <w:color w:val="1A1A1A"/>
        </w:rPr>
        <w:t xml:space="preserve"> in conjunction with </w:t>
      </w:r>
      <w:r w:rsidR="00AA397F" w:rsidRPr="00AA397F">
        <w:rPr>
          <w:rFonts w:cs="Times New Roman"/>
          <w:i/>
          <w:iCs/>
          <w:color w:val="1A1A1A"/>
        </w:rPr>
        <w:t>S100A8</w:t>
      </w:r>
      <w:r w:rsidR="00FF2285">
        <w:rPr>
          <w:rFonts w:cs="Times New Roman"/>
          <w:color w:val="1A1A1A"/>
        </w:rPr>
        <w:t xml:space="preserve">, and bacterial peptide sensing. </w:t>
      </w:r>
      <w:r w:rsidR="00CE13A7">
        <w:rPr>
          <w:rFonts w:cs="Times New Roman"/>
          <w:color w:val="1A1A1A"/>
        </w:rPr>
        <w:t>(</w:t>
      </w:r>
      <w:proofErr w:type="spellStart"/>
      <w:r w:rsidR="00CE13A7">
        <w:rPr>
          <w:rFonts w:cs="Times New Roman"/>
          <w:color w:val="1A1A1A"/>
        </w:rPr>
        <w:t>Flossum</w:t>
      </w:r>
      <w:proofErr w:type="spellEnd"/>
      <w:r w:rsidR="00CE13A7">
        <w:rPr>
          <w:rFonts w:cs="Times New Roman"/>
          <w:color w:val="1A1A1A"/>
        </w:rPr>
        <w:t xml:space="preserve"> et al. 2014; </w:t>
      </w:r>
      <w:proofErr w:type="spellStart"/>
      <w:r w:rsidR="00DE6A04">
        <w:rPr>
          <w:rFonts w:cs="Times New Roman"/>
          <w:color w:val="1A1A1A"/>
        </w:rPr>
        <w:t>Flossum</w:t>
      </w:r>
      <w:proofErr w:type="spellEnd"/>
      <w:r w:rsidR="00DE6A04">
        <w:rPr>
          <w:rFonts w:cs="Times New Roman"/>
          <w:color w:val="1A1A1A"/>
        </w:rPr>
        <w:t xml:space="preserve"> et al. 201</w:t>
      </w:r>
      <w:r w:rsidR="0023598F">
        <w:rPr>
          <w:rFonts w:cs="Times New Roman"/>
          <w:color w:val="1A1A1A"/>
        </w:rPr>
        <w:t>7</w:t>
      </w:r>
      <w:r w:rsidR="00DE6A04">
        <w:rPr>
          <w:rFonts w:cs="Times New Roman"/>
          <w:color w:val="1A1A1A"/>
        </w:rPr>
        <w:t xml:space="preserve">; </w:t>
      </w:r>
      <w:r w:rsidR="000F201A">
        <w:rPr>
          <w:rFonts w:cs="Times New Roman"/>
          <w:color w:val="1A1A1A"/>
        </w:rPr>
        <w:t xml:space="preserve">Schmidt et al. 2012; </w:t>
      </w:r>
      <w:proofErr w:type="spellStart"/>
      <w:r w:rsidR="000F201A">
        <w:rPr>
          <w:rFonts w:cs="Times New Roman"/>
          <w:color w:val="1A1A1A"/>
        </w:rPr>
        <w:t>Blich</w:t>
      </w:r>
      <w:proofErr w:type="spellEnd"/>
      <w:r w:rsidR="000F201A">
        <w:rPr>
          <w:rFonts w:cs="Times New Roman"/>
          <w:color w:val="1A1A1A"/>
        </w:rPr>
        <w:t xml:space="preserve"> et al.</w:t>
      </w:r>
      <w:r w:rsidR="002B3F43">
        <w:rPr>
          <w:rFonts w:cs="Times New Roman"/>
          <w:color w:val="1A1A1A"/>
        </w:rPr>
        <w:t xml:space="preserve"> </w:t>
      </w:r>
      <w:r w:rsidR="00AA397F">
        <w:rPr>
          <w:rFonts w:cs="Times New Roman"/>
          <w:color w:val="1A1A1A"/>
        </w:rPr>
        <w:t>201</w:t>
      </w:r>
      <w:r w:rsidR="00E3672B">
        <w:rPr>
          <w:rFonts w:cs="Times New Roman"/>
          <w:color w:val="1A1A1A"/>
        </w:rPr>
        <w:t>3</w:t>
      </w:r>
      <w:r w:rsidR="00AA397F">
        <w:rPr>
          <w:rFonts w:cs="Times New Roman"/>
          <w:color w:val="1A1A1A"/>
        </w:rPr>
        <w:t>; Caruso et al. 2014)</w:t>
      </w:r>
    </w:p>
    <w:p w14:paraId="17564352" w14:textId="63616B7E" w:rsidR="003B1D69" w:rsidRDefault="003B1D69">
      <w:pPr>
        <w:rPr>
          <w:rFonts w:cs="Times New Roman"/>
          <w:color w:val="1A1A1A"/>
        </w:rPr>
      </w:pPr>
    </w:p>
    <w:p w14:paraId="1F2388CF" w14:textId="0BBDBF41" w:rsidR="009C4A30" w:rsidRPr="00C730BC" w:rsidRDefault="003B1D69" w:rsidP="00EB659F">
      <w:pPr>
        <w:rPr>
          <w:rFonts w:cs="Times New Roman"/>
          <w:color w:val="1A1A1A"/>
        </w:rPr>
      </w:pPr>
      <w:r>
        <w:rPr>
          <w:rFonts w:cs="Times New Roman"/>
          <w:color w:val="1A1A1A"/>
        </w:rPr>
        <w:lastRenderedPageBreak/>
        <w:t xml:space="preserve">In conclusion, </w:t>
      </w:r>
      <w:r w:rsidR="004B222E">
        <w:rPr>
          <w:rFonts w:cs="Times New Roman"/>
          <w:color w:val="1A1A1A"/>
        </w:rPr>
        <w:t xml:space="preserve">the aim of this report was to find a transcriptomic approach to distinguish these two forms of inflammatory arthritis. </w:t>
      </w:r>
      <w:r w:rsidR="00FB285B">
        <w:rPr>
          <w:rFonts w:cs="Times New Roman"/>
          <w:color w:val="1A1A1A"/>
        </w:rPr>
        <w:t xml:space="preserve">As shown in Figure 5, possible diagnostic candidates </w:t>
      </w:r>
      <w:r w:rsidR="0027592B">
        <w:rPr>
          <w:rFonts w:cs="Times New Roman"/>
          <w:color w:val="1A1A1A"/>
        </w:rPr>
        <w:t xml:space="preserve">for SA </w:t>
      </w:r>
      <w:r w:rsidR="006567AA">
        <w:rPr>
          <w:rFonts w:cs="Times New Roman"/>
          <w:color w:val="1A1A1A"/>
        </w:rPr>
        <w:t xml:space="preserve">are genes </w:t>
      </w:r>
      <w:r w:rsidR="005E0611">
        <w:rPr>
          <w:rFonts w:cs="Times New Roman"/>
          <w:color w:val="1A1A1A"/>
        </w:rPr>
        <w:t>involved in the production of cyto</w:t>
      </w:r>
      <w:r w:rsidR="002B3F43">
        <w:rPr>
          <w:rFonts w:cs="Times New Roman"/>
          <w:color w:val="1A1A1A"/>
        </w:rPr>
        <w:t>kines</w:t>
      </w:r>
      <w:r w:rsidR="005E0611">
        <w:rPr>
          <w:rFonts w:cs="Times New Roman"/>
          <w:color w:val="1A1A1A"/>
        </w:rPr>
        <w:t xml:space="preserve">/chemokines, </w:t>
      </w:r>
      <w:r w:rsidR="00340C73">
        <w:rPr>
          <w:rFonts w:cs="Times New Roman"/>
          <w:color w:val="1A1A1A"/>
        </w:rPr>
        <w:t xml:space="preserve">and </w:t>
      </w:r>
      <w:r w:rsidR="00BB6FA7">
        <w:rPr>
          <w:rFonts w:cs="Times New Roman"/>
          <w:color w:val="1A1A1A"/>
        </w:rPr>
        <w:t xml:space="preserve">recruitment of </w:t>
      </w:r>
      <w:r w:rsidR="005E0611">
        <w:rPr>
          <w:rFonts w:cs="Times New Roman"/>
          <w:color w:val="1A1A1A"/>
        </w:rPr>
        <w:t xml:space="preserve">innate immunity </w:t>
      </w:r>
      <w:r w:rsidR="00BB6FA7">
        <w:rPr>
          <w:rFonts w:cs="Times New Roman"/>
          <w:color w:val="1A1A1A"/>
        </w:rPr>
        <w:t>cells,</w:t>
      </w:r>
      <w:r w:rsidR="0027592B">
        <w:rPr>
          <w:rFonts w:cs="Times New Roman"/>
          <w:color w:val="1A1A1A"/>
        </w:rPr>
        <w:t xml:space="preserve"> </w:t>
      </w:r>
      <w:r w:rsidR="00340C73">
        <w:rPr>
          <w:rFonts w:cs="Times New Roman"/>
          <w:color w:val="1A1A1A"/>
        </w:rPr>
        <w:t>which</w:t>
      </w:r>
      <w:r w:rsidR="0027592B">
        <w:rPr>
          <w:rFonts w:cs="Times New Roman"/>
          <w:color w:val="1A1A1A"/>
        </w:rPr>
        <w:t xml:space="preserve"> could be combined with lymphocyte count data. </w:t>
      </w:r>
      <w:r w:rsidR="001E11BC">
        <w:rPr>
          <w:rFonts w:cs="Times New Roman"/>
          <w:color w:val="1A1A1A"/>
        </w:rPr>
        <w:t xml:space="preserve">Possible candidates for Gout diagnosis could </w:t>
      </w:r>
      <w:r w:rsidR="00340C73">
        <w:rPr>
          <w:rFonts w:cs="Times New Roman"/>
          <w:color w:val="1A1A1A"/>
        </w:rPr>
        <w:t xml:space="preserve">be </w:t>
      </w:r>
      <w:r w:rsidR="001E11BC">
        <w:rPr>
          <w:rFonts w:cs="Times New Roman"/>
          <w:color w:val="1A1A1A"/>
        </w:rPr>
        <w:t xml:space="preserve">genes involved in Iron homeostasis and </w:t>
      </w:r>
      <w:r w:rsidR="00B976CD">
        <w:rPr>
          <w:rFonts w:cs="Times New Roman"/>
          <w:color w:val="1A1A1A"/>
        </w:rPr>
        <w:t xml:space="preserve">these LNCs (although further characterisation is needed). A possible future study with a larger sample size and </w:t>
      </w:r>
      <w:r w:rsidR="009E49A0">
        <w:rPr>
          <w:rFonts w:cs="Times New Roman"/>
          <w:color w:val="1A1A1A"/>
        </w:rPr>
        <w:t>more patient information will allow us to verify these initial findings and will enable the development of a predictive model</w:t>
      </w:r>
      <w:r w:rsidR="001271B2">
        <w:rPr>
          <w:rFonts w:cs="Times New Roman"/>
          <w:color w:val="1A1A1A"/>
        </w:rPr>
        <w:t xml:space="preserve"> to help </w:t>
      </w:r>
      <w:r w:rsidR="00237567">
        <w:rPr>
          <w:rFonts w:cs="Times New Roman"/>
          <w:color w:val="1A1A1A"/>
        </w:rPr>
        <w:t xml:space="preserve">patient </w:t>
      </w:r>
      <w:r w:rsidR="00340C73">
        <w:rPr>
          <w:rFonts w:cs="Times New Roman"/>
          <w:color w:val="1A1A1A"/>
        </w:rPr>
        <w:t>outcomes</w:t>
      </w:r>
      <w:r w:rsidR="00237567">
        <w:rPr>
          <w:rFonts w:cs="Times New Roman"/>
          <w:color w:val="1A1A1A"/>
        </w:rPr>
        <w:t>, especially in severe cases of SA.</w:t>
      </w:r>
    </w:p>
    <w:p w14:paraId="4EA2E3B2" w14:textId="5A060AEA" w:rsidR="004A54B0" w:rsidRDefault="004A54B0" w:rsidP="00EB659F"/>
    <w:p w14:paraId="34DD9863" w14:textId="4FC71EB5" w:rsidR="004A54B0" w:rsidRDefault="004A54B0" w:rsidP="004A54B0">
      <w:pPr>
        <w:pStyle w:val="Subtitle"/>
      </w:pPr>
      <w:r>
        <w:t xml:space="preserve">References </w:t>
      </w:r>
    </w:p>
    <w:p w14:paraId="24F1ED02" w14:textId="77777777" w:rsidR="004A54B0" w:rsidRPr="004A54B0" w:rsidRDefault="004A54B0" w:rsidP="004A54B0"/>
    <w:p w14:paraId="0437EE48" w14:textId="701E24BD" w:rsidR="004A54B0" w:rsidRDefault="004A54B0" w:rsidP="004A54B0">
      <w:pPr>
        <w:jc w:val="left"/>
        <w:rPr>
          <w:sz w:val="18"/>
          <w:szCs w:val="18"/>
          <w:lang w:eastAsia="en-GB"/>
        </w:rPr>
      </w:pPr>
      <w:proofErr w:type="spellStart"/>
      <w:r w:rsidRPr="004A54B0">
        <w:rPr>
          <w:sz w:val="18"/>
          <w:szCs w:val="18"/>
          <w:lang w:eastAsia="en-GB"/>
        </w:rPr>
        <w:t>Blich</w:t>
      </w:r>
      <w:proofErr w:type="spellEnd"/>
      <w:r w:rsidRPr="004A54B0">
        <w:rPr>
          <w:sz w:val="18"/>
          <w:szCs w:val="18"/>
          <w:lang w:eastAsia="en-GB"/>
        </w:rPr>
        <w:t xml:space="preserve">, M., Golan, A., </w:t>
      </w:r>
      <w:proofErr w:type="spellStart"/>
      <w:r w:rsidRPr="004A54B0">
        <w:rPr>
          <w:sz w:val="18"/>
          <w:szCs w:val="18"/>
          <w:lang w:eastAsia="en-GB"/>
        </w:rPr>
        <w:t>Arvatz</w:t>
      </w:r>
      <w:proofErr w:type="spellEnd"/>
      <w:r w:rsidRPr="004A54B0">
        <w:rPr>
          <w:sz w:val="18"/>
          <w:szCs w:val="18"/>
          <w:lang w:eastAsia="en-GB"/>
        </w:rPr>
        <w:t xml:space="preserve">, G., </w:t>
      </w:r>
      <w:proofErr w:type="spellStart"/>
      <w:r w:rsidRPr="004A54B0">
        <w:rPr>
          <w:sz w:val="18"/>
          <w:szCs w:val="18"/>
          <w:lang w:eastAsia="en-GB"/>
        </w:rPr>
        <w:t>Sebbag</w:t>
      </w:r>
      <w:proofErr w:type="spellEnd"/>
      <w:r w:rsidRPr="004A54B0">
        <w:rPr>
          <w:sz w:val="18"/>
          <w:szCs w:val="18"/>
          <w:lang w:eastAsia="en-GB"/>
        </w:rPr>
        <w:t xml:space="preserve">, A., </w:t>
      </w:r>
      <w:proofErr w:type="spellStart"/>
      <w:r w:rsidRPr="004A54B0">
        <w:rPr>
          <w:sz w:val="18"/>
          <w:szCs w:val="18"/>
          <w:lang w:eastAsia="en-GB"/>
        </w:rPr>
        <w:t>Shafat</w:t>
      </w:r>
      <w:proofErr w:type="spellEnd"/>
      <w:r w:rsidRPr="004A54B0">
        <w:rPr>
          <w:sz w:val="18"/>
          <w:szCs w:val="18"/>
          <w:lang w:eastAsia="en-GB"/>
        </w:rPr>
        <w:t xml:space="preserve">, I., Sabo, E., Cohen-Kaplan, V., </w:t>
      </w:r>
      <w:proofErr w:type="spellStart"/>
      <w:r w:rsidRPr="004A54B0">
        <w:rPr>
          <w:sz w:val="18"/>
          <w:szCs w:val="18"/>
          <w:lang w:eastAsia="en-GB"/>
        </w:rPr>
        <w:t>Petcherski</w:t>
      </w:r>
      <w:proofErr w:type="spellEnd"/>
      <w:r w:rsidRPr="004A54B0">
        <w:rPr>
          <w:sz w:val="18"/>
          <w:szCs w:val="18"/>
          <w:lang w:eastAsia="en-GB"/>
        </w:rPr>
        <w:t xml:space="preserve">, S., </w:t>
      </w:r>
      <w:proofErr w:type="spellStart"/>
      <w:r w:rsidRPr="004A54B0">
        <w:rPr>
          <w:sz w:val="18"/>
          <w:szCs w:val="18"/>
          <w:lang w:eastAsia="en-GB"/>
        </w:rPr>
        <w:t>Avniel-Polak</w:t>
      </w:r>
      <w:proofErr w:type="spellEnd"/>
      <w:r w:rsidRPr="004A54B0">
        <w:rPr>
          <w:sz w:val="18"/>
          <w:szCs w:val="18"/>
          <w:lang w:eastAsia="en-GB"/>
        </w:rPr>
        <w:t xml:space="preserve">, S., Eitan, A., Hammerman, H., Aronson, D., </w:t>
      </w:r>
      <w:proofErr w:type="spellStart"/>
      <w:r w:rsidRPr="004A54B0">
        <w:rPr>
          <w:sz w:val="18"/>
          <w:szCs w:val="18"/>
          <w:lang w:eastAsia="en-GB"/>
        </w:rPr>
        <w:t>Axelman</w:t>
      </w:r>
      <w:proofErr w:type="spellEnd"/>
      <w:r w:rsidRPr="004A54B0">
        <w:rPr>
          <w:sz w:val="18"/>
          <w:szCs w:val="18"/>
          <w:lang w:eastAsia="en-GB"/>
        </w:rPr>
        <w:t xml:space="preserve">, E., </w:t>
      </w:r>
      <w:proofErr w:type="spellStart"/>
      <w:r w:rsidRPr="004A54B0">
        <w:rPr>
          <w:sz w:val="18"/>
          <w:szCs w:val="18"/>
          <w:lang w:eastAsia="en-GB"/>
        </w:rPr>
        <w:t>Ilan</w:t>
      </w:r>
      <w:proofErr w:type="spellEnd"/>
      <w:r w:rsidRPr="004A54B0">
        <w:rPr>
          <w:sz w:val="18"/>
          <w:szCs w:val="18"/>
          <w:lang w:eastAsia="en-GB"/>
        </w:rPr>
        <w:t xml:space="preserve">, N., Nussbaum, G. and </w:t>
      </w:r>
      <w:proofErr w:type="spellStart"/>
      <w:r w:rsidRPr="004A54B0">
        <w:rPr>
          <w:sz w:val="18"/>
          <w:szCs w:val="18"/>
          <w:lang w:eastAsia="en-GB"/>
        </w:rPr>
        <w:t>Vlodavsky</w:t>
      </w:r>
      <w:proofErr w:type="spellEnd"/>
      <w:r w:rsidRPr="004A54B0">
        <w:rPr>
          <w:sz w:val="18"/>
          <w:szCs w:val="18"/>
          <w:lang w:eastAsia="en-GB"/>
        </w:rPr>
        <w:t xml:space="preserve">, I., (2013). Macrophage activation by </w:t>
      </w:r>
      <w:proofErr w:type="spellStart"/>
      <w:r w:rsidRPr="004A54B0">
        <w:rPr>
          <w:sz w:val="18"/>
          <w:szCs w:val="18"/>
          <w:lang w:eastAsia="en-GB"/>
        </w:rPr>
        <w:t>heparanase</w:t>
      </w:r>
      <w:proofErr w:type="spellEnd"/>
      <w:r w:rsidRPr="004A54B0">
        <w:rPr>
          <w:sz w:val="18"/>
          <w:szCs w:val="18"/>
          <w:lang w:eastAsia="en-GB"/>
        </w:rPr>
        <w:t xml:space="preserve"> is mediated by TLR-2 and TLR-4 and associates with plaque progression. </w:t>
      </w:r>
      <w:r w:rsidRPr="004A54B0">
        <w:rPr>
          <w:i/>
          <w:iCs/>
          <w:sz w:val="18"/>
          <w:szCs w:val="18"/>
          <w:lang w:eastAsia="en-GB"/>
        </w:rPr>
        <w:t>Arteriosclerosis, Thrombosis, and Vascular Biology</w:t>
      </w:r>
      <w:r w:rsidRPr="004A54B0">
        <w:rPr>
          <w:sz w:val="18"/>
          <w:szCs w:val="18"/>
          <w:lang w:eastAsia="en-GB"/>
        </w:rPr>
        <w:t> [online]. </w:t>
      </w:r>
      <w:r w:rsidRPr="004A54B0">
        <w:rPr>
          <w:b/>
          <w:bCs/>
          <w:sz w:val="18"/>
          <w:szCs w:val="18"/>
          <w:lang w:eastAsia="en-GB"/>
        </w:rPr>
        <w:t>33</w:t>
      </w:r>
      <w:r w:rsidRPr="004A54B0">
        <w:rPr>
          <w:sz w:val="18"/>
          <w:szCs w:val="18"/>
          <w:lang w:eastAsia="en-GB"/>
        </w:rPr>
        <w:t xml:space="preserve">(2).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10.1161/atvbaha.112.254961</w:t>
      </w:r>
    </w:p>
    <w:p w14:paraId="4F745DA5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</w:p>
    <w:p w14:paraId="70BCF79A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  <w:r w:rsidRPr="004A54B0">
        <w:rPr>
          <w:sz w:val="18"/>
          <w:szCs w:val="18"/>
          <w:lang w:eastAsia="en-GB"/>
        </w:rPr>
        <w:t xml:space="preserve">Caruso, R., Warner, N., </w:t>
      </w:r>
      <w:proofErr w:type="spellStart"/>
      <w:r w:rsidRPr="004A54B0">
        <w:rPr>
          <w:sz w:val="18"/>
          <w:szCs w:val="18"/>
          <w:lang w:eastAsia="en-GB"/>
        </w:rPr>
        <w:t>Inohara</w:t>
      </w:r>
      <w:proofErr w:type="spellEnd"/>
      <w:r w:rsidRPr="004A54B0">
        <w:rPr>
          <w:sz w:val="18"/>
          <w:szCs w:val="18"/>
          <w:lang w:eastAsia="en-GB"/>
        </w:rPr>
        <w:t xml:space="preserve">, N. and </w:t>
      </w:r>
      <w:proofErr w:type="spellStart"/>
      <w:r w:rsidRPr="004A54B0">
        <w:rPr>
          <w:sz w:val="18"/>
          <w:szCs w:val="18"/>
          <w:lang w:eastAsia="en-GB"/>
        </w:rPr>
        <w:t>Núñez</w:t>
      </w:r>
      <w:proofErr w:type="spellEnd"/>
      <w:r w:rsidRPr="004A54B0">
        <w:rPr>
          <w:sz w:val="18"/>
          <w:szCs w:val="18"/>
          <w:lang w:eastAsia="en-GB"/>
        </w:rPr>
        <w:t xml:space="preserve">, G., (2014). NOD1 and NOD2: </w:t>
      </w:r>
      <w:proofErr w:type="spellStart"/>
      <w:r w:rsidRPr="004A54B0">
        <w:rPr>
          <w:sz w:val="18"/>
          <w:szCs w:val="18"/>
          <w:lang w:eastAsia="en-GB"/>
        </w:rPr>
        <w:t>signaling</w:t>
      </w:r>
      <w:proofErr w:type="spellEnd"/>
      <w:r w:rsidRPr="004A54B0">
        <w:rPr>
          <w:sz w:val="18"/>
          <w:szCs w:val="18"/>
          <w:lang w:eastAsia="en-GB"/>
        </w:rPr>
        <w:t xml:space="preserve">, host </w:t>
      </w:r>
      <w:proofErr w:type="spellStart"/>
      <w:r w:rsidRPr="004A54B0">
        <w:rPr>
          <w:sz w:val="18"/>
          <w:szCs w:val="18"/>
          <w:lang w:eastAsia="en-GB"/>
        </w:rPr>
        <w:t>defense</w:t>
      </w:r>
      <w:proofErr w:type="spellEnd"/>
      <w:r w:rsidRPr="004A54B0">
        <w:rPr>
          <w:sz w:val="18"/>
          <w:szCs w:val="18"/>
          <w:lang w:eastAsia="en-GB"/>
        </w:rPr>
        <w:t>, and inflammatory disease. </w:t>
      </w:r>
      <w:r w:rsidRPr="004A54B0">
        <w:rPr>
          <w:i/>
          <w:iCs/>
          <w:sz w:val="18"/>
          <w:szCs w:val="18"/>
          <w:lang w:eastAsia="en-GB"/>
        </w:rPr>
        <w:t>Immunity</w:t>
      </w:r>
      <w:r w:rsidRPr="004A54B0">
        <w:rPr>
          <w:sz w:val="18"/>
          <w:szCs w:val="18"/>
          <w:lang w:eastAsia="en-GB"/>
        </w:rPr>
        <w:t> [online]. </w:t>
      </w:r>
      <w:r w:rsidRPr="004A54B0">
        <w:rPr>
          <w:b/>
          <w:bCs/>
          <w:sz w:val="18"/>
          <w:szCs w:val="18"/>
          <w:lang w:eastAsia="en-GB"/>
        </w:rPr>
        <w:t>41</w:t>
      </w:r>
      <w:r w:rsidRPr="004A54B0">
        <w:rPr>
          <w:sz w:val="18"/>
          <w:szCs w:val="18"/>
          <w:lang w:eastAsia="en-GB"/>
        </w:rPr>
        <w:t xml:space="preserve">(6), 898–908.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10.1016/j.immuni.2014.12.010</w:t>
      </w:r>
    </w:p>
    <w:p w14:paraId="1C73B8AC" w14:textId="3E396DDD" w:rsidR="004A54B0" w:rsidRDefault="004A54B0" w:rsidP="004A54B0">
      <w:pPr>
        <w:jc w:val="left"/>
        <w:rPr>
          <w:sz w:val="18"/>
          <w:szCs w:val="18"/>
          <w:lang w:eastAsia="en-GB"/>
        </w:rPr>
      </w:pPr>
      <w:proofErr w:type="spellStart"/>
      <w:r w:rsidRPr="004A54B0">
        <w:rPr>
          <w:sz w:val="18"/>
          <w:szCs w:val="18"/>
          <w:lang w:eastAsia="en-GB"/>
        </w:rPr>
        <w:t>Dalbeth</w:t>
      </w:r>
      <w:proofErr w:type="spellEnd"/>
      <w:r w:rsidRPr="004A54B0">
        <w:rPr>
          <w:sz w:val="18"/>
          <w:szCs w:val="18"/>
          <w:lang w:eastAsia="en-GB"/>
        </w:rPr>
        <w:t xml:space="preserve">, N., </w:t>
      </w:r>
      <w:proofErr w:type="spellStart"/>
      <w:r w:rsidRPr="004A54B0">
        <w:rPr>
          <w:sz w:val="18"/>
          <w:szCs w:val="18"/>
          <w:lang w:eastAsia="en-GB"/>
        </w:rPr>
        <w:t>Kalluru</w:t>
      </w:r>
      <w:proofErr w:type="spellEnd"/>
      <w:r w:rsidRPr="004A54B0">
        <w:rPr>
          <w:sz w:val="18"/>
          <w:szCs w:val="18"/>
          <w:lang w:eastAsia="en-GB"/>
        </w:rPr>
        <w:t xml:space="preserve">, R., </w:t>
      </w:r>
      <w:proofErr w:type="spellStart"/>
      <w:r w:rsidRPr="004A54B0">
        <w:rPr>
          <w:sz w:val="18"/>
          <w:szCs w:val="18"/>
          <w:lang w:eastAsia="en-GB"/>
        </w:rPr>
        <w:t>Aati</w:t>
      </w:r>
      <w:proofErr w:type="spellEnd"/>
      <w:r w:rsidRPr="004A54B0">
        <w:rPr>
          <w:sz w:val="18"/>
          <w:szCs w:val="18"/>
          <w:lang w:eastAsia="en-GB"/>
        </w:rPr>
        <w:t>, O., Horne, A., Doyle, A. J. and McQueen, F. M., (2013). Tendon involvement in the feet of patients with gout: a dual-energy CT study. </w:t>
      </w:r>
      <w:r w:rsidRPr="004A54B0">
        <w:rPr>
          <w:i/>
          <w:iCs/>
          <w:sz w:val="18"/>
          <w:szCs w:val="18"/>
          <w:lang w:eastAsia="en-GB"/>
        </w:rPr>
        <w:t>Annals of the Rheumatic Diseases</w:t>
      </w:r>
      <w:r w:rsidRPr="004A54B0">
        <w:rPr>
          <w:sz w:val="18"/>
          <w:szCs w:val="18"/>
          <w:lang w:eastAsia="en-GB"/>
        </w:rPr>
        <w:t> [online]. </w:t>
      </w:r>
      <w:r w:rsidRPr="004A54B0">
        <w:rPr>
          <w:b/>
          <w:bCs/>
          <w:sz w:val="18"/>
          <w:szCs w:val="18"/>
          <w:lang w:eastAsia="en-GB"/>
        </w:rPr>
        <w:t>72</w:t>
      </w:r>
      <w:r w:rsidRPr="004A54B0">
        <w:rPr>
          <w:sz w:val="18"/>
          <w:szCs w:val="18"/>
          <w:lang w:eastAsia="en-GB"/>
        </w:rPr>
        <w:t xml:space="preserve">(9), 1545–1548.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10.1136/annrheumdis-2012-202786</w:t>
      </w:r>
    </w:p>
    <w:p w14:paraId="3C3898D8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</w:p>
    <w:p w14:paraId="1E805D5A" w14:textId="624C5CF9" w:rsidR="004A54B0" w:rsidRDefault="004A54B0" w:rsidP="004A54B0">
      <w:pPr>
        <w:jc w:val="left"/>
        <w:rPr>
          <w:sz w:val="18"/>
          <w:szCs w:val="18"/>
          <w:lang w:eastAsia="en-GB"/>
        </w:rPr>
      </w:pPr>
      <w:r w:rsidRPr="004A54B0">
        <w:rPr>
          <w:sz w:val="18"/>
          <w:szCs w:val="18"/>
          <w:lang w:eastAsia="en-GB"/>
        </w:rPr>
        <w:t xml:space="preserve">Fatima, T., McKinney, C., Major, T. J., Stamp, L. K., </w:t>
      </w:r>
      <w:proofErr w:type="spellStart"/>
      <w:r w:rsidRPr="004A54B0">
        <w:rPr>
          <w:sz w:val="18"/>
          <w:szCs w:val="18"/>
          <w:lang w:eastAsia="en-GB"/>
        </w:rPr>
        <w:t>Dalbeth</w:t>
      </w:r>
      <w:proofErr w:type="spellEnd"/>
      <w:r w:rsidRPr="004A54B0">
        <w:rPr>
          <w:sz w:val="18"/>
          <w:szCs w:val="18"/>
          <w:lang w:eastAsia="en-GB"/>
        </w:rPr>
        <w:t>, N., Iverson, C., Merriman, T. R. and Miner, J. N., (2018). The relationship between ferritin and urate levels and risk of gout. </w:t>
      </w:r>
      <w:r w:rsidRPr="004A54B0">
        <w:rPr>
          <w:i/>
          <w:iCs/>
          <w:sz w:val="18"/>
          <w:szCs w:val="18"/>
          <w:lang w:eastAsia="en-GB"/>
        </w:rPr>
        <w:t>Arthritis Research &amp; Therapy</w:t>
      </w:r>
      <w:r w:rsidRPr="004A54B0">
        <w:rPr>
          <w:sz w:val="18"/>
          <w:szCs w:val="18"/>
          <w:lang w:eastAsia="en-GB"/>
        </w:rPr>
        <w:t> [online]. </w:t>
      </w:r>
      <w:r w:rsidRPr="004A54B0">
        <w:rPr>
          <w:b/>
          <w:bCs/>
          <w:sz w:val="18"/>
          <w:szCs w:val="18"/>
          <w:lang w:eastAsia="en-GB"/>
        </w:rPr>
        <w:t>20</w:t>
      </w:r>
      <w:r w:rsidRPr="004A54B0">
        <w:rPr>
          <w:sz w:val="18"/>
          <w:szCs w:val="18"/>
          <w:lang w:eastAsia="en-GB"/>
        </w:rPr>
        <w:t xml:space="preserve">(1).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10.1186/s13075-018-1668-y</w:t>
      </w:r>
    </w:p>
    <w:p w14:paraId="2697B9BD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</w:p>
    <w:p w14:paraId="3D8A0862" w14:textId="25BD561D" w:rsidR="004A54B0" w:rsidRDefault="004A54B0" w:rsidP="004A54B0">
      <w:pPr>
        <w:jc w:val="left"/>
        <w:rPr>
          <w:sz w:val="18"/>
          <w:szCs w:val="18"/>
          <w:lang w:eastAsia="en-GB"/>
        </w:rPr>
      </w:pPr>
      <w:proofErr w:type="spellStart"/>
      <w:r w:rsidRPr="004A54B0">
        <w:rPr>
          <w:sz w:val="18"/>
          <w:szCs w:val="18"/>
          <w:lang w:eastAsia="en-GB"/>
        </w:rPr>
        <w:t>Fossum</w:t>
      </w:r>
      <w:proofErr w:type="spellEnd"/>
      <w:r w:rsidRPr="004A54B0">
        <w:rPr>
          <w:sz w:val="18"/>
          <w:szCs w:val="18"/>
          <w:lang w:eastAsia="en-GB"/>
        </w:rPr>
        <w:t xml:space="preserve">, S. L., </w:t>
      </w:r>
      <w:proofErr w:type="spellStart"/>
      <w:r w:rsidRPr="004A54B0">
        <w:rPr>
          <w:sz w:val="18"/>
          <w:szCs w:val="18"/>
          <w:lang w:eastAsia="en-GB"/>
        </w:rPr>
        <w:t>Mutolo</w:t>
      </w:r>
      <w:proofErr w:type="spellEnd"/>
      <w:r w:rsidRPr="004A54B0">
        <w:rPr>
          <w:sz w:val="18"/>
          <w:szCs w:val="18"/>
          <w:lang w:eastAsia="en-GB"/>
        </w:rPr>
        <w:t xml:space="preserve">, M. J., </w:t>
      </w:r>
      <w:proofErr w:type="spellStart"/>
      <w:r w:rsidRPr="004A54B0">
        <w:rPr>
          <w:sz w:val="18"/>
          <w:szCs w:val="18"/>
          <w:lang w:eastAsia="en-GB"/>
        </w:rPr>
        <w:t>Tugores</w:t>
      </w:r>
      <w:proofErr w:type="spellEnd"/>
      <w:r w:rsidRPr="004A54B0">
        <w:rPr>
          <w:sz w:val="18"/>
          <w:szCs w:val="18"/>
          <w:lang w:eastAsia="en-GB"/>
        </w:rPr>
        <w:t xml:space="preserve">, A., Ghosh, S., Randell, S. H., Jones, L. C., Leir, S.-H. and Harris, A., (2017). </w:t>
      </w:r>
      <w:proofErr w:type="spellStart"/>
      <w:r w:rsidRPr="004A54B0">
        <w:rPr>
          <w:sz w:val="18"/>
          <w:szCs w:val="18"/>
          <w:lang w:eastAsia="en-GB"/>
        </w:rPr>
        <w:t>Ets</w:t>
      </w:r>
      <w:proofErr w:type="spellEnd"/>
      <w:r w:rsidRPr="004A54B0">
        <w:rPr>
          <w:sz w:val="18"/>
          <w:szCs w:val="18"/>
          <w:lang w:eastAsia="en-GB"/>
        </w:rPr>
        <w:t xml:space="preserve"> homologous factor (EHF) has critical roles in epithelial dysfunction in airway disease. </w:t>
      </w:r>
      <w:r w:rsidRPr="004A54B0">
        <w:rPr>
          <w:i/>
          <w:iCs/>
          <w:sz w:val="18"/>
          <w:szCs w:val="18"/>
          <w:lang w:eastAsia="en-GB"/>
        </w:rPr>
        <w:t>Journal of Biological Chemistry</w:t>
      </w:r>
      <w:r w:rsidRPr="004A54B0">
        <w:rPr>
          <w:sz w:val="18"/>
          <w:szCs w:val="18"/>
          <w:lang w:eastAsia="en-GB"/>
        </w:rPr>
        <w:t> [online]. </w:t>
      </w:r>
      <w:r w:rsidRPr="004A54B0">
        <w:rPr>
          <w:b/>
          <w:bCs/>
          <w:sz w:val="18"/>
          <w:szCs w:val="18"/>
          <w:lang w:eastAsia="en-GB"/>
        </w:rPr>
        <w:t>292</w:t>
      </w:r>
      <w:r w:rsidRPr="004A54B0">
        <w:rPr>
          <w:sz w:val="18"/>
          <w:szCs w:val="18"/>
          <w:lang w:eastAsia="en-GB"/>
        </w:rPr>
        <w:t xml:space="preserve">(26), 10938–10949.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10.1074/jbc.m117.775304</w:t>
      </w:r>
    </w:p>
    <w:p w14:paraId="6B9D50D4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</w:p>
    <w:p w14:paraId="73706466" w14:textId="0D32BAFF" w:rsidR="004A54B0" w:rsidRDefault="004A54B0" w:rsidP="004A54B0">
      <w:pPr>
        <w:jc w:val="left"/>
        <w:rPr>
          <w:sz w:val="18"/>
          <w:szCs w:val="18"/>
          <w:lang w:eastAsia="en-GB"/>
        </w:rPr>
      </w:pPr>
      <w:proofErr w:type="spellStart"/>
      <w:r w:rsidRPr="004A54B0">
        <w:rPr>
          <w:sz w:val="18"/>
          <w:szCs w:val="18"/>
          <w:lang w:eastAsia="en-GB"/>
        </w:rPr>
        <w:t>Fossum</w:t>
      </w:r>
      <w:proofErr w:type="spellEnd"/>
      <w:r w:rsidRPr="004A54B0">
        <w:rPr>
          <w:sz w:val="18"/>
          <w:szCs w:val="18"/>
          <w:lang w:eastAsia="en-GB"/>
        </w:rPr>
        <w:t xml:space="preserve">, S. L., </w:t>
      </w:r>
      <w:proofErr w:type="spellStart"/>
      <w:r w:rsidRPr="004A54B0">
        <w:rPr>
          <w:sz w:val="18"/>
          <w:szCs w:val="18"/>
          <w:lang w:eastAsia="en-GB"/>
        </w:rPr>
        <w:t>Mutolo</w:t>
      </w:r>
      <w:proofErr w:type="spellEnd"/>
      <w:r w:rsidRPr="004A54B0">
        <w:rPr>
          <w:sz w:val="18"/>
          <w:szCs w:val="18"/>
          <w:lang w:eastAsia="en-GB"/>
        </w:rPr>
        <w:t xml:space="preserve">, M. J., Yang, R., Dang, H., O'Neal, W. K., Knowles, M. R., Leir, S.-H. and Harris, A., (2014). </w:t>
      </w:r>
      <w:proofErr w:type="spellStart"/>
      <w:r w:rsidRPr="004A54B0">
        <w:rPr>
          <w:sz w:val="18"/>
          <w:szCs w:val="18"/>
          <w:lang w:eastAsia="en-GB"/>
        </w:rPr>
        <w:t>Ets</w:t>
      </w:r>
      <w:proofErr w:type="spellEnd"/>
      <w:r w:rsidRPr="004A54B0">
        <w:rPr>
          <w:sz w:val="18"/>
          <w:szCs w:val="18"/>
          <w:lang w:eastAsia="en-GB"/>
        </w:rPr>
        <w:t xml:space="preserve"> homologous factor regulates pathways controlling response to injury in airway epithelial cells. </w:t>
      </w:r>
      <w:r w:rsidRPr="004A54B0">
        <w:rPr>
          <w:i/>
          <w:iCs/>
          <w:sz w:val="18"/>
          <w:szCs w:val="18"/>
          <w:lang w:eastAsia="en-GB"/>
        </w:rPr>
        <w:t>Nucleic Acids Research</w:t>
      </w:r>
      <w:r w:rsidRPr="004A54B0">
        <w:rPr>
          <w:sz w:val="18"/>
          <w:szCs w:val="18"/>
          <w:lang w:eastAsia="en-GB"/>
        </w:rPr>
        <w:t> [online]. </w:t>
      </w:r>
      <w:r w:rsidRPr="004A54B0">
        <w:rPr>
          <w:b/>
          <w:bCs/>
          <w:sz w:val="18"/>
          <w:szCs w:val="18"/>
          <w:lang w:eastAsia="en-GB"/>
        </w:rPr>
        <w:t>42</w:t>
      </w:r>
      <w:r w:rsidRPr="004A54B0">
        <w:rPr>
          <w:sz w:val="18"/>
          <w:szCs w:val="18"/>
          <w:lang w:eastAsia="en-GB"/>
        </w:rPr>
        <w:t xml:space="preserve">(22), 13588–13598.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10.1093/</w:t>
      </w:r>
      <w:proofErr w:type="spellStart"/>
      <w:r w:rsidRPr="004A54B0">
        <w:rPr>
          <w:sz w:val="18"/>
          <w:szCs w:val="18"/>
          <w:lang w:eastAsia="en-GB"/>
        </w:rPr>
        <w:t>nar</w:t>
      </w:r>
      <w:proofErr w:type="spellEnd"/>
      <w:r w:rsidRPr="004A54B0">
        <w:rPr>
          <w:sz w:val="18"/>
          <w:szCs w:val="18"/>
          <w:lang w:eastAsia="en-GB"/>
        </w:rPr>
        <w:t>/gku1146</w:t>
      </w:r>
    </w:p>
    <w:p w14:paraId="6E3C845A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</w:p>
    <w:p w14:paraId="39C8A43A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  <w:r w:rsidRPr="004A54B0">
        <w:rPr>
          <w:sz w:val="18"/>
          <w:szCs w:val="18"/>
          <w:lang w:eastAsia="en-GB"/>
        </w:rPr>
        <w:t>García-Arias, M., Balsa, A. and Mola, E. M., (2011). Septic arthritis. </w:t>
      </w:r>
      <w:r w:rsidRPr="004A54B0">
        <w:rPr>
          <w:i/>
          <w:iCs/>
          <w:sz w:val="18"/>
          <w:szCs w:val="18"/>
          <w:lang w:eastAsia="en-GB"/>
        </w:rPr>
        <w:t>Best Practice &amp; Research Clinical Rheumatology</w:t>
      </w:r>
      <w:r w:rsidRPr="004A54B0">
        <w:rPr>
          <w:sz w:val="18"/>
          <w:szCs w:val="18"/>
          <w:lang w:eastAsia="en-GB"/>
        </w:rPr>
        <w:t> [online]. </w:t>
      </w:r>
      <w:r w:rsidRPr="004A54B0">
        <w:rPr>
          <w:b/>
          <w:bCs/>
          <w:sz w:val="18"/>
          <w:szCs w:val="18"/>
          <w:lang w:eastAsia="en-GB"/>
        </w:rPr>
        <w:t>25</w:t>
      </w:r>
      <w:r w:rsidRPr="004A54B0">
        <w:rPr>
          <w:sz w:val="18"/>
          <w:szCs w:val="18"/>
          <w:lang w:eastAsia="en-GB"/>
        </w:rPr>
        <w:t xml:space="preserve">(3), 407–421.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10.1016/j.berh.2011.02.001</w:t>
      </w:r>
    </w:p>
    <w:p w14:paraId="6151129F" w14:textId="22AE67FC" w:rsidR="004A54B0" w:rsidRDefault="004A54B0" w:rsidP="004A54B0">
      <w:pPr>
        <w:jc w:val="left"/>
        <w:rPr>
          <w:sz w:val="18"/>
          <w:szCs w:val="18"/>
          <w:lang w:eastAsia="en-GB"/>
        </w:rPr>
      </w:pPr>
      <w:r w:rsidRPr="004A54B0">
        <w:rPr>
          <w:sz w:val="18"/>
          <w:szCs w:val="18"/>
          <w:lang w:eastAsia="en-GB"/>
        </w:rPr>
        <w:t xml:space="preserve">García-Heredia, J. M. and </w:t>
      </w:r>
      <w:proofErr w:type="spellStart"/>
      <w:r w:rsidRPr="004A54B0">
        <w:rPr>
          <w:sz w:val="18"/>
          <w:szCs w:val="18"/>
          <w:lang w:eastAsia="en-GB"/>
        </w:rPr>
        <w:t>Carnero</w:t>
      </w:r>
      <w:proofErr w:type="spellEnd"/>
      <w:r w:rsidRPr="004A54B0">
        <w:rPr>
          <w:sz w:val="18"/>
          <w:szCs w:val="18"/>
          <w:lang w:eastAsia="en-GB"/>
        </w:rPr>
        <w:t>, A., (2017). The cargo protein MAP17 (PDZK1IP1) regulates the immune microenvironment. </w:t>
      </w:r>
      <w:proofErr w:type="spellStart"/>
      <w:r w:rsidRPr="004A54B0">
        <w:rPr>
          <w:i/>
          <w:iCs/>
          <w:sz w:val="18"/>
          <w:szCs w:val="18"/>
          <w:lang w:eastAsia="en-GB"/>
        </w:rPr>
        <w:t>Oncotarget</w:t>
      </w:r>
      <w:proofErr w:type="spellEnd"/>
      <w:r w:rsidRPr="004A54B0">
        <w:rPr>
          <w:sz w:val="18"/>
          <w:szCs w:val="18"/>
          <w:lang w:eastAsia="en-GB"/>
        </w:rPr>
        <w:t> [online]. </w:t>
      </w:r>
      <w:r w:rsidRPr="004A54B0">
        <w:rPr>
          <w:b/>
          <w:bCs/>
          <w:sz w:val="18"/>
          <w:szCs w:val="18"/>
          <w:lang w:eastAsia="en-GB"/>
        </w:rPr>
        <w:t>8</w:t>
      </w:r>
      <w:r w:rsidRPr="004A54B0">
        <w:rPr>
          <w:sz w:val="18"/>
          <w:szCs w:val="18"/>
          <w:lang w:eastAsia="en-GB"/>
        </w:rPr>
        <w:t xml:space="preserve">(58), 98580–98597.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10.18632/oncotarget.21651</w:t>
      </w:r>
    </w:p>
    <w:p w14:paraId="17D7E89E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</w:p>
    <w:p w14:paraId="7E443786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  <w:proofErr w:type="spellStart"/>
      <w:r w:rsidRPr="004A54B0">
        <w:rPr>
          <w:sz w:val="18"/>
          <w:szCs w:val="18"/>
          <w:lang w:eastAsia="en-GB"/>
        </w:rPr>
        <w:lastRenderedPageBreak/>
        <w:t>Ghio</w:t>
      </w:r>
      <w:proofErr w:type="spellEnd"/>
      <w:r w:rsidRPr="004A54B0">
        <w:rPr>
          <w:sz w:val="18"/>
          <w:szCs w:val="18"/>
          <w:lang w:eastAsia="en-GB"/>
        </w:rPr>
        <w:t xml:space="preserve">, A. J., Kennedy, T. P., </w:t>
      </w:r>
      <w:proofErr w:type="spellStart"/>
      <w:r w:rsidRPr="004A54B0">
        <w:rPr>
          <w:sz w:val="18"/>
          <w:szCs w:val="18"/>
          <w:lang w:eastAsia="en-GB"/>
        </w:rPr>
        <w:t>Stonehuerner</w:t>
      </w:r>
      <w:proofErr w:type="spellEnd"/>
      <w:r w:rsidRPr="004A54B0">
        <w:rPr>
          <w:sz w:val="18"/>
          <w:szCs w:val="18"/>
          <w:lang w:eastAsia="en-GB"/>
        </w:rPr>
        <w:t xml:space="preserve">, J., Carter, J. D., Skinner, K. A., Parks, D. A. and </w:t>
      </w:r>
      <w:proofErr w:type="spellStart"/>
      <w:r w:rsidRPr="004A54B0">
        <w:rPr>
          <w:sz w:val="18"/>
          <w:szCs w:val="18"/>
          <w:lang w:eastAsia="en-GB"/>
        </w:rPr>
        <w:t>Hoidal</w:t>
      </w:r>
      <w:proofErr w:type="spellEnd"/>
      <w:r w:rsidRPr="004A54B0">
        <w:rPr>
          <w:sz w:val="18"/>
          <w:szCs w:val="18"/>
          <w:lang w:eastAsia="en-GB"/>
        </w:rPr>
        <w:t>, J. R., (2002). Iron regulates xanthine oxidase activity in the lung. </w:t>
      </w:r>
      <w:r w:rsidRPr="004A54B0">
        <w:rPr>
          <w:i/>
          <w:iCs/>
          <w:sz w:val="18"/>
          <w:szCs w:val="18"/>
          <w:lang w:eastAsia="en-GB"/>
        </w:rPr>
        <w:t>American Journal of Physiology-Lung Cellular and Molecular Physiology</w:t>
      </w:r>
      <w:r w:rsidRPr="004A54B0">
        <w:rPr>
          <w:sz w:val="18"/>
          <w:szCs w:val="18"/>
          <w:lang w:eastAsia="en-GB"/>
        </w:rPr>
        <w:t> [online]. </w:t>
      </w:r>
      <w:r w:rsidRPr="004A54B0">
        <w:rPr>
          <w:b/>
          <w:bCs/>
          <w:sz w:val="18"/>
          <w:szCs w:val="18"/>
          <w:lang w:eastAsia="en-GB"/>
        </w:rPr>
        <w:t>283</w:t>
      </w:r>
      <w:r w:rsidRPr="004A54B0">
        <w:rPr>
          <w:sz w:val="18"/>
          <w:szCs w:val="18"/>
          <w:lang w:eastAsia="en-GB"/>
        </w:rPr>
        <w:t xml:space="preserve">(3), L563—L572.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10.1152/ajplung.00413.2000</w:t>
      </w:r>
    </w:p>
    <w:p w14:paraId="1A1300C0" w14:textId="5103C678" w:rsidR="004A54B0" w:rsidRDefault="004A54B0" w:rsidP="004A54B0">
      <w:pPr>
        <w:jc w:val="left"/>
        <w:rPr>
          <w:sz w:val="18"/>
          <w:szCs w:val="18"/>
          <w:lang w:eastAsia="en-GB"/>
        </w:rPr>
      </w:pPr>
      <w:r w:rsidRPr="004A54B0">
        <w:rPr>
          <w:sz w:val="18"/>
          <w:szCs w:val="18"/>
          <w:lang w:eastAsia="en-GB"/>
        </w:rPr>
        <w:t>Goldenberg, D. L., (1998). Septic arthritis. </w:t>
      </w:r>
      <w:r w:rsidRPr="004A54B0">
        <w:rPr>
          <w:i/>
          <w:iCs/>
          <w:sz w:val="18"/>
          <w:szCs w:val="18"/>
          <w:lang w:eastAsia="en-GB"/>
        </w:rPr>
        <w:t>The Lancet</w:t>
      </w:r>
      <w:r w:rsidRPr="004A54B0">
        <w:rPr>
          <w:sz w:val="18"/>
          <w:szCs w:val="18"/>
          <w:lang w:eastAsia="en-GB"/>
        </w:rPr>
        <w:t> [online]. </w:t>
      </w:r>
      <w:r w:rsidRPr="004A54B0">
        <w:rPr>
          <w:b/>
          <w:bCs/>
          <w:sz w:val="18"/>
          <w:szCs w:val="18"/>
          <w:lang w:eastAsia="en-GB"/>
        </w:rPr>
        <w:t>351</w:t>
      </w:r>
      <w:r w:rsidRPr="004A54B0">
        <w:rPr>
          <w:sz w:val="18"/>
          <w:szCs w:val="18"/>
          <w:lang w:eastAsia="en-GB"/>
        </w:rPr>
        <w:t xml:space="preserve">(9097), 197–202.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10.1016/s0140-6736(97)09522-6</w:t>
      </w:r>
    </w:p>
    <w:p w14:paraId="18E1D7F7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</w:p>
    <w:p w14:paraId="66107CF8" w14:textId="2B26E790" w:rsidR="004A54B0" w:rsidRDefault="004A54B0" w:rsidP="004A54B0">
      <w:pPr>
        <w:jc w:val="left"/>
        <w:rPr>
          <w:sz w:val="18"/>
          <w:szCs w:val="18"/>
          <w:lang w:eastAsia="en-GB"/>
        </w:rPr>
      </w:pPr>
      <w:r w:rsidRPr="004A54B0">
        <w:rPr>
          <w:sz w:val="18"/>
          <w:szCs w:val="18"/>
          <w:lang w:eastAsia="en-GB"/>
        </w:rPr>
        <w:t>Hauck, W. W. and Donner, A., (1977). Wald's test as applied to hypotheses in logit analysis. </w:t>
      </w:r>
      <w:r w:rsidRPr="004A54B0">
        <w:rPr>
          <w:i/>
          <w:iCs/>
          <w:sz w:val="18"/>
          <w:szCs w:val="18"/>
          <w:lang w:eastAsia="en-GB"/>
        </w:rPr>
        <w:t>Journal of the American Statistical Association</w:t>
      </w:r>
      <w:r w:rsidRPr="004A54B0">
        <w:rPr>
          <w:sz w:val="18"/>
          <w:szCs w:val="18"/>
          <w:lang w:eastAsia="en-GB"/>
        </w:rPr>
        <w:t> [online]. </w:t>
      </w:r>
      <w:r w:rsidRPr="004A54B0">
        <w:rPr>
          <w:b/>
          <w:bCs/>
          <w:sz w:val="18"/>
          <w:szCs w:val="18"/>
          <w:lang w:eastAsia="en-GB"/>
        </w:rPr>
        <w:t>72</w:t>
      </w:r>
      <w:r w:rsidRPr="004A54B0">
        <w:rPr>
          <w:sz w:val="18"/>
          <w:szCs w:val="18"/>
          <w:lang w:eastAsia="en-GB"/>
        </w:rPr>
        <w:t xml:space="preserve">(360a), 851–853.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10.1080/01621459.1977.10479969</w:t>
      </w:r>
    </w:p>
    <w:p w14:paraId="0E8E4812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</w:p>
    <w:p w14:paraId="21973147" w14:textId="036F9C55" w:rsidR="004A54B0" w:rsidRDefault="004A54B0" w:rsidP="004A54B0">
      <w:pPr>
        <w:jc w:val="left"/>
        <w:rPr>
          <w:sz w:val="18"/>
          <w:szCs w:val="18"/>
          <w:lang w:eastAsia="en-GB"/>
        </w:rPr>
      </w:pPr>
      <w:proofErr w:type="spellStart"/>
      <w:r w:rsidRPr="004A54B0">
        <w:rPr>
          <w:sz w:val="18"/>
          <w:szCs w:val="18"/>
          <w:lang w:eastAsia="en-GB"/>
        </w:rPr>
        <w:t>Martinon</w:t>
      </w:r>
      <w:proofErr w:type="spellEnd"/>
      <w:r w:rsidRPr="004A54B0">
        <w:rPr>
          <w:sz w:val="18"/>
          <w:szCs w:val="18"/>
          <w:lang w:eastAsia="en-GB"/>
        </w:rPr>
        <w:t xml:space="preserve">, F., </w:t>
      </w:r>
      <w:proofErr w:type="spellStart"/>
      <w:r w:rsidRPr="004A54B0">
        <w:rPr>
          <w:sz w:val="18"/>
          <w:szCs w:val="18"/>
          <w:lang w:eastAsia="en-GB"/>
        </w:rPr>
        <w:t>Pétrilli</w:t>
      </w:r>
      <w:proofErr w:type="spellEnd"/>
      <w:r w:rsidRPr="004A54B0">
        <w:rPr>
          <w:sz w:val="18"/>
          <w:szCs w:val="18"/>
          <w:lang w:eastAsia="en-GB"/>
        </w:rPr>
        <w:t xml:space="preserve">, V., Mayor, A., </w:t>
      </w:r>
      <w:proofErr w:type="spellStart"/>
      <w:r w:rsidRPr="004A54B0">
        <w:rPr>
          <w:sz w:val="18"/>
          <w:szCs w:val="18"/>
          <w:lang w:eastAsia="en-GB"/>
        </w:rPr>
        <w:t>Tardivel</w:t>
      </w:r>
      <w:proofErr w:type="spellEnd"/>
      <w:r w:rsidRPr="004A54B0">
        <w:rPr>
          <w:sz w:val="18"/>
          <w:szCs w:val="18"/>
          <w:lang w:eastAsia="en-GB"/>
        </w:rPr>
        <w:t>, A. and Tschopp, J., (2006). Gout-associated uric acid crystals activate the NALP3 inflammasome. </w:t>
      </w:r>
      <w:r w:rsidRPr="004A54B0">
        <w:rPr>
          <w:i/>
          <w:iCs/>
          <w:sz w:val="18"/>
          <w:szCs w:val="18"/>
          <w:lang w:eastAsia="en-GB"/>
        </w:rPr>
        <w:t>Nature</w:t>
      </w:r>
      <w:r w:rsidRPr="004A54B0">
        <w:rPr>
          <w:sz w:val="18"/>
          <w:szCs w:val="18"/>
          <w:lang w:eastAsia="en-GB"/>
        </w:rPr>
        <w:t> [online]. </w:t>
      </w:r>
      <w:r w:rsidRPr="004A54B0">
        <w:rPr>
          <w:b/>
          <w:bCs/>
          <w:sz w:val="18"/>
          <w:szCs w:val="18"/>
          <w:lang w:eastAsia="en-GB"/>
        </w:rPr>
        <w:t>440</w:t>
      </w:r>
      <w:r w:rsidRPr="004A54B0">
        <w:rPr>
          <w:sz w:val="18"/>
          <w:szCs w:val="18"/>
          <w:lang w:eastAsia="en-GB"/>
        </w:rPr>
        <w:t xml:space="preserve">(7081), 237–241.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10.1038/nature04516</w:t>
      </w:r>
    </w:p>
    <w:p w14:paraId="6BCD086C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</w:p>
    <w:p w14:paraId="404A3BF2" w14:textId="33C90322" w:rsidR="004A54B0" w:rsidRDefault="004A54B0" w:rsidP="004A54B0">
      <w:pPr>
        <w:jc w:val="left"/>
        <w:rPr>
          <w:sz w:val="18"/>
          <w:szCs w:val="18"/>
          <w:lang w:eastAsia="en-GB"/>
        </w:rPr>
      </w:pPr>
      <w:r w:rsidRPr="004A54B0">
        <w:rPr>
          <w:sz w:val="18"/>
          <w:szCs w:val="18"/>
          <w:lang w:eastAsia="en-GB"/>
        </w:rPr>
        <w:t xml:space="preserve">Perez-Ruiz, F. and </w:t>
      </w:r>
      <w:proofErr w:type="spellStart"/>
      <w:r w:rsidRPr="004A54B0">
        <w:rPr>
          <w:sz w:val="18"/>
          <w:szCs w:val="18"/>
          <w:lang w:eastAsia="en-GB"/>
        </w:rPr>
        <w:t>Dalbeth</w:t>
      </w:r>
      <w:proofErr w:type="spellEnd"/>
      <w:r w:rsidRPr="004A54B0">
        <w:rPr>
          <w:sz w:val="18"/>
          <w:szCs w:val="18"/>
          <w:lang w:eastAsia="en-GB"/>
        </w:rPr>
        <w:t>, N., (2019). Gout. </w:t>
      </w:r>
      <w:r w:rsidRPr="004A54B0">
        <w:rPr>
          <w:i/>
          <w:iCs/>
          <w:sz w:val="18"/>
          <w:szCs w:val="18"/>
          <w:lang w:eastAsia="en-GB"/>
        </w:rPr>
        <w:t>Rheumatic Disease Clinics of North America</w:t>
      </w:r>
      <w:r w:rsidRPr="004A54B0">
        <w:rPr>
          <w:sz w:val="18"/>
          <w:szCs w:val="18"/>
          <w:lang w:eastAsia="en-GB"/>
        </w:rPr>
        <w:t> [online]. </w:t>
      </w:r>
      <w:r w:rsidRPr="004A54B0">
        <w:rPr>
          <w:b/>
          <w:bCs/>
          <w:sz w:val="18"/>
          <w:szCs w:val="18"/>
          <w:lang w:eastAsia="en-GB"/>
        </w:rPr>
        <w:t>45</w:t>
      </w:r>
      <w:r w:rsidRPr="004A54B0">
        <w:rPr>
          <w:sz w:val="18"/>
          <w:szCs w:val="18"/>
          <w:lang w:eastAsia="en-GB"/>
        </w:rPr>
        <w:t xml:space="preserve">(4), 583–591.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10.1016/j.rdc.2019.08.001</w:t>
      </w:r>
    </w:p>
    <w:p w14:paraId="4189F868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</w:p>
    <w:p w14:paraId="7AEA93DE" w14:textId="650B8B71" w:rsidR="004A54B0" w:rsidRDefault="004A54B0" w:rsidP="004A54B0">
      <w:pPr>
        <w:jc w:val="left"/>
        <w:rPr>
          <w:sz w:val="18"/>
          <w:szCs w:val="18"/>
          <w:lang w:eastAsia="en-GB"/>
        </w:rPr>
      </w:pPr>
      <w:r w:rsidRPr="004A54B0">
        <w:rPr>
          <w:sz w:val="18"/>
          <w:szCs w:val="18"/>
          <w:lang w:eastAsia="en-GB"/>
        </w:rPr>
        <w:t xml:space="preserve">Schmidt, E. P., Yang, Y., Janssen, W. J., </w:t>
      </w:r>
      <w:proofErr w:type="spellStart"/>
      <w:r w:rsidRPr="004A54B0">
        <w:rPr>
          <w:sz w:val="18"/>
          <w:szCs w:val="18"/>
          <w:lang w:eastAsia="en-GB"/>
        </w:rPr>
        <w:t>Gandjeva</w:t>
      </w:r>
      <w:proofErr w:type="spellEnd"/>
      <w:r w:rsidRPr="004A54B0">
        <w:rPr>
          <w:sz w:val="18"/>
          <w:szCs w:val="18"/>
          <w:lang w:eastAsia="en-GB"/>
        </w:rPr>
        <w:t xml:space="preserve">, A., Perez, M. J., Barthel, L., </w:t>
      </w:r>
      <w:proofErr w:type="spellStart"/>
      <w:r w:rsidRPr="004A54B0">
        <w:rPr>
          <w:sz w:val="18"/>
          <w:szCs w:val="18"/>
          <w:lang w:eastAsia="en-GB"/>
        </w:rPr>
        <w:t>Zemans</w:t>
      </w:r>
      <w:proofErr w:type="spellEnd"/>
      <w:r w:rsidRPr="004A54B0">
        <w:rPr>
          <w:sz w:val="18"/>
          <w:szCs w:val="18"/>
          <w:lang w:eastAsia="en-GB"/>
        </w:rPr>
        <w:t xml:space="preserve">, R. L., Bowman, J. C., </w:t>
      </w:r>
      <w:proofErr w:type="spellStart"/>
      <w:r w:rsidRPr="004A54B0">
        <w:rPr>
          <w:sz w:val="18"/>
          <w:szCs w:val="18"/>
          <w:lang w:eastAsia="en-GB"/>
        </w:rPr>
        <w:t>Koyanagi</w:t>
      </w:r>
      <w:proofErr w:type="spellEnd"/>
      <w:r w:rsidRPr="004A54B0">
        <w:rPr>
          <w:sz w:val="18"/>
          <w:szCs w:val="18"/>
          <w:lang w:eastAsia="en-GB"/>
        </w:rPr>
        <w:t xml:space="preserve">, D. E., </w:t>
      </w:r>
      <w:proofErr w:type="spellStart"/>
      <w:r w:rsidRPr="004A54B0">
        <w:rPr>
          <w:sz w:val="18"/>
          <w:szCs w:val="18"/>
          <w:lang w:eastAsia="en-GB"/>
        </w:rPr>
        <w:t>Yunt</w:t>
      </w:r>
      <w:proofErr w:type="spellEnd"/>
      <w:r w:rsidRPr="004A54B0">
        <w:rPr>
          <w:sz w:val="18"/>
          <w:szCs w:val="18"/>
          <w:lang w:eastAsia="en-GB"/>
        </w:rPr>
        <w:t xml:space="preserve">, Z. X., Smith, L. P., Cheng, S. S., </w:t>
      </w:r>
      <w:proofErr w:type="spellStart"/>
      <w:r w:rsidRPr="004A54B0">
        <w:rPr>
          <w:sz w:val="18"/>
          <w:szCs w:val="18"/>
          <w:lang w:eastAsia="en-GB"/>
        </w:rPr>
        <w:t>Overdier</w:t>
      </w:r>
      <w:proofErr w:type="spellEnd"/>
      <w:r w:rsidRPr="004A54B0">
        <w:rPr>
          <w:sz w:val="18"/>
          <w:szCs w:val="18"/>
          <w:lang w:eastAsia="en-GB"/>
        </w:rPr>
        <w:t xml:space="preserve">, K. H., Thompson, K. R., Geraci, M. W., Douglas, I. S., Pearse, D. B. and </w:t>
      </w:r>
      <w:proofErr w:type="spellStart"/>
      <w:r w:rsidRPr="004A54B0">
        <w:rPr>
          <w:sz w:val="18"/>
          <w:szCs w:val="18"/>
          <w:lang w:eastAsia="en-GB"/>
        </w:rPr>
        <w:t>Tuder</w:t>
      </w:r>
      <w:proofErr w:type="spellEnd"/>
      <w:r w:rsidRPr="004A54B0">
        <w:rPr>
          <w:sz w:val="18"/>
          <w:szCs w:val="18"/>
          <w:lang w:eastAsia="en-GB"/>
        </w:rPr>
        <w:t>, R. M., (2012). The pulmonary endothelial glycocalyx regulates neutrophil adhesion and lung injury during experimental sepsis. </w:t>
      </w:r>
      <w:r w:rsidRPr="004A54B0">
        <w:rPr>
          <w:i/>
          <w:iCs/>
          <w:sz w:val="18"/>
          <w:szCs w:val="18"/>
          <w:lang w:eastAsia="en-GB"/>
        </w:rPr>
        <w:t>Nature Medicine</w:t>
      </w:r>
      <w:r w:rsidRPr="004A54B0">
        <w:rPr>
          <w:sz w:val="18"/>
          <w:szCs w:val="18"/>
          <w:lang w:eastAsia="en-GB"/>
        </w:rPr>
        <w:t> [online]. </w:t>
      </w:r>
      <w:r w:rsidRPr="004A54B0">
        <w:rPr>
          <w:b/>
          <w:bCs/>
          <w:sz w:val="18"/>
          <w:szCs w:val="18"/>
          <w:lang w:eastAsia="en-GB"/>
        </w:rPr>
        <w:t>18</w:t>
      </w:r>
      <w:r w:rsidRPr="004A54B0">
        <w:rPr>
          <w:sz w:val="18"/>
          <w:szCs w:val="18"/>
          <w:lang w:eastAsia="en-GB"/>
        </w:rPr>
        <w:t xml:space="preserve">(8), 1217–1223.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10.1038/nm.2843</w:t>
      </w:r>
    </w:p>
    <w:p w14:paraId="06F149D7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</w:p>
    <w:p w14:paraId="1437AD81" w14:textId="71AA8423" w:rsidR="004A54B0" w:rsidRDefault="004A54B0" w:rsidP="004A54B0">
      <w:pPr>
        <w:jc w:val="left"/>
        <w:rPr>
          <w:sz w:val="18"/>
          <w:szCs w:val="18"/>
          <w:lang w:eastAsia="en-GB"/>
        </w:rPr>
      </w:pPr>
      <w:r w:rsidRPr="004A54B0">
        <w:rPr>
          <w:sz w:val="18"/>
          <w:szCs w:val="18"/>
          <w:lang w:eastAsia="en-GB"/>
        </w:rPr>
        <w:t>Wang, S., Song, R., Wang, Z., Jing, Z., Wang, S. and Ma, J., (2018). S100A8/A9 in inflammation. </w:t>
      </w:r>
      <w:r w:rsidRPr="004A54B0">
        <w:rPr>
          <w:i/>
          <w:iCs/>
          <w:sz w:val="18"/>
          <w:szCs w:val="18"/>
          <w:lang w:eastAsia="en-GB"/>
        </w:rPr>
        <w:t>Frontiers in Immunology</w:t>
      </w:r>
      <w:r w:rsidRPr="004A54B0">
        <w:rPr>
          <w:sz w:val="18"/>
          <w:szCs w:val="18"/>
          <w:lang w:eastAsia="en-GB"/>
        </w:rPr>
        <w:t> [online]. </w:t>
      </w:r>
      <w:r w:rsidRPr="004A54B0">
        <w:rPr>
          <w:b/>
          <w:bCs/>
          <w:sz w:val="18"/>
          <w:szCs w:val="18"/>
          <w:lang w:eastAsia="en-GB"/>
        </w:rPr>
        <w:t>9</w:t>
      </w:r>
      <w:r w:rsidRPr="004A54B0">
        <w:rPr>
          <w:sz w:val="18"/>
          <w:szCs w:val="18"/>
          <w:lang w:eastAsia="en-GB"/>
        </w:rPr>
        <w:t xml:space="preserve">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10.3389/fimmu.2018.01298</w:t>
      </w:r>
    </w:p>
    <w:p w14:paraId="359C140C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</w:p>
    <w:p w14:paraId="3707D919" w14:textId="1C5AFC80" w:rsidR="004A54B0" w:rsidRDefault="004A54B0" w:rsidP="004A54B0">
      <w:pPr>
        <w:jc w:val="left"/>
        <w:rPr>
          <w:sz w:val="18"/>
          <w:szCs w:val="18"/>
          <w:lang w:eastAsia="en-GB"/>
        </w:rPr>
      </w:pPr>
      <w:r w:rsidRPr="004A54B0">
        <w:rPr>
          <w:sz w:val="18"/>
          <w:szCs w:val="18"/>
          <w:lang w:eastAsia="en-GB"/>
        </w:rPr>
        <w:t xml:space="preserve">Xing, G., Lin, C.-Y., Wooding, S. P. and Xing, C., (2012). Blindly using </w:t>
      </w:r>
      <w:proofErr w:type="spellStart"/>
      <w:r w:rsidRPr="004A54B0">
        <w:rPr>
          <w:sz w:val="18"/>
          <w:szCs w:val="18"/>
          <w:lang w:eastAsia="en-GB"/>
        </w:rPr>
        <w:t>wald's</w:t>
      </w:r>
      <w:proofErr w:type="spellEnd"/>
      <w:r w:rsidRPr="004A54B0">
        <w:rPr>
          <w:sz w:val="18"/>
          <w:szCs w:val="18"/>
          <w:lang w:eastAsia="en-GB"/>
        </w:rPr>
        <w:t xml:space="preserve"> test can miss rare disease-causal variants in case-control association studies. </w:t>
      </w:r>
      <w:r w:rsidRPr="004A54B0">
        <w:rPr>
          <w:i/>
          <w:iCs/>
          <w:sz w:val="18"/>
          <w:szCs w:val="18"/>
          <w:lang w:eastAsia="en-GB"/>
        </w:rPr>
        <w:t>Annals of Human Genetics</w:t>
      </w:r>
      <w:r w:rsidRPr="004A54B0">
        <w:rPr>
          <w:sz w:val="18"/>
          <w:szCs w:val="18"/>
          <w:lang w:eastAsia="en-GB"/>
        </w:rPr>
        <w:t> [online]. </w:t>
      </w:r>
      <w:r w:rsidRPr="004A54B0">
        <w:rPr>
          <w:b/>
          <w:bCs/>
          <w:sz w:val="18"/>
          <w:szCs w:val="18"/>
          <w:lang w:eastAsia="en-GB"/>
        </w:rPr>
        <w:t>76</w:t>
      </w:r>
      <w:r w:rsidRPr="004A54B0">
        <w:rPr>
          <w:sz w:val="18"/>
          <w:szCs w:val="18"/>
          <w:lang w:eastAsia="en-GB"/>
        </w:rPr>
        <w:t xml:space="preserve">(2), 168–177.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10.1111/j.1469-1809.</w:t>
      </w:r>
      <w:proofErr w:type="gramStart"/>
      <w:r w:rsidRPr="004A54B0">
        <w:rPr>
          <w:sz w:val="18"/>
          <w:szCs w:val="18"/>
          <w:lang w:eastAsia="en-GB"/>
        </w:rPr>
        <w:t>2011.00700.x</w:t>
      </w:r>
      <w:proofErr w:type="gramEnd"/>
    </w:p>
    <w:p w14:paraId="5A157B4D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</w:p>
    <w:p w14:paraId="43206681" w14:textId="0528288B" w:rsidR="004A54B0" w:rsidRDefault="004A54B0" w:rsidP="004A54B0">
      <w:pPr>
        <w:jc w:val="left"/>
        <w:rPr>
          <w:sz w:val="18"/>
          <w:szCs w:val="18"/>
          <w:lang w:eastAsia="en-GB"/>
        </w:rPr>
      </w:pPr>
      <w:r w:rsidRPr="004A54B0">
        <w:rPr>
          <w:sz w:val="18"/>
          <w:szCs w:val="18"/>
          <w:lang w:eastAsia="en-GB"/>
        </w:rPr>
        <w:t xml:space="preserve">Yee, T. W., (2021). On the </w:t>
      </w:r>
      <w:proofErr w:type="spellStart"/>
      <w:r w:rsidRPr="004A54B0">
        <w:rPr>
          <w:sz w:val="18"/>
          <w:szCs w:val="18"/>
          <w:lang w:eastAsia="en-GB"/>
        </w:rPr>
        <w:t>hauck</w:t>
      </w:r>
      <w:proofErr w:type="spellEnd"/>
      <w:r w:rsidRPr="004A54B0">
        <w:rPr>
          <w:sz w:val="18"/>
          <w:szCs w:val="18"/>
          <w:lang w:eastAsia="en-GB"/>
        </w:rPr>
        <w:t xml:space="preserve">–donner effect in </w:t>
      </w:r>
      <w:proofErr w:type="spellStart"/>
      <w:r w:rsidRPr="004A54B0">
        <w:rPr>
          <w:sz w:val="18"/>
          <w:szCs w:val="18"/>
          <w:lang w:eastAsia="en-GB"/>
        </w:rPr>
        <w:t>wald</w:t>
      </w:r>
      <w:proofErr w:type="spellEnd"/>
      <w:r w:rsidRPr="004A54B0">
        <w:rPr>
          <w:sz w:val="18"/>
          <w:szCs w:val="18"/>
          <w:lang w:eastAsia="en-GB"/>
        </w:rPr>
        <w:t xml:space="preserve"> tests: detection, tipping points, and parameter space characterization. </w:t>
      </w:r>
      <w:r w:rsidRPr="004A54B0">
        <w:rPr>
          <w:i/>
          <w:iCs/>
          <w:sz w:val="18"/>
          <w:szCs w:val="18"/>
          <w:lang w:eastAsia="en-GB"/>
        </w:rPr>
        <w:t>Journal of the American Statistical Association</w:t>
      </w:r>
      <w:r w:rsidRPr="004A54B0">
        <w:rPr>
          <w:sz w:val="18"/>
          <w:szCs w:val="18"/>
          <w:lang w:eastAsia="en-GB"/>
        </w:rPr>
        <w:t xml:space="preserve"> [online]. 1–12.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10.1080/01621459.2021.1886936</w:t>
      </w:r>
    </w:p>
    <w:p w14:paraId="70A821BA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</w:p>
    <w:p w14:paraId="4D093536" w14:textId="7D22D67A" w:rsidR="004A54B0" w:rsidRDefault="004A54B0" w:rsidP="004A54B0">
      <w:pPr>
        <w:jc w:val="left"/>
        <w:rPr>
          <w:sz w:val="18"/>
          <w:szCs w:val="18"/>
          <w:lang w:eastAsia="en-GB"/>
        </w:rPr>
      </w:pPr>
      <w:r w:rsidRPr="004A54B0">
        <w:rPr>
          <w:sz w:val="18"/>
          <w:szCs w:val="18"/>
          <w:lang w:eastAsia="en-GB"/>
        </w:rPr>
        <w:t>Yuan, S. and Larsson, S., (2020). Causal associations of iron status with gout and rheumatoid arthritis, but not with inflammatory bowel disease. </w:t>
      </w:r>
      <w:r w:rsidRPr="004A54B0">
        <w:rPr>
          <w:i/>
          <w:iCs/>
          <w:sz w:val="18"/>
          <w:szCs w:val="18"/>
          <w:lang w:eastAsia="en-GB"/>
        </w:rPr>
        <w:t>Clinical Nutrition</w:t>
      </w:r>
      <w:r w:rsidRPr="004A54B0">
        <w:rPr>
          <w:sz w:val="18"/>
          <w:szCs w:val="18"/>
          <w:lang w:eastAsia="en-GB"/>
        </w:rPr>
        <w:t> [online]. </w:t>
      </w:r>
      <w:r w:rsidRPr="004A54B0">
        <w:rPr>
          <w:b/>
          <w:bCs/>
          <w:sz w:val="18"/>
          <w:szCs w:val="18"/>
          <w:lang w:eastAsia="en-GB"/>
        </w:rPr>
        <w:t>39</w:t>
      </w:r>
      <w:r w:rsidRPr="004A54B0">
        <w:rPr>
          <w:sz w:val="18"/>
          <w:szCs w:val="18"/>
          <w:lang w:eastAsia="en-GB"/>
        </w:rPr>
        <w:t xml:space="preserve">(10), 3119–3124.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10.1016/j.clnu.2020.01.019</w:t>
      </w:r>
    </w:p>
    <w:p w14:paraId="3C8AF48A" w14:textId="77777777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</w:p>
    <w:p w14:paraId="754B23FE" w14:textId="5D799198" w:rsidR="004A54B0" w:rsidRPr="004A54B0" w:rsidRDefault="004A54B0" w:rsidP="004A54B0">
      <w:pPr>
        <w:jc w:val="left"/>
        <w:rPr>
          <w:sz w:val="18"/>
          <w:szCs w:val="18"/>
          <w:lang w:eastAsia="en-GB"/>
        </w:rPr>
      </w:pPr>
      <w:r w:rsidRPr="004A54B0">
        <w:rPr>
          <w:sz w:val="18"/>
          <w:szCs w:val="18"/>
          <w:lang w:eastAsia="en-GB"/>
        </w:rPr>
        <w:t>Zhong, X., Peng, Y., Liao, H., Yao, C., Li, J., Yang, Q., He, Y., Qing, Y., Guo, X. and Zhou, J., (2019). Aberrant expression of long non</w:t>
      </w:r>
      <w:r w:rsidRPr="004A54B0">
        <w:rPr>
          <w:sz w:val="18"/>
          <w:szCs w:val="18"/>
          <w:lang w:eastAsia="en-GB"/>
        </w:rPr>
        <w:noBreakHyphen/>
        <w:t>coding RNAs in peripheral blood mononuclear cells isolated from patients with gouty arthritis. </w:t>
      </w:r>
      <w:r w:rsidRPr="004A54B0">
        <w:rPr>
          <w:i/>
          <w:iCs/>
          <w:sz w:val="18"/>
          <w:szCs w:val="18"/>
          <w:lang w:eastAsia="en-GB"/>
        </w:rPr>
        <w:t>Experimental and Therapeutic Medicine</w:t>
      </w:r>
      <w:r w:rsidRPr="004A54B0">
        <w:rPr>
          <w:sz w:val="18"/>
          <w:szCs w:val="18"/>
          <w:lang w:eastAsia="en-GB"/>
        </w:rPr>
        <w:t xml:space="preserve"> [online]. [Viewed 30 October 2022]. Available from: </w:t>
      </w:r>
      <w:proofErr w:type="spellStart"/>
      <w:r w:rsidRPr="004A54B0">
        <w:rPr>
          <w:sz w:val="18"/>
          <w:szCs w:val="18"/>
          <w:lang w:eastAsia="en-GB"/>
        </w:rPr>
        <w:t>doi</w:t>
      </w:r>
      <w:proofErr w:type="spellEnd"/>
      <w:r w:rsidRPr="004A54B0">
        <w:rPr>
          <w:sz w:val="18"/>
          <w:szCs w:val="18"/>
          <w:lang w:eastAsia="en-GB"/>
        </w:rPr>
        <w:t>: 10.3892/etm.2019.7816</w:t>
      </w:r>
    </w:p>
    <w:p w14:paraId="582EB25E" w14:textId="361B2BEA" w:rsidR="003C5DD3" w:rsidRDefault="003C5DD3" w:rsidP="003C5DD3">
      <w:pPr>
        <w:pStyle w:val="Subtitle"/>
      </w:pPr>
    </w:p>
    <w:p w14:paraId="4B7077B7" w14:textId="77777777" w:rsidR="00C730BC" w:rsidRPr="00C730BC" w:rsidRDefault="00C730BC" w:rsidP="00C730BC"/>
    <w:p w14:paraId="2890A3CD" w14:textId="4FF282D2" w:rsidR="003C5DD3" w:rsidRPr="003C5DD3" w:rsidRDefault="00C730BC" w:rsidP="003C5DD3">
      <w:pPr>
        <w:pStyle w:val="Subtitle"/>
      </w:pPr>
      <w:r w:rsidRPr="007C10D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0EBC28A" wp14:editId="4228AA12">
            <wp:simplePos x="0" y="0"/>
            <wp:positionH relativeFrom="margin">
              <wp:posOffset>819150</wp:posOffset>
            </wp:positionH>
            <wp:positionV relativeFrom="margin">
              <wp:posOffset>134486</wp:posOffset>
            </wp:positionV>
            <wp:extent cx="3724910" cy="32550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0B80">
        <w:t xml:space="preserve">Appendix </w:t>
      </w:r>
    </w:p>
    <w:p w14:paraId="5C8730D0" w14:textId="1C8E165B" w:rsidR="003C5DD3" w:rsidRDefault="003C5DD3" w:rsidP="007C10DF">
      <w:pPr>
        <w:jc w:val="center"/>
      </w:pPr>
    </w:p>
    <w:p w14:paraId="41F5C174" w14:textId="5E5CDB7B" w:rsidR="00890B80" w:rsidRPr="00890B80" w:rsidRDefault="00C730BC" w:rsidP="007C10DF">
      <w:pPr>
        <w:jc w:val="center"/>
      </w:pPr>
      <w:r w:rsidRPr="007C10DF">
        <w:rPr>
          <w:noProof/>
        </w:rPr>
        <w:drawing>
          <wp:anchor distT="0" distB="0" distL="114300" distR="114300" simplePos="0" relativeHeight="251660288" behindDoc="0" locked="0" layoutInCell="1" allowOverlap="1" wp14:anchorId="6E8B1320" wp14:editId="22B5CDC5">
            <wp:simplePos x="0" y="0"/>
            <wp:positionH relativeFrom="margin">
              <wp:posOffset>525780</wp:posOffset>
            </wp:positionH>
            <wp:positionV relativeFrom="margin">
              <wp:posOffset>6758305</wp:posOffset>
            </wp:positionV>
            <wp:extent cx="4381500" cy="2921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10DF">
        <w:rPr>
          <w:noProof/>
        </w:rPr>
        <w:drawing>
          <wp:anchor distT="0" distB="0" distL="114300" distR="114300" simplePos="0" relativeHeight="251659264" behindDoc="0" locked="0" layoutInCell="1" allowOverlap="1" wp14:anchorId="25553F60" wp14:editId="4696CB99">
            <wp:simplePos x="0" y="0"/>
            <wp:positionH relativeFrom="margin">
              <wp:posOffset>674370</wp:posOffset>
            </wp:positionH>
            <wp:positionV relativeFrom="margin">
              <wp:posOffset>3390499</wp:posOffset>
            </wp:positionV>
            <wp:extent cx="4013200" cy="34163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90B80" w:rsidRPr="00890B80" w:rsidSect="008C7D9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238D6" w14:textId="77777777" w:rsidR="00BF30A3" w:rsidRDefault="00BF30A3" w:rsidP="00CB6BCA">
      <w:pPr>
        <w:spacing w:line="240" w:lineRule="auto"/>
      </w:pPr>
      <w:r>
        <w:separator/>
      </w:r>
    </w:p>
  </w:endnote>
  <w:endnote w:type="continuationSeparator" w:id="0">
    <w:p w14:paraId="53C8C988" w14:textId="77777777" w:rsidR="00BF30A3" w:rsidRDefault="00BF30A3" w:rsidP="00CB6B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rlito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F5F52" w14:textId="77777777" w:rsidR="00BF30A3" w:rsidRDefault="00BF30A3" w:rsidP="00CB6BCA">
      <w:pPr>
        <w:spacing w:line="240" w:lineRule="auto"/>
      </w:pPr>
      <w:r>
        <w:separator/>
      </w:r>
    </w:p>
  </w:footnote>
  <w:footnote w:type="continuationSeparator" w:id="0">
    <w:p w14:paraId="6ED71ABE" w14:textId="77777777" w:rsidR="00BF30A3" w:rsidRDefault="00BF30A3" w:rsidP="00CB6B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15EF"/>
    <w:multiLevelType w:val="hybridMultilevel"/>
    <w:tmpl w:val="7FBA741A"/>
    <w:lvl w:ilvl="0" w:tplc="18A6099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493A37"/>
    <w:multiLevelType w:val="hybridMultilevel"/>
    <w:tmpl w:val="39E2EB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DE3599"/>
    <w:multiLevelType w:val="hybridMultilevel"/>
    <w:tmpl w:val="AE5EC4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5523958">
    <w:abstractNumId w:val="1"/>
  </w:num>
  <w:num w:numId="2" w16cid:durableId="1718579539">
    <w:abstractNumId w:val="2"/>
  </w:num>
  <w:num w:numId="3" w16cid:durableId="538518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32C"/>
    <w:rsid w:val="00022697"/>
    <w:rsid w:val="00035A2A"/>
    <w:rsid w:val="00036293"/>
    <w:rsid w:val="00041CB1"/>
    <w:rsid w:val="000571A1"/>
    <w:rsid w:val="0006210C"/>
    <w:rsid w:val="000648E0"/>
    <w:rsid w:val="000737BE"/>
    <w:rsid w:val="000A13C8"/>
    <w:rsid w:val="000A321B"/>
    <w:rsid w:val="000A4BA5"/>
    <w:rsid w:val="000A6CE0"/>
    <w:rsid w:val="000F1051"/>
    <w:rsid w:val="000F201A"/>
    <w:rsid w:val="00103762"/>
    <w:rsid w:val="00122910"/>
    <w:rsid w:val="001271B2"/>
    <w:rsid w:val="001338FF"/>
    <w:rsid w:val="0015262C"/>
    <w:rsid w:val="00157C84"/>
    <w:rsid w:val="001635E6"/>
    <w:rsid w:val="00164DDC"/>
    <w:rsid w:val="0017118F"/>
    <w:rsid w:val="00172706"/>
    <w:rsid w:val="00175E19"/>
    <w:rsid w:val="00186C6B"/>
    <w:rsid w:val="00192897"/>
    <w:rsid w:val="001A73B7"/>
    <w:rsid w:val="001B4F51"/>
    <w:rsid w:val="001B713F"/>
    <w:rsid w:val="001C7A91"/>
    <w:rsid w:val="001D493F"/>
    <w:rsid w:val="001D60BE"/>
    <w:rsid w:val="001E11BC"/>
    <w:rsid w:val="002170FB"/>
    <w:rsid w:val="00225D7F"/>
    <w:rsid w:val="0023598F"/>
    <w:rsid w:val="00237567"/>
    <w:rsid w:val="00257BA2"/>
    <w:rsid w:val="00273E8D"/>
    <w:rsid w:val="0027592B"/>
    <w:rsid w:val="002A22B1"/>
    <w:rsid w:val="002A5124"/>
    <w:rsid w:val="002A7824"/>
    <w:rsid w:val="002B2A3E"/>
    <w:rsid w:val="002B3F43"/>
    <w:rsid w:val="002B5B44"/>
    <w:rsid w:val="002B6CF6"/>
    <w:rsid w:val="002C2398"/>
    <w:rsid w:val="002C3528"/>
    <w:rsid w:val="002D716D"/>
    <w:rsid w:val="002E063E"/>
    <w:rsid w:val="002F3A93"/>
    <w:rsid w:val="00301152"/>
    <w:rsid w:val="00307488"/>
    <w:rsid w:val="00312E0C"/>
    <w:rsid w:val="00314E09"/>
    <w:rsid w:val="003168F3"/>
    <w:rsid w:val="00316C97"/>
    <w:rsid w:val="00322795"/>
    <w:rsid w:val="00325227"/>
    <w:rsid w:val="00325A84"/>
    <w:rsid w:val="003317BD"/>
    <w:rsid w:val="00334A2C"/>
    <w:rsid w:val="00340C73"/>
    <w:rsid w:val="00350D85"/>
    <w:rsid w:val="0035536E"/>
    <w:rsid w:val="0039138A"/>
    <w:rsid w:val="0039143E"/>
    <w:rsid w:val="003A1211"/>
    <w:rsid w:val="003A4AE2"/>
    <w:rsid w:val="003B189A"/>
    <w:rsid w:val="003B1AEA"/>
    <w:rsid w:val="003B1D69"/>
    <w:rsid w:val="003B28CC"/>
    <w:rsid w:val="003C5DD3"/>
    <w:rsid w:val="004308D4"/>
    <w:rsid w:val="00442C9D"/>
    <w:rsid w:val="00450EC3"/>
    <w:rsid w:val="0045320F"/>
    <w:rsid w:val="004536F6"/>
    <w:rsid w:val="00457EFD"/>
    <w:rsid w:val="004731AE"/>
    <w:rsid w:val="004813F8"/>
    <w:rsid w:val="00490399"/>
    <w:rsid w:val="004958E7"/>
    <w:rsid w:val="00495CA2"/>
    <w:rsid w:val="004A54B0"/>
    <w:rsid w:val="004A7FA7"/>
    <w:rsid w:val="004B1093"/>
    <w:rsid w:val="004B222E"/>
    <w:rsid w:val="004E248E"/>
    <w:rsid w:val="004E6FBC"/>
    <w:rsid w:val="004F49B8"/>
    <w:rsid w:val="00520E2B"/>
    <w:rsid w:val="00521E9C"/>
    <w:rsid w:val="0052544D"/>
    <w:rsid w:val="00526F96"/>
    <w:rsid w:val="00542BFA"/>
    <w:rsid w:val="00543AE7"/>
    <w:rsid w:val="00567FFB"/>
    <w:rsid w:val="005813BB"/>
    <w:rsid w:val="0058274D"/>
    <w:rsid w:val="0059062C"/>
    <w:rsid w:val="005A2EDD"/>
    <w:rsid w:val="005B556B"/>
    <w:rsid w:val="005D40AB"/>
    <w:rsid w:val="005D73AC"/>
    <w:rsid w:val="005E0611"/>
    <w:rsid w:val="005E6A86"/>
    <w:rsid w:val="005F732D"/>
    <w:rsid w:val="0060035D"/>
    <w:rsid w:val="006164D7"/>
    <w:rsid w:val="00644ECD"/>
    <w:rsid w:val="006567AA"/>
    <w:rsid w:val="0066532B"/>
    <w:rsid w:val="00667D08"/>
    <w:rsid w:val="0068179C"/>
    <w:rsid w:val="00683C4E"/>
    <w:rsid w:val="00683E02"/>
    <w:rsid w:val="006845E6"/>
    <w:rsid w:val="00693E54"/>
    <w:rsid w:val="00694DD5"/>
    <w:rsid w:val="006E562B"/>
    <w:rsid w:val="00720D77"/>
    <w:rsid w:val="0074783C"/>
    <w:rsid w:val="00750DD5"/>
    <w:rsid w:val="00757FDC"/>
    <w:rsid w:val="0076132C"/>
    <w:rsid w:val="00764C26"/>
    <w:rsid w:val="00766931"/>
    <w:rsid w:val="00773B4D"/>
    <w:rsid w:val="00791617"/>
    <w:rsid w:val="007A3B07"/>
    <w:rsid w:val="007A587F"/>
    <w:rsid w:val="007B4918"/>
    <w:rsid w:val="007B7D42"/>
    <w:rsid w:val="007C06F8"/>
    <w:rsid w:val="007C0CB0"/>
    <w:rsid w:val="007C10DF"/>
    <w:rsid w:val="007C2A4C"/>
    <w:rsid w:val="007C7458"/>
    <w:rsid w:val="007E320A"/>
    <w:rsid w:val="007E5C90"/>
    <w:rsid w:val="007F034C"/>
    <w:rsid w:val="00800415"/>
    <w:rsid w:val="00814E9D"/>
    <w:rsid w:val="00814EF6"/>
    <w:rsid w:val="00824F0F"/>
    <w:rsid w:val="00832EEE"/>
    <w:rsid w:val="00882DB0"/>
    <w:rsid w:val="00890B80"/>
    <w:rsid w:val="008A4402"/>
    <w:rsid w:val="008B756C"/>
    <w:rsid w:val="008C49C2"/>
    <w:rsid w:val="008C7D91"/>
    <w:rsid w:val="008D7D92"/>
    <w:rsid w:val="008E42EB"/>
    <w:rsid w:val="00912E79"/>
    <w:rsid w:val="00914354"/>
    <w:rsid w:val="009144F1"/>
    <w:rsid w:val="00924D80"/>
    <w:rsid w:val="0092792B"/>
    <w:rsid w:val="00982842"/>
    <w:rsid w:val="009974B9"/>
    <w:rsid w:val="009A62DB"/>
    <w:rsid w:val="009B6106"/>
    <w:rsid w:val="009C4A30"/>
    <w:rsid w:val="009E49A0"/>
    <w:rsid w:val="00A263EC"/>
    <w:rsid w:val="00A315AF"/>
    <w:rsid w:val="00A661BF"/>
    <w:rsid w:val="00A804D1"/>
    <w:rsid w:val="00A965C5"/>
    <w:rsid w:val="00AA397F"/>
    <w:rsid w:val="00AD154A"/>
    <w:rsid w:val="00AD377E"/>
    <w:rsid w:val="00AD7C3E"/>
    <w:rsid w:val="00AE2F69"/>
    <w:rsid w:val="00B03A93"/>
    <w:rsid w:val="00B20A7C"/>
    <w:rsid w:val="00B53697"/>
    <w:rsid w:val="00B54968"/>
    <w:rsid w:val="00B54ADA"/>
    <w:rsid w:val="00B55033"/>
    <w:rsid w:val="00B808D4"/>
    <w:rsid w:val="00B83AB3"/>
    <w:rsid w:val="00B87992"/>
    <w:rsid w:val="00B940B0"/>
    <w:rsid w:val="00B976CD"/>
    <w:rsid w:val="00BA11ED"/>
    <w:rsid w:val="00BA3959"/>
    <w:rsid w:val="00BA759B"/>
    <w:rsid w:val="00BB31E2"/>
    <w:rsid w:val="00BB3CC2"/>
    <w:rsid w:val="00BB6FA7"/>
    <w:rsid w:val="00BE566A"/>
    <w:rsid w:val="00BF0BA1"/>
    <w:rsid w:val="00BF30A3"/>
    <w:rsid w:val="00C058AB"/>
    <w:rsid w:val="00C10DDE"/>
    <w:rsid w:val="00C24738"/>
    <w:rsid w:val="00C527C7"/>
    <w:rsid w:val="00C60C7C"/>
    <w:rsid w:val="00C7096B"/>
    <w:rsid w:val="00C730BC"/>
    <w:rsid w:val="00C82535"/>
    <w:rsid w:val="00C84F96"/>
    <w:rsid w:val="00C864ED"/>
    <w:rsid w:val="00C942C1"/>
    <w:rsid w:val="00C95485"/>
    <w:rsid w:val="00CB1F86"/>
    <w:rsid w:val="00CB2CAA"/>
    <w:rsid w:val="00CB3D05"/>
    <w:rsid w:val="00CB6BCA"/>
    <w:rsid w:val="00CD24B3"/>
    <w:rsid w:val="00CE13A7"/>
    <w:rsid w:val="00CF5D7A"/>
    <w:rsid w:val="00CF7AAE"/>
    <w:rsid w:val="00D10D4B"/>
    <w:rsid w:val="00D16E37"/>
    <w:rsid w:val="00D2279C"/>
    <w:rsid w:val="00D40054"/>
    <w:rsid w:val="00D52A7A"/>
    <w:rsid w:val="00D636FE"/>
    <w:rsid w:val="00D67368"/>
    <w:rsid w:val="00D77DFC"/>
    <w:rsid w:val="00D82B4C"/>
    <w:rsid w:val="00D905E3"/>
    <w:rsid w:val="00D91775"/>
    <w:rsid w:val="00D93E1F"/>
    <w:rsid w:val="00DA3E2F"/>
    <w:rsid w:val="00DB1639"/>
    <w:rsid w:val="00DB509D"/>
    <w:rsid w:val="00DB7B19"/>
    <w:rsid w:val="00DE45D7"/>
    <w:rsid w:val="00DE6A04"/>
    <w:rsid w:val="00E0764D"/>
    <w:rsid w:val="00E13B98"/>
    <w:rsid w:val="00E156B0"/>
    <w:rsid w:val="00E350BC"/>
    <w:rsid w:val="00E3672B"/>
    <w:rsid w:val="00E43CB9"/>
    <w:rsid w:val="00E826A0"/>
    <w:rsid w:val="00E86EF1"/>
    <w:rsid w:val="00EB285D"/>
    <w:rsid w:val="00EB659F"/>
    <w:rsid w:val="00EC41CD"/>
    <w:rsid w:val="00ED2EF0"/>
    <w:rsid w:val="00ED7F95"/>
    <w:rsid w:val="00EE106F"/>
    <w:rsid w:val="00EE4948"/>
    <w:rsid w:val="00EE7A27"/>
    <w:rsid w:val="00EF222C"/>
    <w:rsid w:val="00F034CE"/>
    <w:rsid w:val="00F31BDA"/>
    <w:rsid w:val="00F354C3"/>
    <w:rsid w:val="00F51DD4"/>
    <w:rsid w:val="00F6093C"/>
    <w:rsid w:val="00F70C4C"/>
    <w:rsid w:val="00F867DB"/>
    <w:rsid w:val="00F87F3A"/>
    <w:rsid w:val="00FB285B"/>
    <w:rsid w:val="00FC2183"/>
    <w:rsid w:val="00FD2EF1"/>
    <w:rsid w:val="00FD6A47"/>
    <w:rsid w:val="00FE31FB"/>
    <w:rsid w:val="00FF2285"/>
    <w:rsid w:val="00FF6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5653A"/>
  <w15:chartTrackingRefBased/>
  <w15:docId w15:val="{D08AF6BF-5C0D-E14A-BAF4-3612D7CC0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4536F6"/>
    <w:pPr>
      <w:spacing w:after="0" w:line="360" w:lineRule="auto"/>
      <w:jc w:val="both"/>
    </w:pPr>
    <w:rPr>
      <w:rFonts w:ascii="Times New Roman" w:hAnsi="Times New Roman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683E02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3E0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11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1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118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118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118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118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3E0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683E02"/>
    <w:rPr>
      <w:rFonts w:ascii="Times New Roman" w:eastAsiaTheme="majorEastAsia" w:hAnsi="Times New Roman" w:cstheme="majorBidi"/>
      <w:color w:val="000000" w:themeColor="text1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3E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118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18F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118F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118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118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118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3E0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7118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83E02"/>
    <w:pPr>
      <w:pBdr>
        <w:bottom w:val="single" w:sz="4" w:space="2" w:color="4F81BD" w:themeColor="accent1"/>
      </w:pBdr>
      <w:spacing w:line="240" w:lineRule="auto"/>
      <w:ind w:left="720"/>
      <w:contextualSpacing/>
    </w:pPr>
    <w:rPr>
      <w:rFonts w:eastAsiaTheme="majorEastAsia" w:cstheme="majorBidi"/>
      <w:color w:val="000000" w:themeColor="tex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3E02"/>
    <w:rPr>
      <w:rFonts w:ascii="Times New Roman" w:eastAsiaTheme="majorEastAsia" w:hAnsi="Times New Roman" w:cstheme="majorBidi"/>
      <w:color w:val="000000" w:themeColor="text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3E02"/>
    <w:pPr>
      <w:numPr>
        <w:ilvl w:val="1"/>
      </w:numPr>
      <w:spacing w:before="120" w:after="120" w:line="259" w:lineRule="auto"/>
    </w:pPr>
    <w:rPr>
      <w:rFonts w:eastAsiaTheme="minorEastAsia" w:cstheme="majorBidi"/>
      <w:i/>
      <w:color w:val="000000" w:themeColor="text1"/>
      <w:spacing w:val="15"/>
      <w:sz w:val="24"/>
      <w:u w:val="single"/>
    </w:rPr>
  </w:style>
  <w:style w:type="character" w:customStyle="1" w:styleId="SubtitleChar">
    <w:name w:val="Subtitle Char"/>
    <w:basedOn w:val="DefaultParagraphFont"/>
    <w:link w:val="Subtitle"/>
    <w:uiPriority w:val="11"/>
    <w:rsid w:val="00683E02"/>
    <w:rPr>
      <w:rFonts w:ascii="Times New Roman" w:eastAsiaTheme="minorEastAsia" w:hAnsi="Times New Roman" w:cstheme="majorBidi"/>
      <w:i/>
      <w:color w:val="000000" w:themeColor="text1"/>
      <w:spacing w:val="15"/>
      <w:sz w:val="24"/>
      <w:u w:val="single"/>
    </w:rPr>
  </w:style>
  <w:style w:type="character" w:styleId="Strong">
    <w:name w:val="Strong"/>
    <w:uiPriority w:val="22"/>
    <w:qFormat/>
    <w:rsid w:val="0017118F"/>
    <w:rPr>
      <w:b/>
      <w:bCs/>
    </w:rPr>
  </w:style>
  <w:style w:type="character" w:styleId="Emphasis">
    <w:name w:val="Emphasis"/>
    <w:uiPriority w:val="20"/>
    <w:qFormat/>
    <w:rsid w:val="0017118F"/>
    <w:rPr>
      <w:i/>
      <w:iCs/>
    </w:rPr>
  </w:style>
  <w:style w:type="paragraph" w:styleId="NoSpacing">
    <w:name w:val="No Spacing"/>
    <w:link w:val="NoSpacingChar"/>
    <w:uiPriority w:val="1"/>
    <w:qFormat/>
    <w:rsid w:val="00683E02"/>
    <w:pPr>
      <w:spacing w:after="0" w:line="240" w:lineRule="auto"/>
    </w:pPr>
    <w:rPr>
      <w:color w:val="1F497D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683E02"/>
    <w:rPr>
      <w:color w:val="1F497D" w:themeColor="text2"/>
      <w:sz w:val="20"/>
      <w:szCs w:val="20"/>
    </w:rPr>
  </w:style>
  <w:style w:type="paragraph" w:styleId="ListParagraph">
    <w:name w:val="List Paragraph"/>
    <w:basedOn w:val="Normal"/>
    <w:uiPriority w:val="34"/>
    <w:qFormat/>
    <w:rsid w:val="00683E0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11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118F"/>
    <w:rPr>
      <w:rFonts w:ascii="Times New Roman" w:hAnsi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3E02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rFonts w:asciiTheme="minorHAnsi" w:hAnsiTheme="minorHAnsi"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3E02"/>
    <w:rPr>
      <w:i/>
      <w:iCs/>
      <w:color w:val="4F81BD" w:themeColor="accent1"/>
    </w:rPr>
  </w:style>
  <w:style w:type="character" w:styleId="SubtleEmphasis">
    <w:name w:val="Subtle Emphasis"/>
    <w:uiPriority w:val="19"/>
    <w:qFormat/>
    <w:rsid w:val="0017118F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17118F"/>
    <w:rPr>
      <w:i/>
      <w:iCs/>
      <w:color w:val="4F81BD" w:themeColor="accent1"/>
    </w:rPr>
  </w:style>
  <w:style w:type="character" w:styleId="SubtleReference">
    <w:name w:val="Subtle Reference"/>
    <w:uiPriority w:val="31"/>
    <w:qFormat/>
    <w:rsid w:val="0017118F"/>
    <w:rPr>
      <w:smallCaps/>
      <w:color w:val="5A5A5A" w:themeColor="text1" w:themeTint="A5"/>
    </w:rPr>
  </w:style>
  <w:style w:type="character" w:styleId="IntenseReference">
    <w:name w:val="Intense Reference"/>
    <w:uiPriority w:val="32"/>
    <w:qFormat/>
    <w:rsid w:val="0017118F"/>
    <w:rPr>
      <w:b/>
      <w:bCs/>
      <w:smallCaps/>
      <w:color w:val="4F81BD" w:themeColor="accent1"/>
      <w:spacing w:val="5"/>
    </w:rPr>
  </w:style>
  <w:style w:type="character" w:styleId="BookTitle">
    <w:name w:val="Book Title"/>
    <w:uiPriority w:val="33"/>
    <w:qFormat/>
    <w:rsid w:val="0017118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118F"/>
    <w:pPr>
      <w:outlineLvl w:val="9"/>
    </w:pPr>
    <w:rPr>
      <w:rFonts w:asciiTheme="majorHAnsi" w:hAnsiTheme="majorHAnsi"/>
      <w:color w:val="365F91" w:themeColor="accent1" w:themeShade="BF"/>
      <w:u w:val="none"/>
    </w:rPr>
  </w:style>
  <w:style w:type="paragraph" w:styleId="Footer">
    <w:name w:val="footer"/>
    <w:basedOn w:val="Normal"/>
    <w:link w:val="FooterChar"/>
    <w:uiPriority w:val="99"/>
    <w:unhideWhenUsed/>
    <w:qFormat/>
    <w:rsid w:val="00683E02"/>
    <w:pPr>
      <w:tabs>
        <w:tab w:val="center" w:pos="4680"/>
        <w:tab w:val="right" w:pos="9360"/>
      </w:tabs>
      <w:spacing w:line="240" w:lineRule="auto"/>
    </w:pPr>
    <w:rPr>
      <w:rFonts w:asciiTheme="minorHAnsi" w:hAnsi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683E02"/>
  </w:style>
  <w:style w:type="paragraph" w:styleId="NormalWeb">
    <w:name w:val="Normal (Web)"/>
    <w:basedOn w:val="Normal"/>
    <w:uiPriority w:val="99"/>
    <w:semiHidden/>
    <w:unhideWhenUsed/>
    <w:rsid w:val="00F354C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2B3F43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B16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16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1639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16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1639"/>
    <w:rPr>
      <w:rFonts w:ascii="Times New Roman" w:hAnsi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B1639"/>
    <w:pPr>
      <w:spacing w:after="0" w:line="240" w:lineRule="auto"/>
    </w:pPr>
    <w:rPr>
      <w:rFonts w:ascii="Times New Roman" w:hAnsi="Times New Roman"/>
    </w:rPr>
  </w:style>
  <w:style w:type="paragraph" w:styleId="Header">
    <w:name w:val="header"/>
    <w:basedOn w:val="Normal"/>
    <w:link w:val="HeaderChar"/>
    <w:uiPriority w:val="99"/>
    <w:unhideWhenUsed/>
    <w:rsid w:val="00CB6B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BCA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1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63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18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2300</Words>
  <Characters>13112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Shean Mobed (student)</dc:creator>
  <cp:keywords/>
  <dc:description/>
  <cp:lastModifiedBy>Shean Mobed (student)</cp:lastModifiedBy>
  <cp:revision>2</cp:revision>
  <dcterms:created xsi:type="dcterms:W3CDTF">2022-10-30T23:08:00Z</dcterms:created>
  <dcterms:modified xsi:type="dcterms:W3CDTF">2022-10-30T23:08:00Z</dcterms:modified>
</cp:coreProperties>
</file>