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30"/>
          <w:szCs w:val="30"/>
        </w:rPr>
        <w:t xml:space="preserve">Counterparty / "facilitation party" reporting obligations in the SILO and DAT listed transactions</w:t>
      </w:r>
    </w:p>
    <w:p>
      <w:pPr>
        <w:spacing w:after="120" w:line="264"/>
      </w:pPr>
      <w:r>
        <w:rPr>
          <w:rFonts w:ascii="Times New Roman" w:cs="Times New Roman" w:eastAsia="Times New Roman" w:hAnsi="Times New Roman"/>
          <w:b w:val="false"/>
          <w:bCs w:val="false"/>
          <w:i w:val="false"/>
          <w:iCs w:val="false"/>
          <w:sz w:val="22"/>
          <w:szCs w:val="22"/>
        </w:rPr>
        <w:t xml:space="preserve">Research memo for Patrick's BNY tax-risk assessment, outline item 2.b.iii.2 ("Serving as facilitation party for SILO, DAT"). Prepared October 20, 2026.</w:t>
      </w:r>
    </w:p>
    <w:p>
      <w:pPr>
        <w:spacing w:after="120" w:line="264"/>
      </w:pPr>
      <w:r>
        <w:rPr>
          <w:rFonts w:ascii="Times New Roman" w:cs="Times New Roman" w:eastAsia="Times New Roman" w:hAnsi="Times New Roman"/>
          <w:b/>
          <w:bCs/>
          <w:i w:val="false"/>
          <w:iCs w:val="false"/>
          <w:sz w:val="22"/>
          <w:szCs w:val="22"/>
        </w:rPr>
        <w:t xml:space="preserve">How the sources were accessed.</w:t>
      </w:r>
      <w:r>
        <w:rPr>
          <w:rFonts w:ascii="Times New Roman" w:cs="Times New Roman" w:eastAsia="Times New Roman" w:hAnsi="Times New Roman"/>
          <w:b w:val="false"/>
          <w:bCs w:val="false"/>
          <w:i w:val="false"/>
          <w:iCs w:val="false"/>
          <w:sz w:val="22"/>
          <w:szCs w:val="22"/>
        </w:rPr>
        <w:t xml:space="preserve"> The cloud session that produced this memo was barred by its network policy from opening irs.gov, home.treasury.gov, ecfr.gov, govinfo.gov, federalregister.gov, law.cornell.edu, uscode.house.gov and web.archive.org (every request was refused at the proxy; the failed URLs are in section 7). I could not open the notice PDFs or the eCFR pages. Every quotation was obtained by exact-phrase queries against a web-search index that returns text indexed from those primary documents. Tags: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sentence returned verbatim from the primary source;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phrase-level match, surrounding words supplied by the search tool (treat as approximate); </w:t>
      </w:r>
      <w:r>
        <w:rPr>
          <w:rFonts w:ascii="Times New Roman" w:cs="Times New Roman" w:eastAsia="Times New Roman" w:hAnsi="Times New Roman"/>
          <w:b/>
          <w:bCs/>
          <w:color w:val="B71C1C"/>
          <w:sz w:val="22"/>
          <w:szCs w:val="22"/>
        </w:rPr>
        <w:t xml:space="preserve">[U]</w:t>
      </w:r>
      <w:r>
        <w:rPr>
          <w:rFonts w:ascii="Times New Roman" w:cs="Times New Roman" w:eastAsia="Times New Roman" w:hAnsi="Times New Roman"/>
          <w:b w:val="false"/>
          <w:bCs w:val="false"/>
          <w:i w:val="false"/>
          <w:iCs w:val="false"/>
          <w:sz w:val="22"/>
          <w:szCs w:val="22"/>
        </w:rPr>
        <w:t xml:space="preserve"> not verified this session (recollection or secondary description). Every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and </w:t>
      </w:r>
      <w:r>
        <w:rPr>
          <w:rFonts w:ascii="Times New Roman" w:cs="Times New Roman" w:eastAsia="Times New Roman" w:hAnsi="Times New Roman"/>
          <w:b/>
          <w:bCs/>
          <w:color w:val="B71C1C"/>
          <w:sz w:val="22"/>
          <w:szCs w:val="22"/>
        </w:rPr>
        <w:t xml:space="preserve">[U]</w:t>
      </w:r>
      <w:r>
        <w:rPr>
          <w:rFonts w:ascii="Times New Roman" w:cs="Times New Roman" w:eastAsia="Times New Roman" w:hAnsi="Times New Roman"/>
          <w:b w:val="false"/>
          <w:bCs w:val="false"/>
          <w:i w:val="false"/>
          <w:iCs w:val="false"/>
          <w:sz w:val="22"/>
          <w:szCs w:val="22"/>
        </w:rPr>
        <w:t xml:space="preserve"> item must be checked against the PDF before it reaches the client memo. No cite below is invented; where a passage could not be retrieved I say so.</w:t>
      </w:r>
    </w:p>
    <w:p>
      <w:pPr>
        <w:pStyle w:val="Heading1"/>
        <w:keepNext/>
        <w:spacing w:after="140" w:before="300"/>
      </w:pPr>
      <w:r>
        <w:rPr>
          <w:rFonts w:ascii="Times New Roman" w:cs="Times New Roman" w:eastAsia="Times New Roman" w:hAnsi="Times New Roman"/>
          <w:b/>
          <w:bCs/>
          <w:color w:val="000000"/>
          <w:sz w:val="26"/>
          <w:szCs w:val="26"/>
        </w:rPr>
        <w:t xml:space="preserve">1. Bottom line</w:t>
      </w:r>
    </w:p>
    <w:p>
      <w:pPr>
        <w:spacing w:after="120" w:line="264"/>
      </w:pPr>
      <w:r>
        <w:rPr>
          <w:rFonts w:ascii="Times New Roman" w:cs="Times New Roman" w:eastAsia="Times New Roman" w:hAnsi="Times New Roman"/>
          <w:b w:val="false"/>
          <w:bCs w:val="false"/>
          <w:i w:val="false"/>
          <w:iCs w:val="false"/>
          <w:sz w:val="22"/>
          <w:szCs w:val="22"/>
        </w:rPr>
        <w:t xml:space="preserve">Neither Notice 2005-13 (SILO) nor Notice 2008-34 (DAT) subjects the accommodation party — the tax-indifferent lessee in a SILO, or the tax-indifferent contributor and the trustee in a DAT — to any disclosure, list-maintenance or penalty regime by reason of that role. Each notice does three things only: it identifies the transaction and "substantially similar transactions, as listed transactions for purposes of § 1.6011-4(b)(2) of the Income Tax Regulations and §§ 6111 and 6112 of the Internal Revenue Code"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it "also alerts parties involved with these transactions to certain responsibilities that may arise from their involvement with these transactions"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and it recites the generic penalty paragraph (§ 6707A for participants, § 6707(a) and § 6708(a) for material advisors, §§ 6662 and 6662A) </w:t>
      </w:r>
      <w:r>
        <w:rPr>
          <w:rFonts w:ascii="Times New Roman" w:cs="Times New Roman" w:eastAsia="Times New Roman" w:hAnsi="Times New Roman"/>
          <w:b/>
          <w:bCs/>
          <w:color w:val="1B5E20"/>
          <w:sz w:val="22"/>
          <w:szCs w:val="22"/>
        </w:rPr>
        <w:t xml:space="preserve">[V for 2008-34; not retrieved for 2005-13]</w:t>
      </w:r>
      <w:r>
        <w:rPr>
          <w:rFonts w:ascii="Times New Roman" w:cs="Times New Roman" w:eastAsia="Times New Roman" w:hAnsi="Times New Roman"/>
          <w:b w:val="false"/>
          <w:bCs w:val="false"/>
          <w:i w:val="false"/>
          <w:iCs w:val="false"/>
          <w:sz w:val="22"/>
          <w:szCs w:val="22"/>
        </w:rPr>
        <w:t xml:space="preserve">. Neither notice uses the authority in Treas. Reg. § 1.6011-4(c)(3)(i)(A) to designate "other types or classes of persons" as participants, and neither names the lessee, contributor, trustee, lender, defeasance bank or any other counterparty. The accommodation party's exposure therefore turns entirely on the general rules: participant status only if its own return reflects the listed tax consequences or strategy, or it knows or has reason to know that its own tax benefits derive from them; material-advisor status only if it makes a "tax statement" and derives fees above the threshold; and §§ 6700/6701 only on a false statement or knowledge of an understatement. The outline's premise is not supported by the listing guidance. The examples that do support "a counterparty becoming subject to the rules" are the basket-contract notices (counterparty expressly a participant) and the intermediary-transaction notices (intermediary and buyer expressly addressed), in section 5.</w:t>
      </w:r>
    </w:p>
    <w:p>
      <w:pPr>
        <w:pStyle w:val="Heading1"/>
        <w:keepNext/>
        <w:spacing w:after="140" w:before="300"/>
      </w:pPr>
      <w:r>
        <w:rPr>
          <w:rFonts w:ascii="Times New Roman" w:cs="Times New Roman" w:eastAsia="Times New Roman" w:hAnsi="Times New Roman"/>
          <w:b/>
          <w:bCs/>
          <w:color w:val="000000"/>
          <w:sz w:val="26"/>
          <w:szCs w:val="26"/>
        </w:rPr>
        <w:t xml:space="preserve">2. How a counterparty can become subject to the reportable transaction rules</w:t>
      </w:r>
    </w:p>
    <w:p>
      <w:pPr>
        <w:spacing w:after="120" w:line="264"/>
      </w:pPr>
      <w:r>
        <w:rPr>
          <w:rFonts w:ascii="Times New Roman" w:cs="Times New Roman" w:eastAsia="Times New Roman" w:hAnsi="Times New Roman"/>
          <w:b/>
          <w:bCs/>
          <w:i w:val="false"/>
          <w:iCs w:val="false"/>
          <w:sz w:val="22"/>
          <w:szCs w:val="22"/>
        </w:rPr>
        <w:t xml:space="preserve">Participant (§ 6011; Form 8886).</w:t>
      </w:r>
      <w:r>
        <w:rPr>
          <w:rFonts w:ascii="Times New Roman" w:cs="Times New Roman" w:eastAsia="Times New Roman" w:hAnsi="Times New Roman"/>
          <w:b w:val="false"/>
          <w:bCs w:val="false"/>
          <w:i w:val="false"/>
          <w:iCs w:val="false"/>
          <w:sz w:val="22"/>
          <w:szCs w:val="22"/>
        </w:rPr>
        <w:t xml:space="preserve"> Treas. Reg. § 1.6011-4(c)(3)(i)(A), current text:</w:t>
      </w:r>
    </w:p>
    <w:p>
      <w:pPr>
        <w:spacing w:after="160" w:line="252"/>
        <w:ind w:left="576" w:right="576"/>
      </w:pPr>
      <w:r>
        <w:rPr>
          <w:rFonts w:ascii="Times New Roman" w:cs="Times New Roman" w:eastAsia="Times New Roman" w:hAnsi="Times New Roman"/>
          <w:b w:val="false"/>
          <w:bCs w:val="false"/>
          <w:i w:val="false"/>
          <w:iCs w:val="false"/>
          <w:sz w:val="21"/>
          <w:szCs w:val="21"/>
        </w:rPr>
        <w:t xml:space="preserve">"Listed transactions. A taxpayer has participated in a listed transaction if the taxpayer's tax return reflects tax consequences or a tax strategy described in the published guidance that lists the transaction under paragraph (b)(2) of this section. A taxpayer also has participated in a listed transaction if the taxpayer knows or has reason to know that the taxpayer's tax benefits are derived directly or indirectly from tax consequences or a tax strategy described in published guidance that lists a transaction under paragraph (b)(2) of this section. Published guidance may identify other types or classes of persons that will be treated as participants in a listed transaction. Published guidance also may identify types or classes of persons that will not be treated as participants in a listed transaction." </w:t>
      </w:r>
      <w:r>
        <w:rPr>
          <w:rFonts w:ascii="Times New Roman" w:cs="Times New Roman" w:eastAsia="Times New Roman" w:hAnsi="Times New Roman"/>
          <w:b/>
          <w:bCs/>
          <w:color w:val="1B5E20"/>
          <w:sz w:val="21"/>
          <w:szCs w:val="21"/>
        </w:rPr>
        <w:t xml:space="preserve">[V, each sentence; the position of "also" in the last two sentences came back inconsistently across two extractions — confirm]</w:t>
      </w:r>
    </w:p>
    <w:p>
      <w:pPr>
        <w:spacing w:after="120" w:line="264"/>
      </w:pPr>
      <w:r>
        <w:rPr>
          <w:rFonts w:ascii="Times New Roman" w:cs="Times New Roman" w:eastAsia="Times New Roman" w:hAnsi="Times New Roman"/>
          <w:b w:val="false"/>
          <w:bCs w:val="false"/>
          <w:i w:val="false"/>
          <w:iCs w:val="false"/>
          <w:sz w:val="22"/>
          <w:szCs w:val="22"/>
        </w:rPr>
        <w:t xml:space="preserve">Paragraphs (B) and (C) tie participation in confidential and contractual-protection transactions to a return that "reflects a tax benefit from the transaction" plus the confidentiality limitation or the fee-refund right [(B) V; (C) P]; paragraph (E) makes a person a participant in a transaction of interest only if "the taxpayer is one of the types or classes of persons identified as participants in the transaction in the published guidance describing the transaction of interest"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The regulation's source credit is T.D. 9350, 72 FR 43146 (Aug. 3, 2007)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The "types or classes" sentences were proposed in REG-103038-05, 71 FR 64488 (Nov. 2, 2006) and adopted in T.D. 9350; the 2003 regulations (T.D. 9046) had only the first two sentences [U — consistent with your belief; I could not read either preamble, though the T.D. 9350 preamble does record commentators asking that TOI "participation" be "defined in the regulations rather than in the published guidance identifying the transaction of interest"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The Form 8886 instructions (Rev. Oct. 2022) restate the test as three alternatives, the third being "You are in a type or class of individuals or entities that published guidance treats as participants in a listed transaction"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A lender or trading counterparty whose return does not reflect the listed consequences and that derives no tax benefit from them is not a participant unless the listing guidance names its class.</w:t>
      </w:r>
    </w:p>
    <w:p>
      <w:pPr>
        <w:spacing w:after="120" w:line="264"/>
      </w:pPr>
      <w:r>
        <w:rPr>
          <w:rFonts w:ascii="Times New Roman" w:cs="Times New Roman" w:eastAsia="Times New Roman" w:hAnsi="Times New Roman"/>
          <w:b/>
          <w:bCs/>
          <w:i w:val="false"/>
          <w:iCs w:val="false"/>
          <w:sz w:val="22"/>
          <w:szCs w:val="22"/>
        </w:rPr>
        <w:t xml:space="preserve">Material advisor (§§ 6111, 6112; Form 8918; lists).</w:t>
      </w:r>
      <w:r>
        <w:rPr>
          <w:rFonts w:ascii="Times New Roman" w:cs="Times New Roman" w:eastAsia="Times New Roman" w:hAnsi="Times New Roman"/>
          <w:b w:val="false"/>
          <w:bCs w:val="false"/>
          <w:i w:val="false"/>
          <w:iCs w:val="false"/>
          <w:sz w:val="22"/>
          <w:szCs w:val="22"/>
        </w:rPr>
        <w:t xml:space="preserve"> § 6111(b)(1)(A) defines a material advisor as a person "who provides any material aid, assistance, or advice with respect to organizing, managing, promoting, selling, implementing, insuring, or carrying out any reportable transaction" and "who directly or indirectly derives gross income in excess of the threshold amount"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the threshold is "$50,000 in the case of a reportable transaction substantially all of the tax benefits from which are provided to natural persons, and $250,000 in any other case"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 301.6111-3(b)(1) repeats the definition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and adds: "A material advisor generally does not include a person who makes a tax statement solely in the person's capacity as an employee, shareholder, partner or agent of another person"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 301.6111-3(b)(2)(i): "Except as provided in paragraph (b)(5) of this section, a person provides material aid, assistance, or advice … if the person makes or provides a tax statement to or for the benefit of" a taxpayer or material advisor required (or that would be required) to disclose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 301.6111-3(b)(2)(ii)(A): "A tax statement is any statement (including another person's statement), oral or written, that relates to a tax aspect of a transaction that causes the transaction to be a reportable transaction as defined in § 1.6011-4(b)(2) through (7) of this chapter. A tax statement under this section includes tax result protection that insures some or all of the tax benefits of a reportable transaction."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Thresholds are reduced for listed transactions to $10,000 and $25,000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Paragraph (b)(4) makes a person a material advisor only when the aid, the fee and the taxpayer's entry into the transaction have all occurred, and on a later listing, on the listing date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Paragraph (b)(5) lets published guidance identify "other types or classes of persons" as material advisors </w:t>
      </w:r>
      <w:r>
        <w:rPr>
          <w:rFonts w:ascii="Times New Roman" w:cs="Times New Roman" w:eastAsia="Times New Roman" w:hAnsi="Times New Roman"/>
          <w:b/>
          <w:bCs/>
          <w:color w:val="B26A00"/>
          <w:sz w:val="22"/>
          <w:szCs w:val="22"/>
        </w:rPr>
        <w:t xml:space="preserve">[P; exact wording not retrieved]</w:t>
      </w:r>
      <w:r>
        <w:rPr>
          <w:rFonts w:ascii="Times New Roman" w:cs="Times New Roman" w:eastAsia="Times New Roman" w:hAnsi="Times New Roman"/>
          <w:b w:val="false"/>
          <w:bCs w:val="false"/>
          <w:i w:val="false"/>
          <w:iCs w:val="false"/>
          <w:sz w:val="22"/>
          <w:szCs w:val="22"/>
        </w:rPr>
        <w:t xml:space="preserve">. I found no examples in § 301.6111-3(b) in any extraction (eCFR, LII, GovInfo 2012/2016/2021) and none involving a party who merely enters into a transaction; I believe the section has none — confirm. § 301.6112-1(a): "Each material advisor, as defined in § 301.6111-3(b), with respect to any reportable transaction, as defined in § 1.6011-4(b) of this chapter, shall prepare and maintain a list …"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 6112(a) is quoted in section 7. A counterparty that merely enters into the transaction for ordinary commercial compensation is not a material advisor unless it "makes or provides a tax statement"; the pressure points for a bank are tax language in term sheets or confirmations, passing along "another person's statement," "tax result protection," and a notice invoking (b)(5).</w:t>
      </w:r>
    </w:p>
    <w:p>
      <w:pPr>
        <w:spacing w:after="120" w:line="264"/>
      </w:pPr>
      <w:r>
        <w:rPr>
          <w:rFonts w:ascii="Times New Roman" w:cs="Times New Roman" w:eastAsia="Times New Roman" w:hAnsi="Times New Roman"/>
          <w:b/>
          <w:bCs/>
          <w:i w:val="false"/>
          <w:iCs w:val="false"/>
          <w:sz w:val="22"/>
          <w:szCs w:val="22"/>
        </w:rPr>
        <w:t xml:space="preserve">Penalties by role.</w:t>
      </w:r>
    </w:p>
    <w:tbl>
      <w:tblPr>
        <w:tblW w:type="dxa" w:w="1008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1872"/>
        <w:gridCol w:w="1296"/>
        <w:gridCol w:w="6912"/>
      </w:tblGrid>
      <w:tr>
        <w:trPr>
          <w:cantSplit w:val="false"/>
          <w:tblHeader/>
        </w:trPr>
        <w:tc>
          <w:tcPr>
            <w:tcW w:type="dxa" w:w="1872"/>
            <w:shd w:fill="E7E6E6"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sz w:val="19"/>
                <w:szCs w:val="19"/>
              </w:rPr>
              <w:t xml:space="preserve">Role</w:t>
            </w:r>
          </w:p>
        </w:tc>
        <w:tc>
          <w:tcPr>
            <w:tcW w:type="dxa" w:w="1296"/>
            <w:shd w:fill="E7E6E6"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sz w:val="19"/>
                <w:szCs w:val="19"/>
              </w:rPr>
              <w:t xml:space="preserve">Provision</w:t>
            </w:r>
          </w:p>
        </w:tc>
        <w:tc>
          <w:tcPr>
            <w:tcW w:type="dxa" w:w="6912"/>
            <w:shd w:fill="E7E6E6"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sz w:val="19"/>
                <w:szCs w:val="19"/>
              </w:rPr>
              <w:t xml:space="preserve">Rule (quotes in section 7)</w:t>
            </w:r>
          </w:p>
        </w:tc>
      </w:tr>
      <w:tr>
        <w:trPr>
          <w:cantSplit w:val="false"/>
          <w:tblHeader w:val="false"/>
        </w:trPr>
        <w:tc>
          <w:tcPr>
            <w:tcW w:type="dxa" w:w="1872"/>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Participant, failure to disclose</w:t>
            </w:r>
          </w:p>
        </w:tc>
        <w:tc>
          <w:tcPr>
            <w:tcW w:type="dxa" w:w="129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 6707A</w:t>
            </w:r>
          </w:p>
        </w:tc>
        <w:tc>
          <w:tcPr>
            <w:tcW w:type="dxa" w:w="6912"/>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75% of the tax decrease from the transaction; listed-transaction cap $200,000 ($100,000 natural person); floor $10,000 ($5,000)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A counterparty-participant with no tax decrease still owes the floor per failure. No reasonable cause; no rescission for listed transactions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1872"/>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Participant, understatement</w:t>
            </w:r>
          </w:p>
        </w:tc>
        <w:tc>
          <w:tcPr>
            <w:tcW w:type="dxa" w:w="129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 6662A</w:t>
            </w:r>
          </w:p>
        </w:tc>
        <w:tc>
          <w:tcPr>
            <w:tcW w:type="dxa" w:w="6912"/>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20% of the "reportable transaction understatement"; 30% where § 6664(d)(3)(A) disclosure is not met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No understatement, no penalty.</w:t>
            </w:r>
          </w:p>
        </w:tc>
      </w:tr>
      <w:tr>
        <w:trPr>
          <w:cantSplit w:val="false"/>
          <w:tblHeader w:val="false"/>
        </w:trPr>
        <w:tc>
          <w:tcPr>
            <w:tcW w:type="dxa" w:w="1872"/>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Material advisor, no Form 8918</w:t>
            </w:r>
          </w:p>
        </w:tc>
        <w:tc>
          <w:tcPr>
            <w:tcW w:type="dxa" w:w="129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 6707(b)(2)</w:t>
            </w:r>
          </w:p>
        </w:tc>
        <w:tc>
          <w:tcPr>
            <w:tcW w:type="dxa" w:w="6912"/>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Greater of $200,000 or 50% of gross income from the aid (75% if intentional)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1872"/>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Material advisor, list</w:t>
            </w:r>
          </w:p>
        </w:tc>
        <w:tc>
          <w:tcPr>
            <w:tcW w:type="dxa" w:w="129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 6708(a)</w:t>
            </w:r>
          </w:p>
        </w:tc>
        <w:tc>
          <w:tcPr>
            <w:tcW w:type="dxa" w:w="6912"/>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$10,000 per day after the 20th business day following a written request; reasonable cause; no cap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1872"/>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Promoter / aider</w:t>
            </w:r>
          </w:p>
        </w:tc>
        <w:tc>
          <w:tcPr>
            <w:tcW w:type="dxa" w:w="129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 6700, 6701</w:t>
            </w:r>
          </w:p>
        </w:tc>
        <w:tc>
          <w:tcPr>
            <w:tcW w:type="dxa" w:w="6912"/>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Require a statement "which the person knows or has reason to know is false or fraudulent as to any material matter," or knowledge that a document "would result in an understatement of the liability for tax of another person" </w:t>
            </w:r>
            <w:r>
              <w:rPr>
                <w:rFonts w:ascii="Times New Roman" w:cs="Times New Roman" w:eastAsia="Times New Roman" w:hAnsi="Times New Roman"/>
                <w:b/>
                <w:bCs/>
                <w:color w:val="1B5E20"/>
                <w:sz w:val="19"/>
                <w:szCs w:val="19"/>
              </w:rPr>
              <w:t xml:space="preserve">[V as to structure]</w:t>
            </w:r>
            <w:r>
              <w:rPr>
                <w:rFonts w:ascii="Times New Roman" w:cs="Times New Roman" w:eastAsia="Times New Roman" w:hAnsi="Times New Roman"/>
                <w:b w:val="false"/>
                <w:bCs w:val="false"/>
                <w:i w:val="false"/>
                <w:iCs w:val="false"/>
                <w:sz w:val="19"/>
                <w:szCs w:val="19"/>
              </w:rPr>
              <w:t xml:space="preserve">.</w:t>
            </w:r>
          </w:p>
        </w:tc>
      </w:tr>
    </w:tbl>
    <w:p>
      <w:pPr>
        <w:spacing w:after="120"/>
      </w:pPr>
    </w:p>
    <w:p>
      <w:pPr>
        <w:spacing w:after="120" w:line="264"/>
      </w:pPr>
      <w:r>
        <w:rPr>
          <w:rFonts w:ascii="Times New Roman" w:cs="Times New Roman" w:eastAsia="Times New Roman" w:hAnsi="Times New Roman"/>
          <w:b w:val="false"/>
          <w:bCs w:val="false"/>
          <w:i w:val="false"/>
          <w:iCs w:val="false"/>
          <w:sz w:val="22"/>
          <w:szCs w:val="22"/>
        </w:rPr>
        <w:t xml:space="preserve">Notice 2008-34's penalty paragraph names only §§ 6707A, 6707(a), 6708(a), 6662 and 6662A; no § 6700/6701 reference surfaced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Notice 2005-13's penalty paragraph was not retrieved </w:t>
      </w:r>
      <w:r>
        <w:rPr>
          <w:rFonts w:ascii="Times New Roman" w:cs="Times New Roman" w:eastAsia="Times New Roman" w:hAnsi="Times New Roman"/>
          <w:b/>
          <w:bCs/>
          <w:color w:val="B71C1C"/>
          <w:sz w:val="22"/>
          <w:szCs w:val="22"/>
        </w:rPr>
        <w:t xml:space="preserve">[U]</w:t>
      </w:r>
      <w:r>
        <w:rPr>
          <w:rFonts w:ascii="Times New Roman" w:cs="Times New Roman" w:eastAsia="Times New Roman" w:hAnsi="Times New Roman"/>
          <w:b w:val="false"/>
          <w:bCs w:val="false"/>
          <w:i w:val="false"/>
          <w:iCs w:val="false"/>
          <w:sz w:val="22"/>
          <w:szCs w:val="22"/>
        </w:rPr>
        <w:t xml:space="preserve">.</w:t>
      </w:r>
    </w:p>
    <w:p>
      <w:pPr>
        <w:pStyle w:val="Heading1"/>
        <w:keepNext/>
        <w:spacing w:after="140" w:before="300"/>
      </w:pPr>
      <w:r>
        <w:rPr>
          <w:rFonts w:ascii="Times New Roman" w:cs="Times New Roman" w:eastAsia="Times New Roman" w:hAnsi="Times New Roman"/>
          <w:b/>
          <w:bCs/>
          <w:color w:val="000000"/>
          <w:sz w:val="26"/>
          <w:szCs w:val="26"/>
        </w:rPr>
        <w:t xml:space="preserve">3. SILO — Notice 2005-13, "Tax-Exempt Leasing Involving Defeasance"</w:t>
      </w:r>
    </w:p>
    <w:p>
      <w:pPr>
        <w:spacing w:after="120" w:line="264"/>
      </w:pPr>
      <w:r>
        <w:rPr>
          <w:rFonts w:ascii="Times New Roman" w:cs="Times New Roman" w:eastAsia="Times New Roman" w:hAnsi="Times New Roman"/>
          <w:b/>
          <w:bCs/>
          <w:i w:val="false"/>
          <w:iCs w:val="false"/>
          <w:sz w:val="22"/>
          <w:szCs w:val="22"/>
        </w:rPr>
        <w:t xml:space="preserve">Cite and status.</w:t>
      </w:r>
      <w:r>
        <w:rPr>
          <w:rFonts w:ascii="Times New Roman" w:cs="Times New Roman" w:eastAsia="Times New Roman" w:hAnsi="Times New Roman"/>
          <w:b w:val="false"/>
          <w:bCs w:val="false"/>
          <w:i w:val="false"/>
          <w:iCs w:val="false"/>
          <w:sz w:val="22"/>
          <w:szCs w:val="22"/>
        </w:rPr>
        <w:t xml:space="preserve"> 2005-9 I.R.B. 630 </w:t>
      </w:r>
      <w:r>
        <w:rPr>
          <w:rFonts w:ascii="Times New Roman" w:cs="Times New Roman" w:eastAsia="Times New Roman" w:hAnsi="Times New Roman"/>
          <w:b/>
          <w:bCs/>
          <w:color w:val="1B5E20"/>
          <w:sz w:val="22"/>
          <w:szCs w:val="22"/>
        </w:rPr>
        <w:t xml:space="preserve">[V via Tax Notes; the IRS Appeals guideline cites "2005-1 C.B. 630 (Feb. 28, 2005)"]</w:t>
      </w:r>
      <w:r>
        <w:rPr>
          <w:rFonts w:ascii="Times New Roman" w:cs="Times New Roman" w:eastAsia="Times New Roman" w:hAnsi="Times New Roman"/>
          <w:b w:val="false"/>
          <w:bCs w:val="false"/>
          <w:i w:val="false"/>
          <w:iCs w:val="false"/>
          <w:sz w:val="22"/>
          <w:szCs w:val="22"/>
        </w:rPr>
        <w:t xml:space="preserve">. Released February 11, 2005 with Treasury release JS-2249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listed "effective February 11, 2005, the date this notice was released to the public"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Still on the IRS "Listed transactions" page as "Notice 2005-13 - Sale-In Lease-Out transactions"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Not among the nine items obsoleted by Notice 2025-22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no hit in Notices 2025-36 or 2026-58, whose full lists I could not read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Section 470 (AJCA; leases entered into after March 12, 2004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governs later deals; the Treasury release says Congress "limited deductions for losses from future SILO transactions" and the notice targets benefits "claimed on earlier SILO deals"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Whether the notice itself mentions § 470: not retrieved </w:t>
      </w:r>
      <w:r>
        <w:rPr>
          <w:rFonts w:ascii="Times New Roman" w:cs="Times New Roman" w:eastAsia="Times New Roman" w:hAnsi="Times New Roman"/>
          <w:b/>
          <w:bCs/>
          <w:color w:val="B71C1C"/>
          <w:sz w:val="22"/>
          <w:szCs w:val="22"/>
        </w:rPr>
        <w:t xml:space="preserve">[U]</w:t>
      </w:r>
      <w:r>
        <w:rPr>
          <w:rFonts w:ascii="Times New Roman" w:cs="Times New Roman" w:eastAsia="Times New Roman" w:hAnsi="Times New Roman"/>
          <w:b w:val="false"/>
          <w:bCs w:val="false"/>
          <w:i w:val="false"/>
          <w:iCs w:val="false"/>
          <w:sz w:val="22"/>
          <w:szCs w:val="22"/>
        </w:rPr>
        <w:t xml:space="preserve">. No APA challenge to this notice surfaced.</w:t>
      </w:r>
    </w:p>
    <w:p>
      <w:pPr>
        <w:spacing w:after="120" w:line="264"/>
      </w:pPr>
      <w:r>
        <w:rPr>
          <w:rFonts w:ascii="Times New Roman" w:cs="Times New Roman" w:eastAsia="Times New Roman" w:hAnsi="Times New Roman"/>
          <w:b/>
          <w:bCs/>
          <w:i w:val="false"/>
          <w:iCs w:val="false"/>
          <w:sz w:val="22"/>
          <w:szCs w:val="22"/>
        </w:rPr>
        <w:t xml:space="preserve">Text.</w:t>
      </w:r>
      <w:r>
        <w:rPr>
          <w:rFonts w:ascii="Times New Roman" w:cs="Times New Roman" w:eastAsia="Times New Roman" w:hAnsi="Times New Roman"/>
          <w:b w:val="false"/>
          <w:bCs w:val="false"/>
          <w:i w:val="false"/>
          <w:iCs w:val="false"/>
          <w:sz w:val="22"/>
          <w:szCs w:val="22"/>
        </w:rPr>
        <w:t xml:space="preserve"> Opening: "… a taxpayer enters into a purported sale-leaseback arrangement with a tax-indifferent person in which substantially all of the tax-indifferent person's payment obligations are economically defeased and the taxpayer's risk of loss from a decline, and opportunity for profit from an increase, in the value of the leased property are limited." </w:t>
      </w:r>
      <w:r>
        <w:rPr>
          <w:rFonts w:ascii="Times New Roman" w:cs="Times New Roman" w:eastAsia="Times New Roman" w:hAnsi="Times New Roman"/>
          <w:b/>
          <w:bCs/>
          <w:color w:val="B26A00"/>
          <w:sz w:val="22"/>
          <w:szCs w:val="22"/>
        </w:rPr>
        <w:t xml:space="preserve">[P; the two internal phrases V]</w:t>
      </w:r>
      <w:r>
        <w:rPr>
          <w:rFonts w:ascii="Times New Roman" w:cs="Times New Roman" w:eastAsia="Times New Roman" w:hAnsi="Times New Roman"/>
          <w:b w:val="false"/>
          <w:bCs w:val="false"/>
          <w:i w:val="false"/>
          <w:iCs w:val="false"/>
          <w:sz w:val="22"/>
          <w:szCs w:val="22"/>
        </w:rPr>
        <w:t xml:space="preserve"> "This notice alerts taxpayers and their representatives that these transactions are tax avoidance transactions and identifies these transactions, and substantially similar transactions, as listed transactions for purposes of § 1.6011-4(b)(2) of the Income Tax Regulations and §§ 6111 and 6112 of the Internal Revenue Code."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"This notice also alerts parties involved with these transactions to certain responsibilities that may arise from their involvement with these transactions."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Analysis: "In substance, the transactions described above are merely a transfer of tax benefits to X, coupled with X's investment of the Equity Collateral for a predetermined after-tax rate of return." </w:t>
      </w:r>
      <w:r>
        <w:rPr>
          <w:rFonts w:ascii="Times New Roman" w:cs="Times New Roman" w:eastAsia="Times New Roman" w:hAnsi="Times New Roman"/>
          <w:b/>
          <w:bCs/>
          <w:color w:val="1B5E20"/>
          <w:sz w:val="22"/>
          <w:szCs w:val="22"/>
        </w:rPr>
        <w:t xml:space="preserve">[V via Tax Notes]</w:t>
      </w:r>
      <w:r>
        <w:rPr>
          <w:rFonts w:ascii="Times New Roman" w:cs="Times New Roman" w:eastAsia="Times New Roman" w:hAnsi="Times New Roman"/>
          <w:b w:val="false"/>
          <w:bCs w:val="false"/>
          <w:i w:val="false"/>
          <w:iCs w:val="false"/>
          <w:sz w:val="22"/>
          <w:szCs w:val="22"/>
        </w:rPr>
        <w:t xml:space="preserve"> So the notice calls the U.S. taxpayer-lessor "X" and defines "Equity Collateral"; the designation for the tax-indifferent person was not retrieved </w:t>
      </w:r>
      <w:r>
        <w:rPr>
          <w:rFonts w:ascii="Times New Roman" w:cs="Times New Roman" w:eastAsia="Times New Roman" w:hAnsi="Times New Roman"/>
          <w:b/>
          <w:bCs/>
          <w:color w:val="B71C1C"/>
          <w:sz w:val="22"/>
          <w:szCs w:val="22"/>
        </w:rPr>
        <w:t xml:space="preserve">[U]</w:t>
      </w:r>
      <w:r>
        <w:rPr>
          <w:rFonts w:ascii="Times New Roman" w:cs="Times New Roman" w:eastAsia="Times New Roman" w:hAnsi="Times New Roman"/>
          <w:b w:val="false"/>
          <w:bCs w:val="false"/>
          <w:i w:val="false"/>
          <w:iCs w:val="false"/>
          <w:sz w:val="22"/>
          <w:szCs w:val="22"/>
        </w:rPr>
        <w:t xml:space="preserve">.</w:t>
      </w:r>
    </w:p>
    <w:p>
      <w:pPr>
        <w:spacing w:after="120" w:line="264"/>
      </w:pPr>
      <w:r>
        <w:rPr>
          <w:rFonts w:ascii="Times New Roman" w:cs="Times New Roman" w:eastAsia="Times New Roman" w:hAnsi="Times New Roman"/>
          <w:b/>
          <w:bCs/>
          <w:i w:val="false"/>
          <w:iCs w:val="false"/>
          <w:sz w:val="22"/>
          <w:szCs w:val="22"/>
        </w:rPr>
        <w:t xml:space="preserve">Disclosure and penalty paragraph: not retrieved</w:t>
      </w:r>
      <w:r>
        <w:rPr>
          <w:rFonts w:ascii="Times New Roman" w:cs="Times New Roman" w:eastAsia="Times New Roman" w:hAnsi="Times New Roman"/>
          <w:b w:val="false"/>
          <w:bCs w:val="false"/>
          <w:i w:val="false"/>
          <w:iCs w:val="false"/>
          <w:sz w:val="22"/>
          <w:szCs w:val="22"/>
        </w:rPr>
        <w:t xml:space="preserve"> despite seven phrase searches; it must be quoted from the PDF. The Treasury release says "Taxpayers who enter into SILOs and who are required to file tax returns must disclose their participation to the IRS" and "Promoters of listed transactions must keep lists of investors and, in certain cases, register those transactions with the IRS"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The June 29, 2005 Coordinated Issue Paper and the Appeals Settlement Guideline (UIL 9300.38-00, eff. Jan. 31, 2008) frame the penalty issue as "Whether § 6662 … § 6662A … or § 6707A … apply to SILO transactions"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w:t>
      </w:r>
    </w:p>
    <w:p>
      <w:pPr>
        <w:spacing w:after="120" w:line="264"/>
      </w:pPr>
      <w:r>
        <w:rPr>
          <w:rFonts w:ascii="Times New Roman" w:cs="Times New Roman" w:eastAsia="Times New Roman" w:hAnsi="Times New Roman"/>
          <w:b/>
          <w:bCs/>
          <w:i w:val="false"/>
          <w:iCs w:val="false"/>
          <w:sz w:val="22"/>
          <w:szCs w:val="22"/>
        </w:rPr>
        <w:t xml:space="preserve">The accommodation party.</w:t>
      </w:r>
      <w:r>
        <w:rPr>
          <w:rFonts w:ascii="Times New Roman" w:cs="Times New Roman" w:eastAsia="Times New Roman" w:hAnsi="Times New Roman"/>
          <w:b w:val="false"/>
          <w:bCs w:val="false"/>
          <w:i w:val="false"/>
          <w:iCs w:val="false"/>
          <w:sz w:val="22"/>
          <w:szCs w:val="22"/>
        </w:rPr>
        <w:t xml:space="preserve"> Foreign or domestic tax-indifferent owners (transit agencies, municipalities, utilities) that "sold" rolling stock or similar assets and leased them back; most of the price was placed with a bank under payment-undertaking agreements and in high-grade securities (the "Equity Collateral"); the lessee kept an "accommodation fee" of about 4 to 8 percent of asset value [secondary]. CCA 200712044 refers to "payment undertaking agreements" and "the tax-indifferent parties' purchase options"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AM 2007-008 describes "X, a U.S. taxpayer, [that] purports to acquire … an ownership interest (SILO transaction) in property owned by Y, a tax-exempt entity"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The defeasance and payment-undertaking banks are a second facilitating class.</w:t>
      </w:r>
    </w:p>
    <w:p>
      <w:pPr>
        <w:spacing w:after="120" w:line="264"/>
      </w:pPr>
      <w:r>
        <w:rPr>
          <w:rFonts w:ascii="Times New Roman" w:cs="Times New Roman" w:eastAsia="Times New Roman" w:hAnsi="Times New Roman"/>
          <w:b/>
          <w:bCs/>
          <w:i w:val="false"/>
          <w:iCs w:val="false"/>
          <w:sz w:val="22"/>
          <w:szCs w:val="22"/>
        </w:rPr>
        <w:t xml:space="preserve">Reach.</w:t>
      </w:r>
      <w:r>
        <w:rPr>
          <w:rFonts w:ascii="Times New Roman" w:cs="Times New Roman" w:eastAsia="Times New Roman" w:hAnsi="Times New Roman"/>
          <w:b w:val="false"/>
          <w:bCs w:val="false"/>
          <w:i w:val="false"/>
          <w:iCs w:val="false"/>
          <w:sz w:val="22"/>
          <w:szCs w:val="22"/>
        </w:rPr>
        <w:t xml:space="preserve"> The notice names no class of participants, and every IRS material applying it (CCA 200712044; AM 2007-008; the CIP; the Appeals guideline; the August 2008 LILO/SILO settlement initiative and IR-2008-121; the sample closing-agreement letters) addresses only the lessor's deductions. The only IRS-document hits for "accommodation" are the sample settlement letter's basis formula, "equity collateral + accommodation fees" </w:t>
      </w:r>
      <w:r>
        <w:rPr>
          <w:rFonts w:ascii="Times New Roman" w:cs="Times New Roman" w:eastAsia="Times New Roman" w:hAnsi="Times New Roman"/>
          <w:b/>
          <w:bCs/>
          <w:color w:val="1B5E20"/>
          <w:sz w:val="22"/>
          <w:szCs w:val="22"/>
        </w:rPr>
        <w:t xml:space="preserve">[V via Tax Notes]</w:t>
      </w:r>
      <w:r>
        <w:rPr>
          <w:rFonts w:ascii="Times New Roman" w:cs="Times New Roman" w:eastAsia="Times New Roman" w:hAnsi="Times New Roman"/>
          <w:b w:val="false"/>
          <w:bCs w:val="false"/>
          <w:i w:val="false"/>
          <w:iCs w:val="false"/>
          <w:sz w:val="22"/>
          <w:szCs w:val="22"/>
        </w:rPr>
        <w:t xml:space="preserve">, and the Appeals guideline's reference to a 2005 industry directive on OID, accommodation fees and transaction costs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No IRS document returned a hit for "facilitat" or "accommodation party." The lessee files no U.S. return reflecting the listed benefits (a domestic transit agency is not a taxpayer at all), so § 1.6011-4(c)(3)(i)(A) is not triggered; a defeasance bank would be a material advisor only on the general tax-statement test.</w:t>
      </w:r>
    </w:p>
    <w:p>
      <w:pPr>
        <w:pStyle w:val="Heading1"/>
        <w:keepNext/>
        <w:spacing w:after="140" w:before="300"/>
      </w:pPr>
      <w:r>
        <w:rPr>
          <w:rFonts w:ascii="Times New Roman" w:cs="Times New Roman" w:eastAsia="Times New Roman" w:hAnsi="Times New Roman"/>
          <w:b/>
          <w:bCs/>
          <w:color w:val="000000"/>
          <w:sz w:val="26"/>
          <w:szCs w:val="26"/>
        </w:rPr>
        <w:t xml:space="preserve">4. DAT — Notice 2008-34, "Distressed Asset Trust Transactions"</w:t>
      </w:r>
    </w:p>
    <w:p>
      <w:pPr>
        <w:spacing w:after="120" w:line="264"/>
      </w:pPr>
      <w:r>
        <w:rPr>
          <w:rFonts w:ascii="Times New Roman" w:cs="Times New Roman" w:eastAsia="Times New Roman" w:hAnsi="Times New Roman"/>
          <w:b/>
          <w:bCs/>
          <w:i w:val="false"/>
          <w:iCs w:val="false"/>
          <w:sz w:val="22"/>
          <w:szCs w:val="22"/>
        </w:rPr>
        <w:t xml:space="preserve">Cite and status.</w:t>
      </w:r>
      <w:r>
        <w:rPr>
          <w:rFonts w:ascii="Times New Roman" w:cs="Times New Roman" w:eastAsia="Times New Roman" w:hAnsi="Times New Roman"/>
          <w:b w:val="false"/>
          <w:bCs w:val="false"/>
          <w:i w:val="false"/>
          <w:iCs w:val="false"/>
          <w:sz w:val="22"/>
          <w:szCs w:val="22"/>
        </w:rPr>
        <w:t xml:space="preserve"> 2008-12 I.R.B. 645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released February 27, 2008; listed for transactions "entered into after October 22, 2004"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(pre-AJCA partnership variants are covered by a separate coordinated issue paper; the DAT was made a coordinated issue effective February 27, 2008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Still listed as "Notice 2008-34 - Distressed Asset Trust (DAT) Transaction"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not in Notice 2025-22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no hit in Notices 2025-36 or 2026-58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Applied in CCA 200936028 (July 15, 2009)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No APA challenge surfaced.</w:t>
      </w:r>
    </w:p>
    <w:p>
      <w:pPr>
        <w:spacing w:after="120" w:line="264"/>
      </w:pPr>
      <w:r>
        <w:rPr>
          <w:rFonts w:ascii="Times New Roman" w:cs="Times New Roman" w:eastAsia="Times New Roman" w:hAnsi="Times New Roman"/>
          <w:b/>
          <w:bCs/>
          <w:i w:val="false"/>
          <w:iCs w:val="false"/>
          <w:sz w:val="22"/>
          <w:szCs w:val="22"/>
        </w:rPr>
        <w:t xml:space="preserve">Text.</w:t>
      </w:r>
      <w:r>
        <w:rPr>
          <w:rFonts w:ascii="Times New Roman" w:cs="Times New Roman" w:eastAsia="Times New Roman" w:hAnsi="Times New Roman"/>
          <w:b w:val="false"/>
          <w:bCs w:val="false"/>
          <w:i w:val="false"/>
          <w:iCs w:val="false"/>
          <w:sz w:val="22"/>
          <w:szCs w:val="22"/>
        </w:rPr>
        <w:t xml:space="preserve"> Opening: "… a tax indifferent party, directly or indirectly, contributes one or more distressed assets (for example, a creditor's interest in debt) with a high basis and low fair market value to a trust or series of trusts and sub-trusts, and a U.S. taxpayer acquires an interest in the trust … for the purpose of shifting a built-in loss from the tax indifferent party to the U.S. taxpayer that has not incurred the economic loss." </w:t>
      </w:r>
      <w:r>
        <w:rPr>
          <w:rFonts w:ascii="Times New Roman" w:cs="Times New Roman" w:eastAsia="Times New Roman" w:hAnsi="Times New Roman"/>
          <w:b/>
          <w:bCs/>
          <w:color w:val="B26A00"/>
          <w:sz w:val="22"/>
          <w:szCs w:val="22"/>
        </w:rPr>
        <w:t xml:space="preserve">[P; first clause V]</w:t>
      </w:r>
      <w:r>
        <w:rPr>
          <w:rFonts w:ascii="Times New Roman" w:cs="Times New Roman" w:eastAsia="Times New Roman" w:hAnsi="Times New Roman"/>
          <w:b w:val="false"/>
          <w:bCs w:val="false"/>
          <w:i w:val="false"/>
          <w:iCs w:val="false"/>
          <w:sz w:val="22"/>
          <w:szCs w:val="22"/>
        </w:rPr>
        <w:t xml:space="preserve"> The second and third sentences are the same listing and "parties involved … responsibilities" sentences as in Notice 2005-13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Facts, as recited in the notice and repeated in the Coordinated Issue Paper </w:t>
      </w:r>
      <w:r>
        <w:rPr>
          <w:rFonts w:ascii="Times New Roman" w:cs="Times New Roman" w:eastAsia="Times New Roman" w:hAnsi="Times New Roman"/>
          <w:b/>
          <w:bCs/>
          <w:color w:val="B26A00"/>
          <w:sz w:val="22"/>
          <w:szCs w:val="22"/>
        </w:rPr>
        <w:t xml:space="preserve">[P as to which document carries each sentence]</w:t>
      </w:r>
      <w:r>
        <w:rPr>
          <w:rFonts w:ascii="Times New Roman" w:cs="Times New Roman" w:eastAsia="Times New Roman" w:hAnsi="Times New Roman"/>
          <w:b w:val="false"/>
          <w:bCs w:val="false"/>
          <w:i w:val="false"/>
          <w:iCs w:val="false"/>
          <w:sz w:val="22"/>
          <w:szCs w:val="22"/>
        </w:rPr>
        <w:t xml:space="preserve">: "a tax indifferent party creates a trust (Main-Trust) with trustee X. The tax indifferent party contributes distressed assets directly or indirectly (through a partnership or otherwise) to Main-Trust" and is "the grantor and beneficiary of Main-Trust"; "A U.S. taxpayer (Taxpayer) transfers cash or a note (approximately equaling the fair market value of the distressed asset) to Main-Trust in exchange for certificates evidencing units of beneficial interest in Main-Trust"; the trustee "creates a separate sub-trust (Sub-Trust), transfers certificates evidencing units of beneficial interest in Sub-Trust (Sub-Trust Certificates) to Taxpayer, and allocates the distressed assets to Sub-Trust for the sole benefit of the beneficiary of the Sub-Trust." The CIP adds that the tax-indifferent party, "through a U.S. promoter, solicits a U.S. taxpayer" and "Promoter fees are generally charged based on the anticipated tax benefit"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w:t>
      </w:r>
    </w:p>
    <w:p>
      <w:pPr>
        <w:spacing w:after="120" w:line="264"/>
      </w:pPr>
      <w:r>
        <w:rPr>
          <w:rFonts w:ascii="Times New Roman" w:cs="Times New Roman" w:eastAsia="Times New Roman" w:hAnsi="Times New Roman"/>
          <w:b/>
          <w:bCs/>
          <w:i w:val="false"/>
          <w:iCs w:val="false"/>
          <w:sz w:val="22"/>
          <w:szCs w:val="22"/>
        </w:rPr>
        <w:t xml:space="preserve">Disclosure and penalty paragraph</w:t>
      </w:r>
      <w:r>
        <w:rPr>
          <w:rFonts w:ascii="Times New Roman" w:cs="Times New Roman" w:eastAsia="Times New Roman" w:hAnsi="Times New Roman"/>
          <w:b w:val="false"/>
          <w:bCs w:val="false"/>
          <w:i w:val="false"/>
          <w:iCs w:val="false"/>
          <w:sz w:val="22"/>
          <w:szCs w:val="22"/>
        </w:rPr>
        <w:t xml:space="preserve"> (extracted from the PDF; the search tool warned that line breaks were garbled, so confirm punctuation): "Transactions that are the same as, or substantially similar to, the transaction described in this notice that are entered into after October 22, 2004, are identified as 'listed transactions' for purposes of § 1.6011-4(b)(2) and §§ 6111 and 6112 effective February 27, 2008, the date this notice was released to the public."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"Independent of their classification as 'listed transactions,' transactions that are the same as, or substantially similar to, the transaction described in this notice may already be subject to the requirements of §§ 6011, 6111, or 6112 …"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"Persons required to disclose these transactions under § 1.6011-4 who fail to do so may be subject to the penalty under § 6707A."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"Persons required to disclose these transactions under § 6111 who fail to do so may be subject to the penalty under § 6707(a)."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"Persons required to maintain lists of investors under § 6112 who fail to do so (or who fail to provide such lists when requested by the Service) may be subject to the penalty under § 6708(a)."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"In addition, the Service may impose other penalties on persons involved in these transactions or substantially similar transactions, including the accuracy-related penalty under § 6662 or § 6662A." </w:t>
      </w:r>
      <w:r>
        <w:rPr>
          <w:rFonts w:ascii="Times New Roman" w:cs="Times New Roman" w:eastAsia="Times New Roman" w:hAnsi="Times New Roman"/>
          <w:b/>
          <w:bCs/>
          <w:color w:val="1B5E20"/>
          <w:sz w:val="22"/>
          <w:szCs w:val="22"/>
        </w:rPr>
        <w:t xml:space="preserve">[V]</w:t>
      </w:r>
    </w:p>
    <w:p>
      <w:pPr>
        <w:spacing w:after="120" w:line="264"/>
      </w:pPr>
      <w:r>
        <w:rPr>
          <w:rFonts w:ascii="Times New Roman" w:cs="Times New Roman" w:eastAsia="Times New Roman" w:hAnsi="Times New Roman"/>
          <w:b/>
          <w:bCs/>
          <w:i w:val="false"/>
          <w:iCs w:val="false"/>
          <w:sz w:val="22"/>
          <w:szCs w:val="22"/>
        </w:rPr>
        <w:t xml:space="preserve">Reach.</w:t>
      </w:r>
      <w:r>
        <w:rPr>
          <w:rFonts w:ascii="Times New Roman" w:cs="Times New Roman" w:eastAsia="Times New Roman" w:hAnsi="Times New Roman"/>
          <w:b w:val="false"/>
          <w:bCs w:val="false"/>
          <w:i w:val="false"/>
          <w:iCs w:val="false"/>
          <w:sz w:val="22"/>
          <w:szCs w:val="22"/>
        </w:rPr>
        <w:t xml:space="preserve"> There is no "participants" paragraph. CCA 200936028 resolves participation for the U.S. taxpayer under the general rule: the taxpayer "participated in the DAT transaction in 2005, because the taxpayer's Form 1040 reflected the tax consequences or tax strategy described in Notice 2008-34," with the duty arising only on the February 27, 2008 listing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The tax-indifferent party (typically foreign) files no return reflecting the loss; the trustee acts for the trust; the promoter is reached, if at all, through the material-advisor test and § 6700. One nuance: Main-Trust or Sub-Trust (and so the trustee as filer) could be a participant if a trust return reflected the loss — exposure derived from the trust's return position, not from "facilitation."</w:t>
      </w:r>
    </w:p>
    <w:p>
      <w:pPr>
        <w:pStyle w:val="Heading1"/>
        <w:keepNext/>
        <w:spacing w:after="140" w:before="300"/>
      </w:pPr>
      <w:r>
        <w:rPr>
          <w:rFonts w:ascii="Times New Roman" w:cs="Times New Roman" w:eastAsia="Times New Roman" w:hAnsi="Times New Roman"/>
          <w:b/>
          <w:bCs/>
          <w:color w:val="000000"/>
          <w:sz w:val="26"/>
          <w:szCs w:val="26"/>
        </w:rPr>
        <w:t xml:space="preserve">5. Comparison points</w:t>
      </w:r>
    </w:p>
    <w:p>
      <w:pPr>
        <w:spacing w:after="120" w:line="264"/>
      </w:pPr>
      <w:r>
        <w:rPr>
          <w:rFonts w:ascii="Times New Roman" w:cs="Times New Roman" w:eastAsia="Times New Roman" w:hAnsi="Times New Roman"/>
          <w:b/>
          <w:bCs/>
          <w:i w:val="false"/>
          <w:iCs w:val="false"/>
          <w:sz w:val="22"/>
          <w:szCs w:val="22"/>
        </w:rPr>
        <w:t xml:space="preserve">(a) Basket contracts.</w:t>
      </w:r>
      <w:r>
        <w:rPr>
          <w:rFonts w:ascii="Times New Roman" w:cs="Times New Roman" w:eastAsia="Times New Roman" w:hAnsi="Times New Roman"/>
          <w:b w:val="false"/>
          <w:bCs w:val="false"/>
          <w:i w:val="false"/>
          <w:iCs w:val="false"/>
          <w:sz w:val="22"/>
          <w:szCs w:val="22"/>
        </w:rPr>
        <w:t xml:space="preserve"> Notices 2015-47 (listed) and 2015-48 (transaction of interest), 2015-30 I.R.B. 76 and 77 (July 8, 2015), were revoked on October 21, 2015 by Notices 2015-73 and 2015-74, 2015-46 I.R.B. 660 and 663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All four treat the counterparty as a participant. Notice 2015-74: "Under § 1.6011-4(c)(3)(i)(E), for each year in which a transaction described in this notice is open, only the following parties are treated as participating in the transaction of interest: …" — a closed list of the purchaser, any general partner of a purchaser partnership, any managing member of a purchaser LLC, and the counterparty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Notice 2015-73 has the parallel list under (c)(3)(i)(A)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KPMG's 2015 description of 2015-47/48: "The notices treat the following persons as having participated in a basket option or a basket contract: (1) the purchaser; (2) if the purchaser is a partnership, any general partner of the purchaser; (3) if the purchaser is a limited liability company, any managing member of the purchaser; and (4) the counterparty to the derivative." </w:t>
      </w:r>
      <w:r>
        <w:rPr>
          <w:rFonts w:ascii="Times New Roman" w:cs="Times New Roman" w:eastAsia="Times New Roman" w:hAnsi="Times New Roman"/>
          <w:b/>
          <w:bCs/>
          <w:color w:val="1B5E20"/>
          <w:sz w:val="22"/>
          <w:szCs w:val="22"/>
        </w:rPr>
        <w:t xml:space="preserve">[V, secondary]</w:t>
      </w:r>
      <w:r>
        <w:rPr>
          <w:rFonts w:ascii="Times New Roman" w:cs="Times New Roman" w:eastAsia="Times New Roman" w:hAnsi="Times New Roman"/>
          <w:b w:val="false"/>
          <w:bCs w:val="false"/>
          <w:i w:val="false"/>
          <w:iCs w:val="false"/>
          <w:sz w:val="22"/>
          <w:szCs w:val="22"/>
        </w:rPr>
        <w:t xml:space="preserve"> The notices require disclosure "by participants and material advisors"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I found no sentence deeming the counterparty a material advisor, so your recollection on that point is unconfirmed </w:t>
      </w:r>
      <w:r>
        <w:rPr>
          <w:rFonts w:ascii="Times New Roman" w:cs="Times New Roman" w:eastAsia="Times New Roman" w:hAnsi="Times New Roman"/>
          <w:b/>
          <w:bCs/>
          <w:color w:val="B71C1C"/>
          <w:sz w:val="22"/>
          <w:szCs w:val="22"/>
        </w:rPr>
        <w:t xml:space="preserve">[U]</w:t>
      </w:r>
      <w:r>
        <w:rPr>
          <w:rFonts w:ascii="Times New Roman" w:cs="Times New Roman" w:eastAsia="Times New Roman" w:hAnsi="Times New Roman"/>
          <w:b w:val="false"/>
          <w:bCs w:val="false"/>
          <w:i w:val="false"/>
          <w:iCs w:val="false"/>
          <w:sz w:val="22"/>
          <w:szCs w:val="22"/>
        </w:rPr>
        <w:t xml:space="preserve">. Status: Notice 2015-74 was obsoleted by the July 12, 2024 proposed regulations (REG-102161-23, 89 FR 57111), which would re-list both sets of transactions under proposed § 1.6011-16 and keep the counterparty as a participant subject to two counterparty-only exceptions (the taxpayer represents under penalties of perjury that no return reflects a tax benefit; or the counterparty establishes that the taxpayer is a nonresident alien or foreign corporation not engaged in a U.S. trade or business)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Notice 2015-73 was obsoleted by Notice 2025-22 (Apr. 14, 2025) in the Executive Order 14219 clean-up </w:t>
      </w:r>
      <w:r>
        <w:rPr>
          <w:rFonts w:ascii="Times New Roman" w:cs="Times New Roman" w:eastAsia="Times New Roman" w:hAnsi="Times New Roman"/>
          <w:b/>
          <w:bCs/>
          <w:color w:val="1B5E20"/>
          <w:sz w:val="22"/>
          <w:szCs w:val="22"/>
        </w:rPr>
        <w:t xml:space="preserve">[V, secondary]</w:t>
      </w:r>
      <w:r>
        <w:rPr>
          <w:rFonts w:ascii="Times New Roman" w:cs="Times New Roman" w:eastAsia="Times New Roman" w:hAnsi="Times New Roman"/>
          <w:b w:val="false"/>
          <w:bCs w:val="false"/>
          <w:i w:val="false"/>
          <w:iCs w:val="false"/>
          <w:sz w:val="22"/>
          <w:szCs w:val="22"/>
        </w:rPr>
        <w:t xml:space="preserve">. Whether § 1.6011-16 has been finalized is unconfirmed (section 8).</w:t>
      </w:r>
    </w:p>
    <w:p>
      <w:pPr>
        <w:spacing w:after="120" w:line="264"/>
      </w:pPr>
      <w:r>
        <w:rPr>
          <w:rFonts w:ascii="Times New Roman" w:cs="Times New Roman" w:eastAsia="Times New Roman" w:hAnsi="Times New Roman"/>
          <w:b/>
          <w:bCs/>
          <w:i w:val="false"/>
          <w:iCs w:val="false"/>
          <w:sz w:val="22"/>
          <w:szCs w:val="22"/>
        </w:rPr>
        <w:t xml:space="preserve">(b) Intermediary transactions.</w:t>
      </w:r>
      <w:r>
        <w:rPr>
          <w:rFonts w:ascii="Times New Roman" w:cs="Times New Roman" w:eastAsia="Times New Roman" w:hAnsi="Times New Roman"/>
          <w:b w:val="false"/>
          <w:bCs w:val="false"/>
          <w:i w:val="false"/>
          <w:iCs w:val="false"/>
          <w:sz w:val="22"/>
          <w:szCs w:val="22"/>
        </w:rPr>
        <w:t xml:space="preserve"> Notice 2008-20 (2008-6 I.R.B. 406) was issued for "identifying the persons who are treated as participants in an Intermediary Transaction Tax Shelter under § 1.6011-4(c)(3)(i)(A)"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and had safe harbors for certain sellers and buyers, including a buyer whose only acquired assets are securities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Notice 2008-111 (2008-51 I.R.B. 1288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Dec. 2, 2008) superseded it: "A transaction is treated as an Intermediary Transaction with respect to a particular person only if that person engages in the transaction pursuant to a plan, the transaction contains the four objective components indicative of an Intermediary Transaction, and no safe harbor exception applies to that person."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"A transaction may be an Intermediary Transaction with respect to one person and not be an Intermediary Transaction with respect to another person."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"Pursuant to a plan" turns on knowing or having reason to know, with presumptions for 5-percent shareholders and officers or directors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section 5 safe harbors include a shareholder whose disposed stock is publicly traded </w:t>
      </w:r>
      <w:r>
        <w:rPr>
          <w:rFonts w:ascii="Times New Roman" w:cs="Times New Roman" w:eastAsia="Times New Roman" w:hAnsi="Times New Roman"/>
          <w:b/>
          <w:bCs/>
          <w:color w:val="1B5E20"/>
          <w:sz w:val="22"/>
          <w:szCs w:val="22"/>
        </w:rPr>
        <w:t xml:space="preserve">[V]</w:t>
      </w:r>
      <w:r>
        <w:rPr>
          <w:rFonts w:ascii="Times New Roman" w:cs="Times New Roman" w:eastAsia="Times New Roman" w:hAnsi="Times New Roman"/>
          <w:b w:val="false"/>
          <w:bCs w:val="false"/>
          <w:i w:val="false"/>
          <w:iCs w:val="false"/>
          <w:sz w:val="22"/>
          <w:szCs w:val="22"/>
        </w:rPr>
        <w:t xml:space="preserve">; section 6 recites the § 6707A / 6707(a) / 6708(a) paragraph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The role-by-role participant list (seller X, target T, intermediary M, buyer Y) was not retrieved </w:t>
      </w:r>
      <w:r>
        <w:rPr>
          <w:rFonts w:ascii="Times New Roman" w:cs="Times New Roman" w:eastAsia="Times New Roman" w:hAnsi="Times New Roman"/>
          <w:b/>
          <w:bCs/>
          <w:color w:val="B71C1C"/>
          <w:sz w:val="22"/>
          <w:szCs w:val="22"/>
        </w:rPr>
        <w:t xml:space="preserve">[U]</w:t>
      </w:r>
      <w:r>
        <w:rPr>
          <w:rFonts w:ascii="Times New Roman" w:cs="Times New Roman" w:eastAsia="Times New Roman" w:hAnsi="Times New Roman"/>
          <w:b w:val="false"/>
          <w:bCs w:val="false"/>
          <w:i w:val="false"/>
          <w:iCs w:val="false"/>
          <w:sz w:val="22"/>
          <w:szCs w:val="22"/>
        </w:rPr>
        <w:t xml:space="preserve">. The point: buyers and the intermediary were brought within participant status only through person-specific knowledge tests and safe harbors.</w:t>
      </w:r>
    </w:p>
    <w:p>
      <w:pPr>
        <w:spacing w:after="120" w:line="264"/>
      </w:pPr>
      <w:r>
        <w:rPr>
          <w:rFonts w:ascii="Times New Roman" w:cs="Times New Roman" w:eastAsia="Times New Roman" w:hAnsi="Times New Roman"/>
          <w:b/>
          <w:bCs/>
          <w:i w:val="false"/>
          <w:iCs w:val="false"/>
          <w:sz w:val="22"/>
          <w:szCs w:val="22"/>
        </w:rPr>
        <w:t xml:space="preserve">(c) Express exclusions of lenders or trading counterparties.</w:t>
      </w:r>
      <w:r>
        <w:rPr>
          <w:rFonts w:ascii="Times New Roman" w:cs="Times New Roman" w:eastAsia="Times New Roman" w:hAnsi="Times New Roman"/>
          <w:b w:val="false"/>
          <w:bCs w:val="false"/>
          <w:i w:val="false"/>
          <w:iCs w:val="false"/>
          <w:sz w:val="22"/>
          <w:szCs w:val="22"/>
        </w:rPr>
        <w:t xml:space="preserve"> None in the SILO or DAT guidance. Elsewhere: the closed "only the following parties" list in the 2015 basket notices excludes everyone not named (custodians, prime brokers, lenders)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proposed § 1.6011-16's "designee" definition excludes an investment adviser, officer or employee of an entity such as a mutual fund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the 2023 monetized-installment-sale proposal (REG-109348-22, proposed § 1.6011-13) treats the seller, the intermediary and "the purported lender" as participants but "would not treat the buyer of the gain property as a participant," and asked for comment on that choice </w:t>
      </w:r>
      <w:r>
        <w:rPr>
          <w:rFonts w:ascii="Times New Roman" w:cs="Times New Roman" w:eastAsia="Times New Roman" w:hAnsi="Times New Roman"/>
          <w:b/>
          <w:bCs/>
          <w:color w:val="B26A00"/>
          <w:sz w:val="22"/>
          <w:szCs w:val="22"/>
        </w:rPr>
        <w:t xml:space="preserve">[P]</w:t>
      </w:r>
      <w:r>
        <w:rPr>
          <w:rFonts w:ascii="Times New Roman" w:cs="Times New Roman" w:eastAsia="Times New Roman" w:hAnsi="Times New Roman"/>
          <w:b w:val="false"/>
          <w:bCs w:val="false"/>
          <w:i w:val="false"/>
          <w:iCs w:val="false"/>
          <w:sz w:val="22"/>
          <w:szCs w:val="22"/>
        </w:rPr>
        <w:t xml:space="preserve">. Treasury has thus reached a financing or trading counterparty expressly when it wanted to, and has used the "types or classes" power to do it.</w:t>
      </w:r>
    </w:p>
    <w:p>
      <w:pPr>
        <w:pStyle w:val="Heading1"/>
        <w:keepNext/>
        <w:spacing w:after="140" w:before="300"/>
      </w:pPr>
      <w:r>
        <w:rPr>
          <w:rFonts w:ascii="Times New Roman" w:cs="Times New Roman" w:eastAsia="Times New Roman" w:hAnsi="Times New Roman"/>
          <w:b/>
          <w:bCs/>
          <w:color w:val="000000"/>
          <w:sz w:val="26"/>
          <w:szCs w:val="26"/>
        </w:rPr>
        <w:t xml:space="preserve">6. What the outline author probably meant</w:t>
      </w:r>
    </w:p>
    <w:p>
      <w:pPr>
        <w:spacing w:after="120" w:line="264"/>
      </w:pPr>
      <w:r>
        <w:rPr>
          <w:rFonts w:ascii="Times New Roman" w:cs="Times New Roman" w:eastAsia="Times New Roman" w:hAnsi="Times New Roman"/>
          <w:b w:val="false"/>
          <w:bCs w:val="false"/>
          <w:i w:val="false"/>
          <w:iCs w:val="false"/>
          <w:sz w:val="22"/>
          <w:szCs w:val="22"/>
        </w:rPr>
        <w:t xml:space="preserve">Moderate confidence: "facilitation party" is the author's synonym for the "accommodation party" or "tax-indifferent party" of SILO/LILO and DAT practice — the foreign or tax-exempt lessee paid an accommodation fee in a SILO, and the tax-indifferent contributor (and loosely the trustee) in a DAT. Those parties facilitate a transfer of tax benefits without claiming any, which makes them the closest structural analogue to BNY lending to or trading with a tax-aware fund. On that reading the premise fails: the notices impose nothing on those parties and no IRS material applying them treats those parties as participants or material advisors. The accurate formulation is the opposite of the outline's: SILO and DAT are examples of listings that left the accommodation party outside the regime, while the basket-contract and intermediary-transaction guidance are the examples of a counterparty being swept in. Low confidence alternative: the author meant the defeasance and payment-undertaking banks in SILOs; the answer is the same, since those banks are reached only by the general material-advisor test. Nothing suggests the author had in mind an IRS document that uses the word "facilitation."</w:t>
      </w:r>
    </w:p>
    <w:p>
      <w:pPr>
        <w:pStyle w:val="Heading1"/>
        <w:keepNext/>
        <w:spacing w:after="140" w:before="300"/>
      </w:pPr>
      <w:r>
        <w:rPr>
          <w:rFonts w:ascii="Times New Roman" w:cs="Times New Roman" w:eastAsia="Times New Roman" w:hAnsi="Times New Roman"/>
          <w:b/>
          <w:bCs/>
          <w:color w:val="000000"/>
          <w:sz w:val="26"/>
          <w:szCs w:val="26"/>
        </w:rPr>
        <w:t xml:space="preserve">7. Table of authorities</w:t>
      </w:r>
    </w:p>
    <w:p>
      <w:pPr>
        <w:spacing w:after="120" w:line="264"/>
      </w:pPr>
      <w:r>
        <w:rPr>
          <w:rFonts w:ascii="Times New Roman" w:cs="Times New Roman" w:eastAsia="Times New Roman" w:hAnsi="Times New Roman"/>
          <w:b w:val="false"/>
          <w:bCs w:val="false"/>
          <w:i w:val="false"/>
          <w:iCs w:val="false"/>
          <w:sz w:val="22"/>
          <w:szCs w:val="22"/>
        </w:rPr>
        <w:t xml:space="preserve">Access date for every entry: October 20, 2026, through a web-search index of the primary document. Direct retrieval of each URL failed with a proxy policy denial (HTTP 403 on CONNECT) unless noted. "Relied on" lists the passages used above and their tags.</w:t>
      </w:r>
    </w:p>
    <w:tbl>
      <w:tblPr>
        <w:tblW w:type="dxa" w:w="10080"/>
        <w:tblBorders>
          <w:top w:val="single" w:color="808080" w:sz="4"/>
          <w:left w:val="single" w:color="808080" w:sz="4"/>
          <w:bottom w:val="single" w:color="808080" w:sz="4"/>
          <w:right w:val="single" w:color="808080" w:sz="4"/>
          <w:insideH w:val="single" w:color="808080" w:sz="4"/>
          <w:insideV w:val="single" w:color="808080" w:sz="4"/>
        </w:tblBorders>
        <w:tblLayout w:type="fixed"/>
      </w:tblPr>
      <w:tblGrid>
        <w:gridCol w:w="2520"/>
        <w:gridCol w:w="2736"/>
        <w:gridCol w:w="4824"/>
      </w:tblGrid>
      <w:tr>
        <w:trPr>
          <w:cantSplit w:val="false"/>
          <w:tblHeader/>
        </w:trPr>
        <w:tc>
          <w:tcPr>
            <w:tcW w:type="dxa" w:w="2520"/>
            <w:shd w:fill="E7E6E6"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sz w:val="19"/>
                <w:szCs w:val="19"/>
              </w:rPr>
              <w:t xml:space="preserve">Source</w:t>
            </w:r>
          </w:p>
        </w:tc>
        <w:tc>
          <w:tcPr>
            <w:tcW w:type="dxa" w:w="2736"/>
            <w:shd w:fill="E7E6E6"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sz w:val="19"/>
                <w:szCs w:val="19"/>
              </w:rPr>
              <w:t xml:space="preserve">URL</w:t>
            </w:r>
          </w:p>
        </w:tc>
        <w:tc>
          <w:tcPr>
            <w:tcW w:type="dxa" w:w="4824"/>
            <w:shd w:fill="E7E6E6" w:color="auto"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sz w:val="19"/>
                <w:szCs w:val="19"/>
              </w:rPr>
              <w:t xml:space="preserve">Relied on</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Notice 2005-13, 2005-9 I.R.B. 630</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https://www.irs.gov/pub/irs-drop/n-05-13.pdf; https://home.treasury.gov/system/files/136/archive-documents/notice200513.pdf; https://www.irs.gov/irb/2005-09_IRB</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Opening paragraph (phrases "purported sale-leaseback arrangement with a tax-indifferent person" and "economically defeased"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remainder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"This notice also alerts parties involved with these transactions to certain responsibilities that may arise from their involvement with these transactions"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"effective February 11, 2005, the date this notice was released to the public"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"In substance, the transactions described above are merely a transfer of tax benefits to X, coupled with X's investment of the Equity Collateral for a predetermined after-tax rate of return" </w:t>
            </w:r>
            <w:r>
              <w:rPr>
                <w:rFonts w:ascii="Times New Roman" w:cs="Times New Roman" w:eastAsia="Times New Roman" w:hAnsi="Times New Roman"/>
                <w:b/>
                <w:bCs/>
                <w:color w:val="1B5E20"/>
                <w:sz w:val="19"/>
                <w:szCs w:val="19"/>
              </w:rPr>
              <w:t xml:space="preserve">[V via Tax Notes]</w:t>
            </w:r>
            <w:r>
              <w:rPr>
                <w:rFonts w:ascii="Times New Roman" w:cs="Times New Roman" w:eastAsia="Times New Roman" w:hAnsi="Times New Roman"/>
                <w:b w:val="false"/>
                <w:bCs w:val="false"/>
                <w:i w:val="false"/>
                <w:iCs w:val="false"/>
                <w:sz w:val="19"/>
                <w:szCs w:val="19"/>
              </w:rPr>
              <w:t xml:space="preserve">. Disclosure/penalty paragraph not retrieved.</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Treasury release JS-2249 (Feb. 11, 2005), "Treasury Provides Guidance On Abusive SILO Arrangements"</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https://home.treasury.gov/news/press-releases/js2249</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"SILO arrangements are designed to exploit the tax law by shifting tax benefits from a tax-indifferent party that cannot use them to a taxpayer that can"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"Taxpayers who enter into SILOs and who are required to file tax returns must disclose their participation to the IRS"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"Promoters of listed transactions must keep lists of investors and, in certain cases, register those transactions with the IRS"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AJCA "limited deductions for losses from future SILO transactions"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CCA 200712044 (released Mar. 23, 2007)</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https://www.irs.gov/pub/irs-wd/0712044.pdf</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Transaction "is the same as or substantially similar to the sale-in, sale-out (SILO) transactions in Notice 2005-13"; "payment undertaking agreements"; "the tax-indifferent parties' purchase options"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AM 2007-008 (LILO/SILO exit strategies)</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IRS copy not located; via Tax Notes</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"X, a U.S. taxpayer, purports to acquire either a leasehold interest (LILO transaction) or an ownership interest (SILO transaction) in property owned by Y, a tax-exempt entity"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Appeals Settlement Guideline, SILO, UIL 9300.38-00 (eff. Jan. 31, 2008)</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https://www.irs.gov/pub/irs-appeals/silo_asg__redacted.pdf</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"Whether § 6662 … § 6662A … or § 6707A … apply to SILO transactions"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cites Notice 2005-13 as "2005-1 C.B. 630 (Feb. 28, 2005)" and "A Coordinated Issue Paper ('CIP') dealing with SILOs was issued on June 29, 2005"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2005 industry directive on OID, accommodation fees and transaction costs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LILO/SILO settlement initiative (announced Aug. 6, 2008); IR-2008-121 (Oct. 21, 2008); sample closing-agreement letters</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https://www.irs.gov/pub/irs-news/ir-08-121.pdf; letters via Tax Notes</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"more than two-thirds of corporations that received the LILO/SILO settlement offer have decided to accept the offer"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"The Taxpayer's Adjusted Basis includes … equity investment (equity collateral + accommodation fees) plus transaction fees" </w:t>
            </w:r>
            <w:r>
              <w:rPr>
                <w:rFonts w:ascii="Times New Roman" w:cs="Times New Roman" w:eastAsia="Times New Roman" w:hAnsi="Times New Roman"/>
                <w:b/>
                <w:bCs/>
                <w:color w:val="1B5E20"/>
                <w:sz w:val="19"/>
                <w:szCs w:val="19"/>
              </w:rPr>
              <w:t xml:space="preserve">[V via Tax Notes]</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Notice 2008-34, 2008-12 I.R.B. 645</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https://www.irs.gov/pub/irs-drop/n-08-34.pdf; https://www.irs.gov/irb/2008-12_IRB</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Opening clause "tax indifferent party, directly or indirectly, contributes one or more distressed assets"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listing and "parties involved" sentences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facts (Main-Trust, trustee X, Sub-Trust, certificates) </w:t>
            </w:r>
            <w:r>
              <w:rPr>
                <w:rFonts w:ascii="Times New Roman" w:cs="Times New Roman" w:eastAsia="Times New Roman" w:hAnsi="Times New Roman"/>
                <w:b/>
                <w:bCs/>
                <w:color w:val="1B5E20"/>
                <w:sz w:val="19"/>
                <w:szCs w:val="19"/>
              </w:rPr>
              <w:t xml:space="preserve">[V, attribution between notice and CIP P]</w:t>
            </w:r>
            <w:r>
              <w:rPr>
                <w:rFonts w:ascii="Times New Roman" w:cs="Times New Roman" w:eastAsia="Times New Roman" w:hAnsi="Times New Roman"/>
                <w:b w:val="false"/>
                <w:bCs w:val="false"/>
                <w:i w:val="false"/>
                <w:iCs w:val="false"/>
                <w:sz w:val="19"/>
                <w:szCs w:val="19"/>
              </w:rPr>
              <w:t xml:space="preserve">; effective "February 27, 2008" for transactions "entered into after October 22, 2004"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"Independent of their classification as 'listed transactions'"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 6707A sentence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"Persons required to disclose these transactions under § 6111 who fail to do so may be subject to the penalty under § 6707(a)"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 6708(a) sentence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"the Service may impose other penalties on persons involved in these transactions or substantially similar transactions, including the accuracy-related penalty under § 6662 or § 6662A"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DAT Coordinated Issue Paper (LMSB)</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via Tax Notes</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"through a U.S. promoter, solicits a U.S. taxpayer"; "Promoter fees are generally charged based on the anticipated tax benefit"; DAT "should be treated as a coordinated issue effective February 27, 2008"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CCA 200936028 (July 15, 2009; released Sept. 4, 2009)</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https://www.irs.gov/pub/irs-wd/0936028.pdf</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Taxpayer "participated in the DAT transaction in 2005, because the taxpayer's Form 1040 reflected the tax consequences or tax strategy described in Notice 2008-34"; disclosure duty arose only after the February 27, 2008 listing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IRS, "Listed transactions" page</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https://www.irs.gov/businesses/corporations/listed-transactions</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"Notice 2005-13 - Sale-In Lease-Out transactions"; "Notice 2008-34 - Distressed Asset Trust (DAT) Transaction"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Treas. Reg. § 1.6011-4</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https://www.ecfr.gov/current/title-26/chapter-I/subchapter-A/part-1/subject-group-ECFR69a3d5af789efa1/section-1.6011-4; https://www.law.cornell.edu/cfr/text/26/1.6011-4</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(c)(3)(i)(A) four sentences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(c)(3)(i)(B): "A taxpayer has participated in a confidential transaction if the taxpayer's tax return reflects a tax benefit from the transaction and the taxpayer's disclosure of the tax treatment or tax structure of the transaction is limited in the manner described in paragraph (b)(3) of this section"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(c)(3)(i)(C) opening "A taxpayer has participated in a transaction with contractual protection if the taxpayer's tax return reflects a tax benefit from the transaction and …"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(c)(3)(i)(E)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source credit T.D. 9350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T.D. 9350, 72 FR 43146 (Aug. 3, 2007); REG-103038-05, 71 FR 64488 (Nov. 2, 2006)</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https://www.govinfo.gov/content/pkg/FR-2007-08-03/pdf/07-3786.pdf; https://www.federalregister.gov/documents/2007/08/03/07-3786/ajca-modifications-to-the-section-6011-regulations</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Commentators "recommended that the term 'participation,' for purposes of determining whether a taxpayer participated in a transaction of interest, be defined in the regulations rather than in the published guidance identifying the transaction of interest"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"Types or classes" discussion not retrieved.</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Treas. Reg. § 301.6111-3 (T.D. 9351, 72 FR 43157)</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https://www.ecfr.gov/current/title-26/chapter-I/subchapter-F/part-301/subpart-ECFR1b5d05d4bfe19f9/subject-group-ECFR2bb42ef5f1a3a92/section-301.6111-3; https://www.law.cornell.edu/cfr/text/26/301.6111-3</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(b)(1): "A person is a material advisor with respect to a transaction if the person provides any material aid, assistance, or advice with respect to organizing, managing, promoting, selling, implementing, insuring, or carrying out any reportable transaction, and directly or indirectly derives gross income in excess of the threshold amount as defined in paragraph (b)(3) of this section for the material aid, assistance, or advice"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employee/agent carve-out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"forms or avails of an entity with the purpose of avoiding the rules of section 6111 or 6112 or the penalties under section 6707 or 6708"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(b)(2)(i) opening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(b)(2)(ii)(A) tax statement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(b)(3) thresholds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reduced thresholds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(b)(4)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(b)(5)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effective for tax statements on or after Aug. 3, 2007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Treas. Reg. § 301.6112-1</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https://www.law.cornell.edu/cfr/text/26/301.6112-1</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(a) as quoted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30-calendar-day preparation window; 20-business-day furnishing period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26 U.S.C. § 6111(b)</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https://uscode.house.gov/; https://www.law.cornell.edu/uscode/text/26/6111</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Definition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"$50,000 in the case of a reportable transaction substantially all of the tax benefits from which are provided to natural persons, and $250,000 in any other case"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26 U.S.C. § 6112(a)</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https://www.law.cornell.edu/uscode/text/26/6112</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"Each material advisor (as defined in section 6111) with respect to any reportable transaction (as defined in section 6707A(c)) shall (whether or not required to file a return under section 6111 with respect to such transaction) maintain (in such manner as the Secretary may by regulations prescribe) a list—(1) identifying each person with respect to whom such advisor acted as a material advisor with respect to such transaction, and (2) containing such other information as the Secretary may by regulations require." </w:t>
            </w:r>
            <w:r>
              <w:rPr>
                <w:rFonts w:ascii="Times New Roman" w:cs="Times New Roman" w:eastAsia="Times New Roman" w:hAnsi="Times New Roman"/>
                <w:b/>
                <w:bCs/>
                <w:color w:val="1B5E20"/>
                <w:sz w:val="19"/>
                <w:szCs w:val="19"/>
              </w:rPr>
              <w:t xml:space="preserve">[V]</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26 U.S.C. § 6662A</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https://www.law.cornell.edu/uscode/text/26/6662A</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"If a taxpayer has a reportable transaction understatement for any taxable year, there shall be added to the tax an amount equal to 20 percent of the amount of such understatement"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applies to "any listed transaction" and other reportable transactions with a significant avoidance purpose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30 percent where the § 6664(d)(3)(A) requirement is not met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no reasonable-cause defense at 30 percent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26 U.S.C. § 6707</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https://uscode.house.gov/us/usc/119-118/t26/s6707/</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(b)(2): "an amount equal to the greater of—(A) $200,000, or (B) 50 percent of the gross income derived by such person with respect to aid, assistance, or advice …"; "Subparagraph (B) shall be applied by substituting '75 percent' for '50 percent' in the case of an intentional failure or act described in subsection (a)"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26 U.S.C. § 6707A</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https://uscode.house.gov/us/usc/119-118/t26/s6707A/ (current through Pub. L. 119-120, Oct. 7, 2026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(a)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(b)(1) "75 percent of the decrease in tax shown on the return as a result of such transaction (or which would have resulted from such transaction if such transaction were respected for Federal tax purposes)"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(b)(2) $200,000 / $100,000 listed; $50,000 / $10,000 other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(b)(3) $10,000 / $5,000 floor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(c)(2) listed transaction defined as "a reportable transaction which is the same as, or substantially similar to, a transaction specifically identified by the Secretary as a tax avoidance transaction for purposes of section 6011"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Notice 2005-11 and IRS practice unit: no reasonable cause; rescission "applies only to reportable transactions that are not listed transactions"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26 U.S.C. § 6708</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https://www.law.cornell.edu/uscode/text/26/6708</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"$10,000 for each day of such failure after such 20th day"; reasonable-cause exception; "in addition to any other penalty"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26 U.S.C. §§ 6700, 6701</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https://www.law.cornell.edu/uscode/text/26/6700; …/6701</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 6700(a)(1)-(2) structure incl. "knows or has reason to know is false or fraudulent as to any material matter"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 6701(a)(1)-(3) structure incl. "would result in an understatement of the liability for tax of another person"; $1,000 / $10,000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Instructions for Form 8886 (Rev. Oct. 2022)</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https://www.irs.gov/instructions/i8886</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"You have participated in a listed transaction if any of the following applies" and the three alternatives, incl. "You are in a type or class of individuals or entities that published guidance treats as participants in a listed transaction"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Instructions for Form 8918 (Rev. Nov. 2021)</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https://www.irs.gov/instructions/i8918</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"Generally, every material advisor to a reportable transaction is required to file Form 8918"; no filing "unless a taxpayer to whom or for whose benefit you provided the tax statement … entered into the reportable transaction"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Notices 2015-47 and 2015-48 (2015-30 I.R.B. 76, 77); Notices 2015-73 and 2015-74 (2015-46 I.R.B. 660, 663)</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https://www.irs.gov/pub/irs-drop/n-15-47.pdf, n-15-48.pdf, n-15-73.pdf, n-15-74.pdf; https://www.irs.gov/irb/2015-46_IRB</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2015-74 participation sentence and closed list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2015-73 parallel list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"Notice 2015-73 revokes Notice 2015-47"; "Notice 2015-74 revokes Notice 2015-48"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KPMG 2015 description of the four classes </w:t>
            </w:r>
            <w:r>
              <w:rPr>
                <w:rFonts w:ascii="Times New Roman" w:cs="Times New Roman" w:eastAsia="Times New Roman" w:hAnsi="Times New Roman"/>
                <w:b/>
                <w:bCs/>
                <w:color w:val="1B5E20"/>
                <w:sz w:val="19"/>
                <w:szCs w:val="19"/>
              </w:rPr>
              <w:t xml:space="preserve">[V, secondary]</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REG-102161-23, 89 FR 57111 (July 12, 2024), proposed § 1.6011-16</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https://www.federalregister.gov/documents/2024/07/12/2024-14787/identification-of-basket-contract-transactions-as-listed-transactions</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Obsoletes Notice 2015-74 as of July 12, 2024; "These proposed regulations do not obsolete, revoke, or modify Notice 2015-73"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counterparty-only exceptions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partner/member rules "generally consistent with Notice 2015-73 and Notice 2015-74"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designee exclusions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Notice 2025-22 (Apr. 14, 2025); Notice 2025-36; Notice 2026-58 (Sept. 29, 2026)</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https://www.irs.gov/pub/irs-drop/n-25-22.pdf; n-25-36.pdf; n-26-58.pdf</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2025-22 obsoletes nine items including "Notice 2015-73—Listing notice for basket option contracts (2015-46 IRB 660)" </w:t>
            </w:r>
            <w:r>
              <w:rPr>
                <w:rFonts w:ascii="Times New Roman" w:cs="Times New Roman" w:eastAsia="Times New Roman" w:hAnsi="Times New Roman"/>
                <w:b/>
                <w:bCs/>
                <w:color w:val="1B5E20"/>
                <w:sz w:val="19"/>
                <w:szCs w:val="19"/>
              </w:rPr>
              <w:t xml:space="preserve">[V, secondary]</w:t>
            </w:r>
            <w:r>
              <w:rPr>
                <w:rFonts w:ascii="Times New Roman" w:cs="Times New Roman" w:eastAsia="Times New Roman" w:hAnsi="Times New Roman"/>
                <w:b w:val="false"/>
                <w:bCs w:val="false"/>
                <w:i w:val="false"/>
                <w:iCs w:val="false"/>
                <w:sz w:val="19"/>
                <w:szCs w:val="19"/>
              </w:rPr>
              <w:t xml:space="preserve">; 2025-36 and 2026-58 lists not read in full; no hit for 2005-13 or 2008-34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Notice 2001-16 (2001-9 I.R.B. 730 </w:t>
            </w:r>
            <w:r>
              <w:rPr>
                <w:rFonts w:ascii="Times New Roman" w:cs="Times New Roman" w:eastAsia="Times New Roman" w:hAnsi="Times New Roman"/>
                <w:b/>
                <w:bCs/>
                <w:color w:val="B71C1C"/>
                <w:sz w:val="19"/>
                <w:szCs w:val="19"/>
              </w:rPr>
              <w:t xml:space="preserve">[U]</w:t>
            </w:r>
            <w:r>
              <w:rPr>
                <w:rFonts w:ascii="Times New Roman" w:cs="Times New Roman" w:eastAsia="Times New Roman" w:hAnsi="Times New Roman"/>
                <w:b w:val="false"/>
                <w:bCs w:val="false"/>
                <w:i w:val="false"/>
                <w:iCs w:val="false"/>
                <w:sz w:val="19"/>
                <w:szCs w:val="19"/>
              </w:rPr>
              <w:t xml:space="preserve">); Notice 2008-20 (2008-6 I.R.B. 406); Notice 2008-111 (2008-51 I.R.B. 1288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https://www.irs.gov/pub/irs-drop/n-01-16.pdf; n-08-20.pdf; n-08-111.pdf; https://www.irs.gov/irb/2008-51_IRB</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2008-20 "identifying the persons who are treated as participants in an Intermediary Transaction Tax Shelter under § 1.6011-4(c)(3)(i)(A)"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2008-111 "with respect to a particular person" sentences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knowledge test and presumptions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 public-stock safe harbor </w:t>
            </w:r>
            <w:r>
              <w:rPr>
                <w:rFonts w:ascii="Times New Roman" w:cs="Times New Roman" w:eastAsia="Times New Roman" w:hAnsi="Times New Roman"/>
                <w:b/>
                <w:bCs/>
                <w:color w:val="1B5E20"/>
                <w:sz w:val="19"/>
                <w:szCs w:val="19"/>
              </w:rPr>
              <w:t xml:space="preserve">[V]</w:t>
            </w:r>
            <w:r>
              <w:rPr>
                <w:rFonts w:ascii="Times New Roman" w:cs="Times New Roman" w:eastAsia="Times New Roman" w:hAnsi="Times New Roman"/>
                <w:b w:val="false"/>
                <w:bCs w:val="false"/>
                <w:i w:val="false"/>
                <w:iCs w:val="false"/>
                <w:sz w:val="19"/>
                <w:szCs w:val="19"/>
              </w:rPr>
              <w:t xml:space="preserve">; section 6 penalties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REG-109348-22 (Aug. 4, 2023), proposed § 1.6011-13</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https://www.federalregister.gov/documents/2023/08/04/2023-16650/identification-of-monetized-installment-sale-transactions-as-listed-transactions</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Seller, intermediary and "purported lender" as participants; buyer "would not be treated as a participant," comments requested </w:t>
            </w:r>
            <w:r>
              <w:rPr>
                <w:rFonts w:ascii="Times New Roman" w:cs="Times New Roman" w:eastAsia="Times New Roman" w:hAnsi="Times New Roman"/>
                <w:b/>
                <w:bCs/>
                <w:color w:val="B26A00"/>
                <w:sz w:val="19"/>
                <w:szCs w:val="19"/>
              </w:rPr>
              <w:t xml:space="preserve">[P]</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Mann Construction, Inc. v. United States, 27 F.4th 1138 (6th Cir. 2022); Green Valley Investors, LLC v. Commissioner, 159 T.C. No. 5 (2022); CIC Services, LLC v. IRS (E.D. Tenn. 2026)</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secondary summaries only</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Notice-based listings (Notice 2007-83; Notice 2017-10) set aside for lack of notice-and-comment; IRS re-listing by regulation; 2026 district court upheld the micro-captive regulations </w:t>
            </w:r>
            <w:r>
              <w:rPr>
                <w:rFonts w:ascii="Times New Roman" w:cs="Times New Roman" w:eastAsia="Times New Roman" w:hAnsi="Times New Roman"/>
                <w:b/>
                <w:bCs/>
                <w:color w:val="1B5E20"/>
                <w:sz w:val="19"/>
                <w:szCs w:val="19"/>
              </w:rPr>
              <w:t xml:space="preserve">[V, secondary]</w:t>
            </w:r>
            <w:r>
              <w:rPr>
                <w:rFonts w:ascii="Times New Roman" w:cs="Times New Roman" w:eastAsia="Times New Roman" w:hAnsi="Times New Roman"/>
                <w:b w:val="false"/>
                <w:bCs w:val="false"/>
                <w:i w:val="false"/>
                <w:iCs w:val="false"/>
                <w:sz w:val="19"/>
                <w:szCs w:val="19"/>
              </w:rPr>
              <w:t xml:space="preserve">.</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Notice 2026-62 (Sept. 28, 2026), 2026-43 I.R.B. (Oct. 19, 2026)</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https://www.irs.gov/pub/irs-drop/n-26-62.pdf (failed); IRS GovDelivery bulletin; EY, Dechert, KPMG, Morgan Lewis, Ropes &amp; Gray summaries</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Comments requested by October 28, 2026; no transaction listed; retroactive authority reserved under § 7805(b)(3) </w:t>
            </w:r>
            <w:r>
              <w:rPr>
                <w:rFonts w:ascii="Times New Roman" w:cs="Times New Roman" w:eastAsia="Times New Roman" w:hAnsi="Times New Roman"/>
                <w:b/>
                <w:bCs/>
                <w:color w:val="1B5E20"/>
                <w:sz w:val="19"/>
                <w:szCs w:val="19"/>
              </w:rPr>
              <w:t xml:space="preserve">[V, secondary]</w:t>
            </w:r>
            <w:r>
              <w:rPr>
                <w:rFonts w:ascii="Times New Roman" w:cs="Times New Roman" w:eastAsia="Times New Roman" w:hAnsi="Times New Roman"/>
                <w:b w:val="false"/>
                <w:bCs w:val="false"/>
                <w:i w:val="false"/>
                <w:iCs w:val="false"/>
                <w:sz w:val="19"/>
                <w:szCs w:val="19"/>
              </w:rPr>
              <w:t xml:space="preserve">. No summary addressed counterparties, lenders or material advisors.</w:t>
            </w:r>
          </w:p>
        </w:tc>
      </w:tr>
      <w:tr>
        <w:trPr>
          <w:cantSplit w:val="false"/>
          <w:tblHeader w:val="false"/>
        </w:trPr>
        <w:tc>
          <w:tcPr>
            <w:tcW w:type="dxa" w:w="2520"/>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Secondary leads only</w:t>
            </w:r>
          </w:p>
        </w:tc>
        <w:tc>
          <w:tcPr>
            <w:tcW w:type="dxa" w:w="2736"/>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Wood LLP, "LILOs, SILOs and Business Purpose"; Seventh Circuit opinion via FindLaw; The Tax Adviser (Mar. 2009; Aug. 2016); Seward &amp; Kissel; Mondaq; EisnerAmper; KPMG; Grant Thornton; Haynes Boone</w:t>
            </w:r>
          </w:p>
        </w:tc>
        <w:tc>
          <w:tcPr>
            <w:tcW w:type="dxa" w:w="4824"/>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9"/>
                <w:szCs w:val="19"/>
              </w:rPr>
              <w:t xml:space="preserve">Accommodation-fee range (about 4 to 8 percent); typical parties; descriptions of participant lists.</w:t>
            </w:r>
          </w:p>
        </w:tc>
      </w:tr>
    </w:tbl>
    <w:p>
      <w:pPr>
        <w:spacing w:after="120"/>
      </w:pPr>
    </w:p>
    <w:p>
      <w:pPr>
        <w:pStyle w:val="Heading1"/>
        <w:keepNext/>
        <w:spacing w:after="140" w:before="300"/>
      </w:pPr>
      <w:r>
        <w:rPr>
          <w:rFonts w:ascii="Times New Roman" w:cs="Times New Roman" w:eastAsia="Times New Roman" w:hAnsi="Times New Roman"/>
          <w:b/>
          <w:bCs/>
          <w:color w:val="000000"/>
          <w:sz w:val="26"/>
          <w:szCs w:val="26"/>
        </w:rPr>
        <w:t xml:space="preserve">8. Open questions / things to confirm yourself</w:t>
      </w:r>
    </w:p>
    <w:p>
      <w:pPr>
        <w:pStyle w:val="ListParagraph"/>
        <w:numPr>
          <w:ilvl w:val="0"/>
          <w:numId w:val="2"/>
        </w:numPr>
        <w:spacing w:after="100" w:line="264"/>
      </w:pPr>
      <w:r>
        <w:rPr>
          <w:rFonts w:ascii="Times New Roman" w:cs="Times New Roman" w:eastAsia="Times New Roman" w:hAnsi="Times New Roman"/>
          <w:b w:val="false"/>
          <w:bCs w:val="false"/>
          <w:i w:val="false"/>
          <w:iCs w:val="false"/>
          <w:sz w:val="22"/>
          <w:szCs w:val="22"/>
        </w:rPr>
        <w:t xml:space="preserve">Pull n-05-13.pdf and quote its listing and penalty paragraph verbatim; confirm whether it cites §§ 6707A and 6662A (it post-dates AJCA) or only §§ 6707(a) and 6708(a), whether it mentions §§ 6700/6701 or § 470, and what letter it assigns to the tax-indifferent person.</w:t>
      </w:r>
    </w:p>
    <w:p>
      <w:pPr>
        <w:pStyle w:val="ListParagraph"/>
        <w:numPr>
          <w:ilvl w:val="0"/>
          <w:numId w:val="2"/>
        </w:numPr>
        <w:spacing w:after="100" w:line="264"/>
      </w:pPr>
      <w:r>
        <w:rPr>
          <w:rFonts w:ascii="Times New Roman" w:cs="Times New Roman" w:eastAsia="Times New Roman" w:hAnsi="Times New Roman"/>
          <w:b w:val="false"/>
          <w:bCs w:val="false"/>
          <w:i w:val="false"/>
          <w:iCs w:val="false"/>
          <w:sz w:val="22"/>
          <w:szCs w:val="22"/>
        </w:rPr>
        <w:t xml:space="preserve">Pull n-08-34.pdf and confirm the penalty-paragraph punctuation and the phrase "lists of investors" (versus "advisees"); confirm there is no "participants" paragraph.</w:t>
      </w:r>
    </w:p>
    <w:p>
      <w:pPr>
        <w:pStyle w:val="ListParagraph"/>
        <w:numPr>
          <w:ilvl w:val="0"/>
          <w:numId w:val="2"/>
        </w:numPr>
        <w:spacing w:after="100" w:line="264"/>
      </w:pPr>
      <w:r>
        <w:rPr>
          <w:rFonts w:ascii="Times New Roman" w:cs="Times New Roman" w:eastAsia="Times New Roman" w:hAnsi="Times New Roman"/>
          <w:b w:val="false"/>
          <w:bCs w:val="false"/>
          <w:i w:val="false"/>
          <w:iCs w:val="false"/>
          <w:sz w:val="22"/>
          <w:szCs w:val="22"/>
        </w:rPr>
        <w:t xml:space="preserve">Read the T.D. 9350 and REG-103038-05 preambles for the "other types or classes of persons" explanation and confirm T.D. 9046 (2003) lacked those sentences.</w:t>
      </w:r>
    </w:p>
    <w:p>
      <w:pPr>
        <w:pStyle w:val="ListParagraph"/>
        <w:numPr>
          <w:ilvl w:val="0"/>
          <w:numId w:val="2"/>
        </w:numPr>
        <w:spacing w:after="100" w:line="264"/>
      </w:pPr>
      <w:r>
        <w:rPr>
          <w:rFonts w:ascii="Times New Roman" w:cs="Times New Roman" w:eastAsia="Times New Roman" w:hAnsi="Times New Roman"/>
          <w:b w:val="false"/>
          <w:bCs w:val="false"/>
          <w:i w:val="false"/>
          <w:iCs w:val="false"/>
          <w:sz w:val="22"/>
          <w:szCs w:val="22"/>
        </w:rPr>
        <w:t xml:space="preserve">Read § 301.6111-3(b)(2)(i)(A)–(D) and (b)(5) in the eCFR and confirm the section contains no examples.</w:t>
      </w:r>
    </w:p>
    <w:p>
      <w:pPr>
        <w:pStyle w:val="ListParagraph"/>
        <w:numPr>
          <w:ilvl w:val="0"/>
          <w:numId w:val="2"/>
        </w:numPr>
        <w:spacing w:after="100" w:line="264"/>
      </w:pPr>
      <w:r>
        <w:rPr>
          <w:rFonts w:ascii="Times New Roman" w:cs="Times New Roman" w:eastAsia="Times New Roman" w:hAnsi="Times New Roman"/>
          <w:b w:val="false"/>
          <w:bCs w:val="false"/>
          <w:i w:val="false"/>
          <w:iCs w:val="false"/>
          <w:sz w:val="22"/>
          <w:szCs w:val="22"/>
        </w:rPr>
        <w:t xml:space="preserve">Confirm whether final regulations under § 1.6011-16 have been published; if not, determine the effect of Notice 2025-22's obsoleting of Notice 2015-73 on the basket-option listing and on counterparty disclosure.</w:t>
      </w:r>
    </w:p>
    <w:p>
      <w:pPr>
        <w:pStyle w:val="ListParagraph"/>
        <w:numPr>
          <w:ilvl w:val="0"/>
          <w:numId w:val="2"/>
        </w:numPr>
        <w:spacing w:after="100" w:line="264"/>
      </w:pPr>
      <w:r>
        <w:rPr>
          <w:rFonts w:ascii="Times New Roman" w:cs="Times New Roman" w:eastAsia="Times New Roman" w:hAnsi="Times New Roman"/>
          <w:b w:val="false"/>
          <w:bCs w:val="false"/>
          <w:i w:val="false"/>
          <w:iCs w:val="false"/>
          <w:sz w:val="22"/>
          <w:szCs w:val="22"/>
        </w:rPr>
        <w:t xml:space="preserve">Read the full lists in Notices 2025-36 and 2026-58 to confirm Notices 2005-13 and 2008-34 were not obsoleted, and re-check the IRS listed-transactions page the day the memo is finalized.</w:t>
      </w:r>
    </w:p>
    <w:p>
      <w:pPr>
        <w:pStyle w:val="ListParagraph"/>
        <w:numPr>
          <w:ilvl w:val="0"/>
          <w:numId w:val="2"/>
        </w:numPr>
        <w:spacing w:after="100" w:line="264"/>
      </w:pPr>
      <w:r>
        <w:rPr>
          <w:rFonts w:ascii="Times New Roman" w:cs="Times New Roman" w:eastAsia="Times New Roman" w:hAnsi="Times New Roman"/>
          <w:b w:val="false"/>
          <w:bCs w:val="false"/>
          <w:i w:val="false"/>
          <w:iCs w:val="false"/>
          <w:sz w:val="22"/>
          <w:szCs w:val="22"/>
        </w:rPr>
        <w:t xml:space="preserve">Retrieve the Notice 2008-111 role-by-role participant paragraph and section 5 safe harbors to quote the buyer treatment precisely.</w:t>
      </w:r>
    </w:p>
    <w:p>
      <w:pPr>
        <w:pStyle w:val="ListParagraph"/>
        <w:numPr>
          <w:ilvl w:val="0"/>
          <w:numId w:val="2"/>
        </w:numPr>
        <w:spacing w:after="100" w:line="264"/>
      </w:pPr>
      <w:r>
        <w:rPr>
          <w:rFonts w:ascii="Times New Roman" w:cs="Times New Roman" w:eastAsia="Times New Roman" w:hAnsi="Times New Roman"/>
          <w:b w:val="false"/>
          <w:bCs w:val="false"/>
          <w:i w:val="false"/>
          <w:iCs w:val="false"/>
          <w:sz w:val="22"/>
          <w:szCs w:val="22"/>
        </w:rPr>
        <w:t xml:space="preserve">Consider the trust-return angle for DAT trustees (section 4) and state why a fund-side prime broker, securities lender or swap counterparty can have no return that "reflects" a listed strategy.</w:t>
      </w:r>
    </w:p>
    <w:p>
      <w:pPr>
        <w:pStyle w:val="ListParagraph"/>
        <w:numPr>
          <w:ilvl w:val="0"/>
          <w:numId w:val="2"/>
        </w:numPr>
        <w:spacing w:after="100" w:line="264"/>
      </w:pPr>
      <w:r>
        <w:rPr>
          <w:rFonts w:ascii="Times New Roman" w:cs="Times New Roman" w:eastAsia="Times New Roman" w:hAnsi="Times New Roman"/>
          <w:b w:val="false"/>
          <w:bCs w:val="false"/>
          <w:i w:val="false"/>
          <w:iCs w:val="false"/>
          <w:sz w:val="22"/>
          <w:szCs w:val="22"/>
        </w:rPr>
        <w:t xml:space="preserve">Read Notice 2026-62 itself for any reference to counterparties, dealers or material advisors, and consider a comment by October 28, 2026 urging a closed participant list that excludes lenders and trading counterparties, citing the basket-contract exceptions and the monetized-installment-sale buyer exclusion as drafting precedents.</w:t>
      </w:r>
    </w:p>
    <w:p>
      <w:pPr>
        <w:pStyle w:val="ListParagraph"/>
        <w:numPr>
          <w:ilvl w:val="0"/>
          <w:numId w:val="2"/>
        </w:numPr>
        <w:spacing w:after="100" w:line="264"/>
      </w:pPr>
      <w:r>
        <w:rPr>
          <w:rFonts w:ascii="Times New Roman" w:cs="Times New Roman" w:eastAsia="Times New Roman" w:hAnsi="Times New Roman"/>
          <w:b w:val="false"/>
          <w:bCs w:val="false"/>
          <w:i w:val="false"/>
          <w:iCs w:val="false"/>
          <w:sz w:val="22"/>
          <w:szCs w:val="22"/>
        </w:rPr>
        <w:t xml:space="preserve">Note for the memo that the SILO and DAT listings rest on notices never re-issued as regulations after Mann Construction and Green Valley; that bears on § 6707A and § 6662A exposure for any party, not on who is a participant.</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Counterparty / facilitation party reporting obligations in the SILO and DAT listed transactions</dc:title>
  <dc:creator>Research memo</dc:creator>
  <cp:lastModifiedBy>Un-named</cp:lastModifiedBy>
  <cp:revision>1</cp:revision>
  <dcterms:created xsi:type="dcterms:W3CDTF">2026-10-20T19:54:04.841Z</dcterms:created>
  <dcterms:modified xsi:type="dcterms:W3CDTF">2026-10-20T19:54:04.909Z</dcterms:modified>
</cp:coreProperties>
</file>

<file path=docProps/custom.xml><?xml version="1.0" encoding="utf-8"?>
<Properties xmlns="http://schemas.openxmlformats.org/officeDocument/2006/custom-properties" xmlns:vt="http://schemas.openxmlformats.org/officeDocument/2006/docPropsVTypes"/>
</file>