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2937"/>
          <w:sz w:val="40"/>
          <w:szCs w:val="40"/>
        </w:rPr>
        <w:t xml:space="preserve">Hindsight Alpha</w:t>
      </w:r>
    </w:p>
    <w:p>
      <w:pPr>
        <w:spacing w:after="160"/>
      </w:pPr>
      <w:r>
        <w:rPr>
          <w:color w:val="6B7280"/>
          <w:sz w:val="18"/>
          <w:szCs w:val="18"/>
        </w:rPr>
        <w:t xml:space="preserve">Alpaca AI Trading Agents Hackathon — One-Page Write-Up  ·  Team: Hindsight Alpha (solo)  ·  </w:t>
      </w:r>
      <w:r>
        <w:rPr>
          <w:color w:val="0F766E"/>
          <w:sz w:val="18"/>
          <w:szCs w:val="18"/>
        </w:rPr>
        <w:t xml:space="preserve">github.com/s-papy/hindsight-alpha</w:t>
      </w:r>
    </w:p>
    <w:p>
      <w:pPr>
        <w:spacing w:after="100" w:before="0"/>
      </w:pPr>
      <w:r>
        <w:rPr>
          <w:b w:val="false"/>
          <w:bCs w:val="false"/>
          <w:i w:val="false"/>
          <w:iCs w:val="false"/>
          <w:sz w:val="19"/>
          <w:szCs w:val="19"/>
        </w:rPr>
        <w:t xml:space="preserve">An agent that sweeps candidate parameters and trades the best-scoring one can look validated while silently cheating: if the scoring window includes data that wouldn't have been knowable yet at decision time, the “winner” only wins in hindsight. </w:t>
      </w:r>
      <w:r>
        <w:rPr>
          <w:b/>
          <w:bCs/>
          <w:i w:val="false"/>
          <w:iCs w:val="false"/>
          <w:sz w:val="19"/>
          <w:szCs w:val="19"/>
        </w:rPr>
        <w:t xml:space="preserve">Hindsight Alpha</w:t>
      </w:r>
      <w:r>
        <w:rPr>
          <w:b w:val="false"/>
          <w:bCs w:val="false"/>
          <w:i w:val="false"/>
          <w:iCs w:val="false"/>
          <w:sz w:val="19"/>
          <w:szCs w:val="19"/>
        </w:rPr>
        <w:t xml:space="preserve"> is an options-trading agent built around a single question asked before every trade: </w:t>
      </w:r>
      <w:r>
        <w:rPr>
          <w:b w:val="false"/>
          <w:bCs w:val="false"/>
          <w:i/>
          <w:iCs/>
          <w:sz w:val="19"/>
          <w:szCs w:val="19"/>
        </w:rPr>
        <w:t xml:space="preserve">would this same parameter still win if scored only on what was actually knowable beforehand?</w:t>
      </w:r>
      <w:r>
        <w:rPr>
          <w:b w:val="false"/>
          <w:bCs w:val="false"/>
          <w:i w:val="false"/>
          <w:iCs w:val="false"/>
          <w:sz w:val="19"/>
          <w:szCs w:val="19"/>
        </w:rPr>
        <w:t xml:space="preserve"> If the answer is no, the agent refuses to trade and says why — that refusal is the product, not a fallback.</w:t>
      </w:r>
    </w:p>
    <w:p>
      <w:pPr>
        <w:pBdr>
          <w:bottom w:val="single" w:color="0F766E" w:sz="6" w:space="2"/>
        </w:pBdr>
        <w:spacing w:after="60" w:before="140"/>
      </w:pPr>
      <w:r>
        <w:rPr>
          <w:b/>
          <w:bCs/>
          <w:caps/>
          <w:color w:val="1F2937"/>
          <w:sz w:val="22"/>
          <w:szCs w:val="22"/>
        </w:rPr>
        <w:t xml:space="preserve">AI Logic</w:t>
      </w:r>
    </w:p>
    <w:p>
      <w:pPr>
        <w:spacing w:after="60" w:before="0"/>
      </w:pPr>
      <w:r>
        <w:rPr>
          <w:b w:val="false"/>
          <w:bCs w:val="false"/>
          <w:i w:val="false"/>
          <w:iCs w:val="false"/>
          <w:sz w:val="19"/>
          <w:szCs w:val="19"/>
        </w:rPr>
        <w:t xml:space="preserve">Universe: </w:t>
      </w:r>
      <w:r>
        <w:rPr>
          <w:b/>
          <w:bCs/>
          <w:i w:val="false"/>
          <w:iCs w:val="false"/>
          <w:sz w:val="19"/>
          <w:szCs w:val="19"/>
        </w:rPr>
        <w:t xml:space="preserve">SPY, GLD, XLK, XLV</w:t>
      </w:r>
      <w:r>
        <w:rPr>
          <w:b w:val="false"/>
          <w:bCs w:val="false"/>
          <w:i w:val="false"/>
          <w:iCs w:val="false"/>
          <w:sz w:val="19"/>
          <w:szCs w:val="19"/>
        </w:rPr>
        <w:t xml:space="preserve"> (broad market, commodities, tech, healthcare — deliberately uncorrelated sectors, not three flavors of the same S&amp;P bet). For each symbol, every cycle:</w:t>
      </w:r>
    </w:p>
    <w:p>
      <w:pPr>
        <w:pStyle w:val="ListParagraph"/>
        <w:numPr>
          <w:ilvl w:val="0"/>
          <w:numId w:val="1"/>
        </w:numPr>
        <w:spacing w:after="40"/>
      </w:pPr>
      <w:r>
        <w:rPr>
          <w:b w:val="false"/>
          <w:bCs w:val="false"/>
          <w:i w:val="false"/>
          <w:iCs w:val="false"/>
          <w:sz w:val="19"/>
          <w:szCs w:val="19"/>
        </w:rPr>
        <w:t xml:space="preserve">1. Fetch daily bars → sweep 5 candidate historical-volatility windows (10/20/30/60/90d) for a “buy optionality when realized vol is cheap vs. its own 1-year history” rule — options-native: the call is about volatility regime, not direction dressed up as an option.</w:t>
      </w:r>
    </w:p>
    <w:p>
      <w:pPr>
        <w:pStyle w:val="ListParagraph"/>
        <w:numPr>
          <w:ilvl w:val="0"/>
          <w:numId w:val="1"/>
        </w:numPr>
        <w:spacing w:after="40"/>
      </w:pPr>
      <w:r>
        <w:rPr>
          <w:b w:val="false"/>
          <w:bCs w:val="false"/>
          <w:i w:val="false"/>
          <w:iCs w:val="false"/>
          <w:sz w:val="19"/>
          <w:szCs w:val="19"/>
        </w:rPr>
        <w:t xml:space="preserve">2. </w:t>
      </w:r>
      <w:r>
        <w:rPr>
          <w:b/>
          <w:bCs/>
          <w:i w:val="false"/>
          <w:iCs w:val="false"/>
          <w:sz w:val="19"/>
          <w:szCs w:val="19"/>
        </w:rPr>
        <w:t xml:space="preserve">hindsight_guard.check_selection_leakage()</w:t>
      </w:r>
      <w:r>
        <w:rPr>
          <w:b w:val="false"/>
          <w:bCs w:val="false"/>
          <w:i w:val="false"/>
          <w:iCs w:val="false"/>
          <w:sz w:val="19"/>
          <w:szCs w:val="19"/>
        </w:rPr>
        <w:t xml:space="preserve"> scores every window twice — full history vs. in-sample only (holding out the most recent 20 bars) — and compares winners. Disagreement, or no candidate clearing the Sharpe bar in-sample, </w:t>
      </w:r>
      <w:r>
        <w:rPr>
          <w:b/>
          <w:bCs/>
          <w:i w:val="false"/>
          <w:iCs w:val="false"/>
          <w:sz w:val="19"/>
          <w:szCs w:val="19"/>
        </w:rPr>
        <w:t xml:space="preserve">means no trade</w:t>
      </w:r>
      <w:r>
        <w:rPr>
          <w:b w:val="false"/>
          <w:bCs w:val="false"/>
          <w:i w:val="false"/>
          <w:iCs w:val="false"/>
          <w:sz w:val="19"/>
          <w:szCs w:val="19"/>
        </w:rPr>
        <w:t xml:space="preserve">, logged with the reason.</w:t>
      </w:r>
    </w:p>
    <w:p>
      <w:pPr>
        <w:pStyle w:val="ListParagraph"/>
        <w:numPr>
          <w:ilvl w:val="0"/>
          <w:numId w:val="1"/>
        </w:numPr>
        <w:spacing w:after="40"/>
      </w:pPr>
      <w:r>
        <w:rPr>
          <w:b w:val="false"/>
          <w:bCs w:val="false"/>
          <w:i w:val="false"/>
          <w:iCs w:val="false"/>
          <w:sz w:val="19"/>
          <w:szCs w:val="19"/>
        </w:rPr>
        <w:t xml:space="preserve">3. If vetted, checks today's regime with the trusted window; if cheap, a short-term momentum tiebreak picks call/put and the agent selects a near-the-money contract (7–21 DTE).</w:t>
      </w:r>
    </w:p>
    <w:p>
      <w:pPr>
        <w:spacing w:after="60" w:before="0"/>
      </w:pPr>
      <w:r>
        <w:rPr>
          <w:b w:val="false"/>
          <w:bCs w:val="false"/>
          <w:i w:val="false"/>
          <w:iCs w:val="false"/>
          <w:sz w:val="19"/>
          <w:szCs w:val="19"/>
        </w:rPr>
        <w:t xml:space="preserve">Honest result (real historical bars, current 4-symbol universe): edge holds up cleanly on </w:t>
      </w:r>
      <w:r>
        <w:rPr>
          <w:b/>
          <w:bCs/>
          <w:i w:val="false"/>
          <w:iCs w:val="false"/>
          <w:color w:val="B91C1C"/>
          <w:sz w:val="19"/>
          <w:szCs w:val="19"/>
        </w:rPr>
        <w:t xml:space="preserve">3 of 4 symbols</w:t>
      </w:r>
      <w:r>
        <w:rPr>
          <w:b w:val="false"/>
          <w:bCs w:val="false"/>
          <w:i w:val="false"/>
          <w:iCs w:val="false"/>
          <w:sz w:val="19"/>
          <w:szCs w:val="19"/>
        </w:rPr>
        <w:t xml:space="preserve"> — SPY (10d, in-sample Sharpe 1.60), GLD (20d, 1.96), XLV (10d, 1.44); 68.5–82.6% of each symbol’s gain comes from its 5 best days out of 52–102 trades, win rate 45.1–57.1%. </w:t>
      </w:r>
      <w:r>
        <w:rPr>
          <w:b/>
          <w:bCs/>
          <w:i w:val="false"/>
          <w:iCs w:val="false"/>
          <w:sz w:val="19"/>
          <w:szCs w:val="19"/>
        </w:rPr>
        <w:t xml:space="preserve">XLK currently fails hindsight_guard</w:t>
      </w:r>
      <w:r>
        <w:rPr>
          <w:b w:val="false"/>
          <w:bCs w:val="false"/>
          <w:i w:val="false"/>
          <w:iCs w:val="false"/>
          <w:sz w:val="19"/>
          <w:szCs w:val="19"/>
        </w:rPr>
        <w:t xml:space="preserve"> (full-window winner 90d, in-sample winner 10d disagree) — the agent refuses to trade it today; that refusal is the guard working, not a result being hidden. High concentration means a handful of large moves carry most of each total: a positive result from ~100 trades doesn’t distinguish edge from luck yet, and the costs this proxy ignores (spread, theta) would bite hardest on what remains once those days are removed. No threshold was adjusted after seeing these numbers.</w:t>
      </w:r>
    </w:p>
    <w:p>
      <w:pPr>
        <w:pBdr>
          <w:bottom w:val="single" w:color="0F766E" w:sz="6" w:space="2"/>
        </w:pBdr>
        <w:spacing w:after="60" w:before="140"/>
      </w:pPr>
      <w:r>
        <w:rPr>
          <w:b/>
          <w:bCs/>
          <w:caps/>
          <w:color w:val="1F2937"/>
          <w:sz w:val="22"/>
          <w:szCs w:val="22"/>
        </w:rPr>
        <w:t xml:space="preserve">Risk Guardrails</w:t>
      </w:r>
    </w:p>
    <w:p>
      <w:pPr>
        <w:pStyle w:val="ListParagraph"/>
        <w:numPr>
          <w:ilvl w:val="0"/>
          <w:numId w:val="1"/>
        </w:numPr>
        <w:spacing w:after="40"/>
      </w:pPr>
      <w:r>
        <w:rPr>
          <w:b w:val="false"/>
          <w:bCs w:val="false"/>
          <w:i w:val="false"/>
          <w:iCs w:val="false"/>
          <w:sz w:val="19"/>
          <w:szCs w:val="19"/>
        </w:rPr>
        <w:t xml:space="preserve">Entry (risk_gates.py): never 2 positions on the same underlying • max 4 concurrent positions • 1% of equity per trade • 3% total exposure cap across ALL open positions combined • 1.5% per-sector cap • 3% drawdown lock (from recorded starting equity — there is no week-boundary reset) persisted across days in state.json.</w:t>
      </w:r>
    </w:p>
    <w:p>
      <w:pPr>
        <w:pStyle w:val="ListParagraph"/>
        <w:numPr>
          <w:ilvl w:val="0"/>
          <w:numId w:val="1"/>
        </w:numPr>
        <w:spacing w:after="40"/>
      </w:pPr>
      <w:r>
        <w:rPr>
          <w:b w:val="false"/>
          <w:bCs w:val="false"/>
          <w:i w:val="false"/>
          <w:iCs w:val="false"/>
          <w:sz w:val="19"/>
          <w:szCs w:val="19"/>
        </w:rPr>
        <w:t xml:space="preserve">Exit: manage_exits() closes any position at +50%/−50% unrealized P&amp;L, runs first every cycle before any new entry is even considered; also runs standalone via monitor_exits.py, schedulable every 15 minutes independent of the once-daily entry cycle.</w:t>
      </w:r>
    </w:p>
    <w:p>
      <w:pPr>
        <w:pStyle w:val="ListParagraph"/>
        <w:numPr>
          <w:ilvl w:val="0"/>
          <w:numId w:val="1"/>
        </w:numPr>
        <w:spacing w:after="40"/>
      </w:pPr>
      <w:r>
        <w:rPr>
          <w:b w:val="false"/>
          <w:bCs w:val="false"/>
          <w:i w:val="false"/>
          <w:iCs w:val="false"/>
          <w:sz w:val="19"/>
          <w:szCs w:val="19"/>
        </w:rPr>
        <w:t xml:space="preserve">Agent-level controls (researched from a published Alpaca reference architecture + an industry failure-mode guide, then implemented, not just described): a data-quality gate refusing stale or implausible bars • a file-based manual HALT switch that pauses new entries without touching code or credentials • a local idempotency guard preventing a crash-and-retry from double-submitting an order • a consecutive-loss circuit breaker (3 stop-losses in a row pauses entries for a human to look).</w:t>
      </w:r>
    </w:p>
    <w:p>
      <w:pPr>
        <w:pStyle w:val="ListParagraph"/>
        <w:numPr>
          <w:ilvl w:val="0"/>
          <w:numId w:val="1"/>
        </w:numPr>
        <w:spacing w:after="40"/>
      </w:pPr>
      <w:r>
        <w:rPr>
          <w:b w:val="false"/>
          <w:bCs w:val="false"/>
          <w:i w:val="false"/>
          <w:iCs w:val="false"/>
          <w:sz w:val="19"/>
          <w:szCs w:val="19"/>
        </w:rPr>
        <w:t xml:space="preserve">Found and fixed by testing, not luck: </w:t>
      </w:r>
      <w:r>
        <w:rPr>
          <w:b w:val="false"/>
          <w:bCs w:val="false"/>
          <w:i/>
          <w:iCs/>
          <w:sz w:val="19"/>
          <w:szCs w:val="19"/>
        </w:rPr>
        <w:t xml:space="preserve">hindsight_guard itself certified a selection in which one candidate window had never been scored — _sharpe() returned 0.0 for “could not measure”, indistinguishable from a measured zero • the pre-commit control for “paper trading only” searched config.py for two words, and stayed green with the live-trading refusal deleted outright • an order whose CLI call timed out was counted as failed, leaving the duplicate-order guard unarmed for an order that may well have been placed. All three are documented, with the reproduction test, in the public commit history — not hidden after the fact.</w:t>
      </w:r>
    </w:p>
    <w:p>
      <w:pPr>
        <w:pBdr>
          <w:bottom w:val="single" w:color="0F766E" w:sz="6" w:space="2"/>
        </w:pBdr>
        <w:spacing w:after="60" w:before="140"/>
      </w:pPr>
      <w:r>
        <w:rPr>
          <w:b/>
          <w:bCs/>
          <w:caps/>
          <w:color w:val="1F2937"/>
          <w:sz w:val="22"/>
          <w:szCs w:val="22"/>
        </w:rPr>
        <w:t xml:space="preserve">Infrastructure</w:t>
      </w:r>
    </w:p>
    <w:p>
      <w:pPr>
        <w:pStyle w:val="ListParagraph"/>
        <w:numPr>
          <w:ilvl w:val="0"/>
          <w:numId w:val="1"/>
        </w:numPr>
        <w:spacing w:after="40"/>
      </w:pPr>
      <w:r>
        <w:rPr>
          <w:b/>
          <w:bCs/>
          <w:i w:val="false"/>
          <w:iCs w:val="false"/>
          <w:sz w:val="19"/>
          <w:szCs w:val="19"/>
        </w:rPr>
        <w:t xml:space="preserve">Alpaca CLI</w:t>
      </w:r>
      <w:r>
        <w:rPr>
          <w:b w:val="false"/>
          <w:bCs w:val="false"/>
          <w:i w:val="false"/>
          <w:iCs w:val="false"/>
          <w:sz w:val="19"/>
          <w:szCs w:val="19"/>
        </w:rPr>
        <w:t xml:space="preserve"> (github.com/alpacahq/cli), not the SDK — satisfies the “MCP or CLI” requirement and matches Alpaca's own guidance: CLI for scheduled/cron agents, MCP for interactive AI-host sessions.</w:t>
      </w:r>
    </w:p>
    <w:p>
      <w:pPr>
        <w:pStyle w:val="ListParagraph"/>
        <w:numPr>
          <w:ilvl w:val="0"/>
          <w:numId w:val="1"/>
        </w:numPr>
        <w:spacing w:after="40"/>
      </w:pPr>
      <w:r>
        <w:rPr>
          <w:b/>
          <w:bCs/>
          <w:i w:val="false"/>
          <w:iCs w:val="false"/>
          <w:sz w:val="19"/>
          <w:szCs w:val="19"/>
        </w:rPr>
        <w:t xml:space="preserve">decision_log.jsonl</w:t>
      </w:r>
      <w:r>
        <w:rPr>
          <w:b w:val="false"/>
          <w:bCs w:val="false"/>
          <w:i w:val="false"/>
          <w:iCs w:val="false"/>
          <w:sz w:val="19"/>
          <w:szCs w:val="19"/>
        </w:rPr>
        <w:t xml:space="preserve"> — committed (not gitignored): every run's verdicts, trades, and refusals, in plain JSON, one line per run.</w:t>
      </w:r>
    </w:p>
    <w:p>
      <w:pPr>
        <w:pStyle w:val="ListParagraph"/>
        <w:numPr>
          <w:ilvl w:val="0"/>
          <w:numId w:val="1"/>
        </w:numPr>
        <w:spacing w:after="40"/>
      </w:pPr>
      <w:r>
        <w:rPr>
          <w:b/>
          <w:bCs/>
          <w:i w:val="false"/>
          <w:iCs w:val="false"/>
          <w:sz w:val="19"/>
          <w:szCs w:val="19"/>
        </w:rPr>
        <w:t xml:space="preserve">Static dashboard</w:t>
      </w:r>
      <w:r>
        <w:rPr>
          <w:b w:val="false"/>
          <w:bCs w:val="false"/>
          <w:i w:val="false"/>
          <w:iCs w:val="false"/>
          <w:sz w:val="19"/>
          <w:szCs w:val="19"/>
        </w:rPr>
        <w:t xml:space="preserve"> (GitHub Pages, /docs) reads a locally-generated JSON snapshot — the public page never holds or calls with an API key.</w:t>
      </w:r>
    </w:p>
    <w:p>
      <w:pPr>
        <w:pStyle w:val="ListParagraph"/>
        <w:numPr>
          <w:ilvl w:val="0"/>
          <w:numId w:val="1"/>
        </w:numPr>
        <w:spacing w:after="40"/>
      </w:pPr>
      <w:r>
        <w:rPr>
          <w:b/>
          <w:bCs/>
          <w:i w:val="false"/>
          <w:iCs w:val="false"/>
          <w:sz w:val="19"/>
          <w:szCs w:val="19"/>
        </w:rPr>
        <w:t xml:space="preserve">Paper trading only, hard-enforced in config.py</w:t>
      </w:r>
      <w:r>
        <w:rPr>
          <w:b w:val="false"/>
          <w:bCs w:val="false"/>
          <w:i w:val="false"/>
          <w:iCs w:val="false"/>
          <w:sz w:val="19"/>
          <w:szCs w:val="19"/>
        </w:rPr>
        <w:t xml:space="preserve"> — refuses to run if ALPACA_LIVE_TRADE is set truthy.</w:t>
      </w:r>
    </w:p>
    <w:p>
      <w:pPr>
        <w:pBdr>
          <w:top w:val="single" w:color="D1D5DB" w:sz="4" w:space="4"/>
        </w:pBdr>
        <w:spacing w:before="140"/>
      </w:pPr>
      <w:r>
        <w:rPr>
          <w:b/>
          <w:bCs/>
          <w:color w:val="6B7280"/>
          <w:sz w:val="16"/>
          <w:szCs w:val="16"/>
        </w:rPr>
        <w:t xml:space="preserve">Repo: </w:t>
      </w:r>
      <w:r>
        <w:rPr>
          <w:color w:val="6B7280"/>
          <w:sz w:val="16"/>
          <w:szCs w:val="16"/>
        </w:rPr>
        <w:t xml:space="preserve">github.com/s-papy/hindsight-alpha</w:t>
      </w:r>
      <w:r>
        <w:rPr>
          <w:b/>
          <w:bCs/>
          <w:color w:val="6B7280"/>
          <w:sz w:val="16"/>
          <w:szCs w:val="16"/>
        </w:rPr>
        <w:t xml:space="preserve">   •   Dashboard: </w:t>
      </w:r>
      <w:r>
        <w:rPr>
          <w:color w:val="6B7280"/>
          <w:sz w:val="16"/>
          <w:szCs w:val="16"/>
        </w:rPr>
        <w:t xml:space="preserve">s-papy.github.io/hindsight-alpha</w:t>
      </w:r>
      <w:r>
        <w:rPr>
          <w:b/>
          <w:bCs/>
          <w:color w:val="6B7280"/>
          <w:sz w:val="16"/>
          <w:szCs w:val="16"/>
        </w:rPr>
        <w:t xml:space="preserve">   •   License: MIT</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2026-08-24T19:06:41.498Z</dcterms:created>
  <dcterms:modified xsi:type="dcterms:W3CDTF">2026-08-24T19:06:41.499Z</dcterms:modified>
</cp:coreProperties>
</file>

<file path=docProps/custom.xml><?xml version="1.0" encoding="utf-8"?>
<Properties xmlns="http://schemas.openxmlformats.org/officeDocument/2006/custom-properties" xmlns:vt="http://schemas.openxmlformats.org/officeDocument/2006/docPropsVTypes"/>
</file>