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25088" w14:textId="38B85C08" w:rsidR="009342B4" w:rsidRDefault="009342B4" w:rsidP="00081F60">
      <w:pPr>
        <w:pStyle w:val="Heading1"/>
        <w:spacing w:before="0"/>
      </w:pPr>
      <w:r>
        <w:rPr>
          <w:noProof/>
        </w:rPr>
        <w:drawing>
          <wp:inline distT="0" distB="0" distL="0" distR="0" wp14:anchorId="13AF6498" wp14:editId="15C00815">
            <wp:extent cx="2489200" cy="920869"/>
            <wp:effectExtent l="0" t="0" r="0" b="0"/>
            <wp:docPr id="50757672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700679" name="Graphic 1953700679"/>
                    <pic:cNvPicPr/>
                  </pic:nvPicPr>
                  <pic:blipFill rotWithShape="1"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rcRect l="1953" r="199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7497" cy="9535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16CEB6" w14:textId="7235B277" w:rsidR="001D186C" w:rsidRPr="00A879C5" w:rsidRDefault="00777C8C" w:rsidP="009342B4">
      <w:pPr>
        <w:pStyle w:val="Heading1"/>
        <w:rPr>
          <w:b/>
          <w:bCs/>
        </w:rPr>
      </w:pPr>
      <w:r w:rsidRPr="00A879C5">
        <w:rPr>
          <w:b/>
          <w:bCs/>
        </w:rPr>
        <w:t>Procédure de transmission de la base de données</w:t>
      </w:r>
    </w:p>
    <w:p w14:paraId="26A1B33B" w14:textId="77777777" w:rsidR="00777C8C" w:rsidRDefault="00777C8C" w:rsidP="00777C8C"/>
    <w:p w14:paraId="6CD9CCEB" w14:textId="53322FD3" w:rsidR="00777C8C" w:rsidRDefault="00475EA0" w:rsidP="002C4705">
      <w:pPr>
        <w:pStyle w:val="ListParagraph"/>
        <w:numPr>
          <w:ilvl w:val="0"/>
          <w:numId w:val="6"/>
        </w:numPr>
        <w:spacing w:after="360"/>
        <w:contextualSpacing w:val="0"/>
      </w:pPr>
      <w:r w:rsidRPr="00475EA0">
        <w:rPr>
          <w:b/>
          <w:bCs/>
        </w:rPr>
        <w:t>Entente de confidentialité</w:t>
      </w:r>
      <w:r>
        <w:t xml:space="preserve"> : si vous avez une entente de confidentialité à faire signer au préalable, </w:t>
      </w:r>
      <w:r w:rsidR="002C4705">
        <w:t xml:space="preserve">vous pouvez la transmettre à : </w:t>
      </w:r>
      <w:hyperlink r:id="rId9" w:history="1">
        <w:r w:rsidR="002C4705" w:rsidRPr="00174769">
          <w:rPr>
            <w:rStyle w:val="Hyperlink"/>
          </w:rPr>
          <w:t>sylvain@securitepublique.ca</w:t>
        </w:r>
      </w:hyperlink>
      <w:r w:rsidR="002C4705">
        <w:br/>
        <w:t xml:space="preserve">Même en l’absence d’une telle entente, </w:t>
      </w:r>
      <w:r w:rsidR="002C4705" w:rsidRPr="00A879C5">
        <w:rPr>
          <w:i/>
          <w:iCs/>
        </w:rPr>
        <w:t>Gestion Technologies</w:t>
      </w:r>
      <w:r w:rsidR="002C4705">
        <w:t xml:space="preserve"> s’engage à garder vos données confidentielles et à ne les utiliser que pour atteindre l’objectif d’extraire les données et de vous le</w:t>
      </w:r>
      <w:r w:rsidR="00A879C5">
        <w:t>s</w:t>
      </w:r>
      <w:r w:rsidR="002C4705">
        <w:t xml:space="preserve"> remettre</w:t>
      </w:r>
      <w:r w:rsidR="00A879C5">
        <w:t xml:space="preserve"> au format convenu au terme de l’opération</w:t>
      </w:r>
      <w:r w:rsidR="002C4705">
        <w:t xml:space="preserve">. </w:t>
      </w:r>
    </w:p>
    <w:p w14:paraId="6779C08A" w14:textId="79C1CB56" w:rsidR="00475EA0" w:rsidRPr="00475EA0" w:rsidRDefault="00475EA0" w:rsidP="00475EA0">
      <w:pPr>
        <w:pStyle w:val="ListParagraph"/>
        <w:numPr>
          <w:ilvl w:val="0"/>
          <w:numId w:val="6"/>
        </w:numPr>
        <w:spacing w:after="360"/>
        <w:contextualSpacing w:val="0"/>
      </w:pPr>
      <w:r w:rsidRPr="002C4705">
        <w:rPr>
          <w:b/>
          <w:bCs/>
        </w:rPr>
        <w:t>Se connecter</w:t>
      </w:r>
      <w:r w:rsidRPr="00475EA0">
        <w:t xml:space="preserve"> à Première Ligne avec le compte administrateur principal</w:t>
      </w:r>
    </w:p>
    <w:p w14:paraId="412B30AA" w14:textId="654344F0" w:rsidR="00475EA0" w:rsidRDefault="00475EA0" w:rsidP="00475EA0">
      <w:pPr>
        <w:pStyle w:val="ListParagraph"/>
        <w:numPr>
          <w:ilvl w:val="0"/>
          <w:numId w:val="6"/>
        </w:numPr>
        <w:spacing w:after="360"/>
        <w:contextualSpacing w:val="0"/>
      </w:pPr>
      <w:r w:rsidRPr="00475EA0">
        <w:t xml:space="preserve">Dans la barre de menus, ouvrir le menu </w:t>
      </w:r>
      <w:r w:rsidRPr="00475EA0">
        <w:rPr>
          <w:b/>
          <w:bCs/>
        </w:rPr>
        <w:t>OPTIONS</w:t>
      </w:r>
      <w:r w:rsidRPr="00475EA0">
        <w:t xml:space="preserve">, puis </w:t>
      </w:r>
      <w:r w:rsidRPr="00475EA0">
        <w:rPr>
          <w:b/>
          <w:bCs/>
        </w:rPr>
        <w:t>CONFIGURATION</w:t>
      </w:r>
      <w:r w:rsidRPr="00475EA0">
        <w:t> :</w:t>
      </w:r>
      <w:r>
        <w:br/>
      </w:r>
      <w:r>
        <w:br/>
      </w:r>
      <w:r w:rsidRPr="00475EA0">
        <w:drawing>
          <wp:inline distT="0" distB="0" distL="0" distR="0" wp14:anchorId="466A8334" wp14:editId="60DD0218">
            <wp:extent cx="3860800" cy="1281984"/>
            <wp:effectExtent l="0" t="0" r="0" b="1270"/>
            <wp:docPr id="5162730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27305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6460" cy="129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5AEC2" w14:textId="2A38F78F" w:rsidR="00475EA0" w:rsidRDefault="002C4705" w:rsidP="002C4705">
      <w:pPr>
        <w:pStyle w:val="ListParagraph"/>
        <w:keepLines/>
        <w:numPr>
          <w:ilvl w:val="0"/>
          <w:numId w:val="6"/>
        </w:numPr>
        <w:spacing w:after="360"/>
        <w:contextualSpacing w:val="0"/>
      </w:pPr>
      <w:r>
        <w:t xml:space="preserve">Ouvrir la section </w:t>
      </w:r>
      <w:r w:rsidRPr="002C4705">
        <w:rPr>
          <w:b/>
          <w:bCs/>
        </w:rPr>
        <w:t>ADMINISTRATION DU SYSTÈME</w:t>
      </w:r>
      <w:r>
        <w:t xml:space="preserve">, puis la page </w:t>
      </w:r>
      <w:r w:rsidRPr="002C4705">
        <w:rPr>
          <w:b/>
          <w:bCs/>
        </w:rPr>
        <w:t>PARAMÈTRES DE BASE</w:t>
      </w:r>
      <w:r>
        <w:t xml:space="preserve">, et finalement l’onglet </w:t>
      </w:r>
      <w:r w:rsidRPr="002C4705">
        <w:rPr>
          <w:b/>
          <w:bCs/>
        </w:rPr>
        <w:t>COPIE DE SÛRETÉ</w:t>
      </w:r>
      <w:r>
        <w:t>.</w:t>
      </w:r>
      <w:r>
        <w:br/>
      </w:r>
      <w:r>
        <w:br/>
      </w:r>
      <w:r w:rsidRPr="002C4705">
        <w:drawing>
          <wp:inline distT="0" distB="0" distL="0" distR="0" wp14:anchorId="329F38B1" wp14:editId="18E993A7">
            <wp:extent cx="4601496" cy="2194560"/>
            <wp:effectExtent l="0" t="0" r="0" b="2540"/>
            <wp:docPr id="7671049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04902" name="Picture 1" descr="A screenshot of a computer&#10;&#10;AI-generated content may be incorrect."/>
                    <pic:cNvPicPr/>
                  </pic:nvPicPr>
                  <pic:blipFill rotWithShape="1">
                    <a:blip r:embed="rId11"/>
                    <a:srcRect b="27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1854" cy="22233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0962EF" w14:textId="631C6522" w:rsidR="00A879C5" w:rsidRDefault="00A879C5" w:rsidP="002C4705">
      <w:pPr>
        <w:pStyle w:val="ListParagraph"/>
        <w:keepLines/>
        <w:numPr>
          <w:ilvl w:val="0"/>
          <w:numId w:val="6"/>
        </w:numPr>
        <w:spacing w:after="360"/>
        <w:contextualSpacing w:val="0"/>
      </w:pPr>
      <w:r>
        <w:lastRenderedPageBreak/>
        <w:t xml:space="preserve">Appuyer sur le bouton </w:t>
      </w:r>
      <w:r w:rsidRPr="00A879C5">
        <w:rPr>
          <w:b/>
          <w:bCs/>
        </w:rPr>
        <w:t>FAIRE UNE COPIE MAINTENANT</w:t>
      </w:r>
      <w:r>
        <w:t>, puis attendre la fin de l’opération.</w:t>
      </w:r>
    </w:p>
    <w:p w14:paraId="69C0C5D5" w14:textId="43308B85" w:rsidR="00A879C5" w:rsidRDefault="00A879C5" w:rsidP="002C4705">
      <w:pPr>
        <w:pStyle w:val="ListParagraph"/>
        <w:keepLines/>
        <w:numPr>
          <w:ilvl w:val="0"/>
          <w:numId w:val="6"/>
        </w:numPr>
        <w:spacing w:after="360"/>
        <w:contextualSpacing w:val="0"/>
      </w:pPr>
      <w:r>
        <w:t xml:space="preserve">Dans l’Explorateur Windows, se rendre au </w:t>
      </w:r>
      <w:r w:rsidRPr="00A879C5">
        <w:rPr>
          <w:b/>
          <w:bCs/>
        </w:rPr>
        <w:t>répertoire</w:t>
      </w:r>
      <w:r>
        <w:t xml:space="preserve"> indiqué dans les paramètres de copie de sûreté.</w:t>
      </w:r>
    </w:p>
    <w:p w14:paraId="243095D2" w14:textId="67BDDF45" w:rsidR="003120C9" w:rsidRPr="00A879C5" w:rsidRDefault="00A879C5" w:rsidP="003120C9">
      <w:pPr>
        <w:pStyle w:val="ListParagraph"/>
        <w:keepLines/>
        <w:numPr>
          <w:ilvl w:val="0"/>
          <w:numId w:val="6"/>
        </w:numPr>
        <w:spacing w:after="360"/>
        <w:contextualSpacing w:val="0"/>
      </w:pPr>
      <w:r>
        <w:t xml:space="preserve">Faire parvenir le fichier </w:t>
      </w:r>
      <w:r w:rsidRPr="00F61886">
        <w:rPr>
          <w:b/>
          <w:bCs/>
          <w:sz w:val="22"/>
          <w:szCs w:val="22"/>
        </w:rPr>
        <w:t>BackupManuel.zip</w:t>
      </w:r>
      <w:r w:rsidRPr="00F61886">
        <w:rPr>
          <w:sz w:val="22"/>
          <w:szCs w:val="22"/>
        </w:rPr>
        <w:t xml:space="preserve"> qui a été généré </w:t>
      </w:r>
      <w:r>
        <w:rPr>
          <w:sz w:val="22"/>
          <w:szCs w:val="22"/>
        </w:rPr>
        <w:t xml:space="preserve">par </w:t>
      </w:r>
      <w:hyperlink r:id="rId12" w:history="1">
        <w:r w:rsidRPr="00A879C5">
          <w:rPr>
            <w:rStyle w:val="Hyperlink"/>
            <w:sz w:val="22"/>
            <w:szCs w:val="22"/>
          </w:rPr>
          <w:t>WeTransfe</w:t>
        </w:r>
        <w:r w:rsidRPr="00A879C5">
          <w:rPr>
            <w:rStyle w:val="Hyperlink"/>
            <w:sz w:val="22"/>
            <w:szCs w:val="22"/>
          </w:rPr>
          <w:t>r</w:t>
        </w:r>
        <w:r w:rsidRPr="00A879C5">
          <w:rPr>
            <w:rStyle w:val="Hyperlink"/>
            <w:sz w:val="22"/>
            <w:szCs w:val="22"/>
          </w:rPr>
          <w:t>.com</w:t>
        </w:r>
      </w:hyperlink>
      <w:r>
        <w:rPr>
          <w:sz w:val="22"/>
          <w:szCs w:val="22"/>
        </w:rPr>
        <w:t xml:space="preserve"> à </w:t>
      </w:r>
      <w:hyperlink r:id="rId13" w:history="1">
        <w:r w:rsidRPr="00A879C5">
          <w:rPr>
            <w:rStyle w:val="Hyperlink"/>
            <w:sz w:val="22"/>
            <w:szCs w:val="22"/>
          </w:rPr>
          <w:t>sylvain@securitepublique.ca</w:t>
        </w:r>
      </w:hyperlink>
      <w:r>
        <w:rPr>
          <w:sz w:val="22"/>
          <w:szCs w:val="22"/>
        </w:rPr>
        <w:t xml:space="preserve"> (</w:t>
      </w:r>
      <w:r w:rsidRPr="00F61886">
        <w:rPr>
          <w:sz w:val="22"/>
          <w:szCs w:val="22"/>
        </w:rPr>
        <w:t xml:space="preserve">ou </w:t>
      </w:r>
      <w:r>
        <w:rPr>
          <w:sz w:val="22"/>
          <w:szCs w:val="22"/>
        </w:rPr>
        <w:t xml:space="preserve">tout </w:t>
      </w:r>
      <w:r w:rsidRPr="00F61886">
        <w:rPr>
          <w:sz w:val="22"/>
          <w:szCs w:val="22"/>
        </w:rPr>
        <w:t>autre moyen convenu)</w:t>
      </w:r>
      <w:r>
        <w:rPr>
          <w:sz w:val="22"/>
          <w:szCs w:val="22"/>
        </w:rPr>
        <w:t>.</w:t>
      </w:r>
    </w:p>
    <w:p w14:paraId="27A3DF12" w14:textId="77777777" w:rsidR="00A879C5" w:rsidRDefault="00A879C5" w:rsidP="003120C9">
      <w:pPr>
        <w:pBdr>
          <w:bottom w:val="single" w:sz="6" w:space="1" w:color="auto"/>
        </w:pBdr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</w:pPr>
    </w:p>
    <w:p w14:paraId="72087A6C" w14:textId="77777777" w:rsidR="00A879C5" w:rsidRPr="00A879C5" w:rsidRDefault="00A879C5" w:rsidP="003120C9">
      <w:pPr>
        <w:rPr>
          <w:rFonts w:eastAsiaTheme="majorEastAsia" w:cstheme="majorBidi"/>
          <w:b/>
          <w:bCs/>
          <w:color w:val="0F4761" w:themeColor="accent1" w:themeShade="BF"/>
        </w:rPr>
      </w:pPr>
    </w:p>
    <w:p w14:paraId="23DDE2F1" w14:textId="77777777" w:rsidR="00A879C5" w:rsidRPr="00A879C5" w:rsidRDefault="00A879C5" w:rsidP="003120C9"/>
    <w:p w14:paraId="15BF1E1E" w14:textId="38419CF1" w:rsidR="003120C9" w:rsidRPr="00A879C5" w:rsidRDefault="003120C9" w:rsidP="00B95215">
      <w:pPr>
        <w:jc w:val="both"/>
      </w:pPr>
      <w:r w:rsidRPr="00A879C5">
        <w:t>La base de donnée</w:t>
      </w:r>
      <w:r w:rsidR="00B95215" w:rsidRPr="00A879C5">
        <w:t>s</w:t>
      </w:r>
      <w:r w:rsidRPr="00A879C5">
        <w:t xml:space="preserve"> </w:t>
      </w:r>
      <w:r w:rsidR="00B95215" w:rsidRPr="00A879C5">
        <w:t xml:space="preserve">sera analysée dans les 10 jours ouvrables. Vous recevrez ensuite une soumission établie sur mesure pour votre base de données, calculée selon la grille tarifaire en vigueur. </w:t>
      </w:r>
      <w:r w:rsidRPr="00A879C5">
        <w:t>Si</w:t>
      </w:r>
      <w:r w:rsidR="00B95215" w:rsidRPr="00A879C5">
        <w:t xml:space="preserve"> </w:t>
      </w:r>
      <w:r w:rsidRPr="00A879C5">
        <w:t>pour quelque raison que ce soit l’extraction finale ne contient pas le même nombre d’objets que ce qui a été déterminé lors de l’analyse et la soumission, le montant facturé sera ajusté selon la grille tarifaire courante.</w:t>
      </w:r>
    </w:p>
    <w:p w14:paraId="5EEE803F" w14:textId="77777777" w:rsidR="00BB1CD2" w:rsidRPr="00A879C5" w:rsidRDefault="00BB1CD2" w:rsidP="00B95215">
      <w:pPr>
        <w:jc w:val="both"/>
      </w:pPr>
    </w:p>
    <w:p w14:paraId="61F4113A" w14:textId="3934D0B7" w:rsidR="00BB1CD2" w:rsidRPr="00A879C5" w:rsidRDefault="00BB1CD2" w:rsidP="00BB1CD2">
      <w:pPr>
        <w:pStyle w:val="Heading3"/>
        <w:rPr>
          <w:b/>
          <w:bCs/>
          <w:sz w:val="24"/>
          <w:szCs w:val="24"/>
        </w:rPr>
      </w:pPr>
      <w:r w:rsidRPr="00A879C5">
        <w:rPr>
          <w:b/>
          <w:bCs/>
          <w:sz w:val="24"/>
          <w:szCs w:val="24"/>
        </w:rPr>
        <w:t>Phases d’essais et migration finale</w:t>
      </w:r>
    </w:p>
    <w:p w14:paraId="4BBC1AEA" w14:textId="4EB51379" w:rsidR="00F2067C" w:rsidRPr="00A879C5" w:rsidRDefault="00BB1CD2" w:rsidP="00A879C5">
      <w:pPr>
        <w:jc w:val="both"/>
      </w:pPr>
      <w:r w:rsidRPr="00A879C5">
        <w:t>Les données migrées sont celles présentes dans la copie de sûreté de votre base de données, au moment qu’elle a été générée. Vous voudrez probablement faire traiter votre base de données à quelques reprises : analyse initiale pour soumission, première migration après achat pour valider le contenu migré, et migration finale le jour J de votre bascule vers une autre plateforme. Un total de quatre (4) traitements</w:t>
      </w:r>
      <w:r w:rsidR="001A2371" w:rsidRPr="00A879C5">
        <w:t xml:space="preserve"> </w:t>
      </w:r>
      <w:r w:rsidR="00A879C5">
        <w:t>du même client</w:t>
      </w:r>
      <w:r w:rsidRPr="00A879C5">
        <w:t xml:space="preserve"> sont inclus avec les prix fournis. Au-delà de cela, une entente devra être prise au préalable</w:t>
      </w:r>
      <w:r w:rsidR="00662F2C" w:rsidRPr="00A879C5">
        <w:t>, puisque cela génère un surplus de travail à chaque fois.</w:t>
      </w:r>
    </w:p>
    <w:sectPr w:rsidR="00F2067C" w:rsidRPr="00A879C5" w:rsidSect="00777C8C">
      <w:footerReference w:type="defaul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E65C1" w14:textId="77777777" w:rsidR="00837A86" w:rsidRDefault="00837A86" w:rsidP="009342B4">
      <w:r>
        <w:separator/>
      </w:r>
    </w:p>
  </w:endnote>
  <w:endnote w:type="continuationSeparator" w:id="0">
    <w:p w14:paraId="0580782F" w14:textId="77777777" w:rsidR="00837A86" w:rsidRDefault="00837A86" w:rsidP="009342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67C6A" w14:textId="5F15B23F" w:rsidR="009342B4" w:rsidRDefault="009342B4" w:rsidP="009342B4">
    <w:pPr>
      <w:pStyle w:val="Footer"/>
      <w:jc w:val="right"/>
    </w:pPr>
    <w:r>
      <w:rPr>
        <w:noProof/>
      </w:rPr>
      <w:drawing>
        <wp:inline distT="0" distB="0" distL="0" distR="0" wp14:anchorId="5E6400F0" wp14:editId="0D63D2F7">
          <wp:extent cx="1514007" cy="542925"/>
          <wp:effectExtent l="0" t="0" r="0" b="0"/>
          <wp:docPr id="1953700679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3700679" name="Graphic 1953700679"/>
                  <pic:cNvPicPr/>
                </pic:nvPicPr>
                <pic:blipFill rotWithShape="1"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r="19440"/>
                  <a:stretch>
                    <a:fillRect/>
                  </a:stretch>
                </pic:blipFill>
                <pic:spPr bwMode="auto">
                  <a:xfrm>
                    <a:off x="0" y="0"/>
                    <a:ext cx="1546857" cy="5547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6BE03" w14:textId="77777777" w:rsidR="00837A86" w:rsidRDefault="00837A86" w:rsidP="009342B4">
      <w:r>
        <w:separator/>
      </w:r>
    </w:p>
  </w:footnote>
  <w:footnote w:type="continuationSeparator" w:id="0">
    <w:p w14:paraId="5448DD69" w14:textId="77777777" w:rsidR="00837A86" w:rsidRDefault="00837A86" w:rsidP="009342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71293"/>
    <w:multiLevelType w:val="hybridMultilevel"/>
    <w:tmpl w:val="8F680A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411C2A"/>
    <w:multiLevelType w:val="hybridMultilevel"/>
    <w:tmpl w:val="7DCA0C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E6418E"/>
    <w:multiLevelType w:val="hybridMultilevel"/>
    <w:tmpl w:val="3BCEB3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C816E6"/>
    <w:multiLevelType w:val="hybridMultilevel"/>
    <w:tmpl w:val="5C0828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106554"/>
    <w:multiLevelType w:val="hybridMultilevel"/>
    <w:tmpl w:val="3BD83F1C"/>
    <w:lvl w:ilvl="0" w:tplc="04090015">
      <w:start w:val="1"/>
      <w:numFmt w:val="upperLetter"/>
      <w:lvlText w:val="%1."/>
      <w:lvlJc w:val="left"/>
      <w:pPr>
        <w:ind w:left="767" w:hanging="360"/>
      </w:pPr>
    </w:lvl>
    <w:lvl w:ilvl="1" w:tplc="04090019" w:tentative="1">
      <w:start w:val="1"/>
      <w:numFmt w:val="lowerLetter"/>
      <w:lvlText w:val="%2."/>
      <w:lvlJc w:val="left"/>
      <w:pPr>
        <w:ind w:left="1487" w:hanging="360"/>
      </w:pPr>
    </w:lvl>
    <w:lvl w:ilvl="2" w:tplc="0409001B" w:tentative="1">
      <w:start w:val="1"/>
      <w:numFmt w:val="lowerRoman"/>
      <w:lvlText w:val="%3."/>
      <w:lvlJc w:val="right"/>
      <w:pPr>
        <w:ind w:left="2207" w:hanging="180"/>
      </w:pPr>
    </w:lvl>
    <w:lvl w:ilvl="3" w:tplc="0409000F" w:tentative="1">
      <w:start w:val="1"/>
      <w:numFmt w:val="decimal"/>
      <w:lvlText w:val="%4."/>
      <w:lvlJc w:val="left"/>
      <w:pPr>
        <w:ind w:left="2927" w:hanging="360"/>
      </w:pPr>
    </w:lvl>
    <w:lvl w:ilvl="4" w:tplc="04090019" w:tentative="1">
      <w:start w:val="1"/>
      <w:numFmt w:val="lowerLetter"/>
      <w:lvlText w:val="%5."/>
      <w:lvlJc w:val="left"/>
      <w:pPr>
        <w:ind w:left="3647" w:hanging="360"/>
      </w:pPr>
    </w:lvl>
    <w:lvl w:ilvl="5" w:tplc="0409001B" w:tentative="1">
      <w:start w:val="1"/>
      <w:numFmt w:val="lowerRoman"/>
      <w:lvlText w:val="%6."/>
      <w:lvlJc w:val="right"/>
      <w:pPr>
        <w:ind w:left="4367" w:hanging="180"/>
      </w:pPr>
    </w:lvl>
    <w:lvl w:ilvl="6" w:tplc="0409000F" w:tentative="1">
      <w:start w:val="1"/>
      <w:numFmt w:val="decimal"/>
      <w:lvlText w:val="%7."/>
      <w:lvlJc w:val="left"/>
      <w:pPr>
        <w:ind w:left="5087" w:hanging="360"/>
      </w:pPr>
    </w:lvl>
    <w:lvl w:ilvl="7" w:tplc="04090019" w:tentative="1">
      <w:start w:val="1"/>
      <w:numFmt w:val="lowerLetter"/>
      <w:lvlText w:val="%8."/>
      <w:lvlJc w:val="left"/>
      <w:pPr>
        <w:ind w:left="5807" w:hanging="360"/>
      </w:pPr>
    </w:lvl>
    <w:lvl w:ilvl="8" w:tplc="0409001B" w:tentative="1">
      <w:start w:val="1"/>
      <w:numFmt w:val="lowerRoman"/>
      <w:lvlText w:val="%9."/>
      <w:lvlJc w:val="right"/>
      <w:pPr>
        <w:ind w:left="6527" w:hanging="180"/>
      </w:pPr>
    </w:lvl>
  </w:abstractNum>
  <w:abstractNum w:abstractNumId="5" w15:restartNumberingAfterBreak="0">
    <w:nsid w:val="448C6005"/>
    <w:multiLevelType w:val="hybridMultilevel"/>
    <w:tmpl w:val="B43C1A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8303495">
    <w:abstractNumId w:val="5"/>
  </w:num>
  <w:num w:numId="2" w16cid:durableId="118378228">
    <w:abstractNumId w:val="1"/>
  </w:num>
  <w:num w:numId="3" w16cid:durableId="1903713801">
    <w:abstractNumId w:val="2"/>
  </w:num>
  <w:num w:numId="4" w16cid:durableId="1037971093">
    <w:abstractNumId w:val="4"/>
  </w:num>
  <w:num w:numId="5" w16cid:durableId="1205289184">
    <w:abstractNumId w:val="0"/>
  </w:num>
  <w:num w:numId="6" w16cid:durableId="19274202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344"/>
    <w:rsid w:val="00081F60"/>
    <w:rsid w:val="000B1679"/>
    <w:rsid w:val="000C6CBB"/>
    <w:rsid w:val="000D364F"/>
    <w:rsid w:val="000D38F6"/>
    <w:rsid w:val="000F786B"/>
    <w:rsid w:val="00127EC9"/>
    <w:rsid w:val="00134344"/>
    <w:rsid w:val="0016140C"/>
    <w:rsid w:val="0016373E"/>
    <w:rsid w:val="00173DB7"/>
    <w:rsid w:val="001A2371"/>
    <w:rsid w:val="001C3E6A"/>
    <w:rsid w:val="001D186C"/>
    <w:rsid w:val="001D767B"/>
    <w:rsid w:val="002222A6"/>
    <w:rsid w:val="00235019"/>
    <w:rsid w:val="002471AB"/>
    <w:rsid w:val="0026685F"/>
    <w:rsid w:val="002C4705"/>
    <w:rsid w:val="003120C9"/>
    <w:rsid w:val="00326174"/>
    <w:rsid w:val="00350AC3"/>
    <w:rsid w:val="00356C39"/>
    <w:rsid w:val="003805E7"/>
    <w:rsid w:val="003969D6"/>
    <w:rsid w:val="003A2896"/>
    <w:rsid w:val="00401A9D"/>
    <w:rsid w:val="00410DDD"/>
    <w:rsid w:val="00475EA0"/>
    <w:rsid w:val="004C7E3B"/>
    <w:rsid w:val="004F6A4A"/>
    <w:rsid w:val="00521001"/>
    <w:rsid w:val="00547678"/>
    <w:rsid w:val="00555233"/>
    <w:rsid w:val="005D05DB"/>
    <w:rsid w:val="005E4D07"/>
    <w:rsid w:val="005F4FED"/>
    <w:rsid w:val="00662F2C"/>
    <w:rsid w:val="006C691B"/>
    <w:rsid w:val="00737054"/>
    <w:rsid w:val="0076285A"/>
    <w:rsid w:val="00777C8C"/>
    <w:rsid w:val="00793ACB"/>
    <w:rsid w:val="007B3C7C"/>
    <w:rsid w:val="007B6BE2"/>
    <w:rsid w:val="007C22A3"/>
    <w:rsid w:val="007D099E"/>
    <w:rsid w:val="00800805"/>
    <w:rsid w:val="008054F0"/>
    <w:rsid w:val="00835B56"/>
    <w:rsid w:val="00837A86"/>
    <w:rsid w:val="00840F74"/>
    <w:rsid w:val="008E5839"/>
    <w:rsid w:val="008E7ACC"/>
    <w:rsid w:val="009017D7"/>
    <w:rsid w:val="009342B4"/>
    <w:rsid w:val="00953F20"/>
    <w:rsid w:val="00954F46"/>
    <w:rsid w:val="00992B78"/>
    <w:rsid w:val="009966F7"/>
    <w:rsid w:val="009B476B"/>
    <w:rsid w:val="00A24FA6"/>
    <w:rsid w:val="00A30657"/>
    <w:rsid w:val="00A879C5"/>
    <w:rsid w:val="00AB0C2A"/>
    <w:rsid w:val="00AF2EB9"/>
    <w:rsid w:val="00B329B4"/>
    <w:rsid w:val="00B51F94"/>
    <w:rsid w:val="00B85650"/>
    <w:rsid w:val="00B95215"/>
    <w:rsid w:val="00BB1CD2"/>
    <w:rsid w:val="00BC7357"/>
    <w:rsid w:val="00BF09D0"/>
    <w:rsid w:val="00C15F71"/>
    <w:rsid w:val="00C42CF1"/>
    <w:rsid w:val="00DA261E"/>
    <w:rsid w:val="00DC71D1"/>
    <w:rsid w:val="00DD660A"/>
    <w:rsid w:val="00DD6B48"/>
    <w:rsid w:val="00DE28E0"/>
    <w:rsid w:val="00DE4564"/>
    <w:rsid w:val="00E34D6E"/>
    <w:rsid w:val="00E37798"/>
    <w:rsid w:val="00E379A5"/>
    <w:rsid w:val="00E87D62"/>
    <w:rsid w:val="00EA4916"/>
    <w:rsid w:val="00EC6467"/>
    <w:rsid w:val="00EE40B6"/>
    <w:rsid w:val="00EF722A"/>
    <w:rsid w:val="00F2067C"/>
    <w:rsid w:val="00F22B02"/>
    <w:rsid w:val="00F61886"/>
    <w:rsid w:val="00F91163"/>
    <w:rsid w:val="00F96D96"/>
    <w:rsid w:val="00FA16D2"/>
    <w:rsid w:val="00FB6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73BFA"/>
  <w15:chartTrackingRefBased/>
  <w15:docId w15:val="{26A87007-9E55-4747-AB8A-179638912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4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4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43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3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3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3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3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3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34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CA"/>
    </w:rPr>
  </w:style>
  <w:style w:type="character" w:customStyle="1" w:styleId="Heading2Char">
    <w:name w:val="Heading 2 Char"/>
    <w:basedOn w:val="DefaultParagraphFont"/>
    <w:link w:val="Heading2"/>
    <w:uiPriority w:val="9"/>
    <w:rsid w:val="0013434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CA"/>
    </w:rPr>
  </w:style>
  <w:style w:type="character" w:customStyle="1" w:styleId="Heading3Char">
    <w:name w:val="Heading 3 Char"/>
    <w:basedOn w:val="DefaultParagraphFont"/>
    <w:link w:val="Heading3"/>
    <w:uiPriority w:val="9"/>
    <w:rsid w:val="00134344"/>
    <w:rPr>
      <w:rFonts w:eastAsiaTheme="majorEastAsia" w:cstheme="majorBidi"/>
      <w:color w:val="0F4761" w:themeColor="accent1" w:themeShade="BF"/>
      <w:sz w:val="28"/>
      <w:szCs w:val="28"/>
      <w:lang w:val="fr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344"/>
    <w:rPr>
      <w:rFonts w:eastAsiaTheme="majorEastAsia" w:cstheme="majorBidi"/>
      <w:i/>
      <w:iCs/>
      <w:color w:val="0F4761" w:themeColor="accent1" w:themeShade="BF"/>
      <w:lang w:val="fr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344"/>
    <w:rPr>
      <w:rFonts w:eastAsiaTheme="majorEastAsia" w:cstheme="majorBidi"/>
      <w:color w:val="0F4761" w:themeColor="accent1" w:themeShade="BF"/>
      <w:lang w:val="fr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344"/>
    <w:rPr>
      <w:rFonts w:eastAsiaTheme="majorEastAsia" w:cstheme="majorBidi"/>
      <w:i/>
      <w:iCs/>
      <w:color w:val="595959" w:themeColor="text1" w:themeTint="A6"/>
      <w:lang w:val="fr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344"/>
    <w:rPr>
      <w:rFonts w:eastAsiaTheme="majorEastAsia" w:cstheme="majorBidi"/>
      <w:color w:val="595959" w:themeColor="text1" w:themeTint="A6"/>
      <w:lang w:val="fr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344"/>
    <w:rPr>
      <w:rFonts w:eastAsiaTheme="majorEastAsia" w:cstheme="majorBidi"/>
      <w:i/>
      <w:iCs/>
      <w:color w:val="272727" w:themeColor="text1" w:themeTint="D8"/>
      <w:lang w:val="fr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344"/>
    <w:rPr>
      <w:rFonts w:eastAsiaTheme="majorEastAsia" w:cstheme="majorBidi"/>
      <w:color w:val="272727" w:themeColor="text1" w:themeTint="D8"/>
      <w:lang w:val="fr-CA"/>
    </w:rPr>
  </w:style>
  <w:style w:type="paragraph" w:styleId="Title">
    <w:name w:val="Title"/>
    <w:basedOn w:val="Normal"/>
    <w:next w:val="Normal"/>
    <w:link w:val="TitleChar"/>
    <w:uiPriority w:val="10"/>
    <w:qFormat/>
    <w:rsid w:val="001343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344"/>
    <w:rPr>
      <w:rFonts w:asciiTheme="majorHAnsi" w:eastAsiaTheme="majorEastAsia" w:hAnsiTheme="majorHAnsi" w:cstheme="majorBidi"/>
      <w:spacing w:val="-10"/>
      <w:kern w:val="28"/>
      <w:sz w:val="56"/>
      <w:szCs w:val="56"/>
      <w:lang w:val="fr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34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344"/>
    <w:rPr>
      <w:rFonts w:eastAsiaTheme="majorEastAsia" w:cstheme="majorBidi"/>
      <w:color w:val="595959" w:themeColor="text1" w:themeTint="A6"/>
      <w:spacing w:val="15"/>
      <w:sz w:val="28"/>
      <w:szCs w:val="28"/>
      <w:lang w:val="fr-CA"/>
    </w:rPr>
  </w:style>
  <w:style w:type="paragraph" w:styleId="Quote">
    <w:name w:val="Quote"/>
    <w:basedOn w:val="Normal"/>
    <w:next w:val="Normal"/>
    <w:link w:val="QuoteChar"/>
    <w:uiPriority w:val="29"/>
    <w:qFormat/>
    <w:rsid w:val="001343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344"/>
    <w:rPr>
      <w:i/>
      <w:iCs/>
      <w:color w:val="404040" w:themeColor="text1" w:themeTint="BF"/>
      <w:lang w:val="fr-CA"/>
    </w:rPr>
  </w:style>
  <w:style w:type="paragraph" w:styleId="ListParagraph">
    <w:name w:val="List Paragraph"/>
    <w:basedOn w:val="Normal"/>
    <w:uiPriority w:val="34"/>
    <w:qFormat/>
    <w:rsid w:val="001343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3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3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344"/>
    <w:rPr>
      <w:i/>
      <w:iCs/>
      <w:color w:val="0F4761" w:themeColor="accent1" w:themeShade="BF"/>
      <w:lang w:val="fr-CA"/>
    </w:rPr>
  </w:style>
  <w:style w:type="character" w:styleId="IntenseReference">
    <w:name w:val="Intense Reference"/>
    <w:basedOn w:val="DefaultParagraphFont"/>
    <w:uiPriority w:val="32"/>
    <w:qFormat/>
    <w:rsid w:val="0013434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43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342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42B4"/>
    <w:rPr>
      <w:lang w:val="fr-CA"/>
    </w:rPr>
  </w:style>
  <w:style w:type="paragraph" w:styleId="Footer">
    <w:name w:val="footer"/>
    <w:basedOn w:val="Normal"/>
    <w:link w:val="FooterChar"/>
    <w:uiPriority w:val="99"/>
    <w:unhideWhenUsed/>
    <w:rsid w:val="009342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42B4"/>
    <w:rPr>
      <w:lang w:val="fr-CA"/>
    </w:rPr>
  </w:style>
  <w:style w:type="character" w:styleId="Hyperlink">
    <w:name w:val="Hyperlink"/>
    <w:basedOn w:val="DefaultParagraphFont"/>
    <w:uiPriority w:val="99"/>
    <w:unhideWhenUsed/>
    <w:rsid w:val="002C47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470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879C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hyperlink" Target="mailto:sylvain@securitepublique.c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etransfer.com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mailto:sylvain@securitepublique.ca" TargetMode="Externa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2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Pedneault</dc:creator>
  <cp:keywords/>
  <dc:description/>
  <cp:lastModifiedBy>Sylvain Pedneault</cp:lastModifiedBy>
  <cp:revision>52</cp:revision>
  <cp:lastPrinted>2026-02-12T13:09:00Z</cp:lastPrinted>
  <dcterms:created xsi:type="dcterms:W3CDTF">2026-02-06T18:35:00Z</dcterms:created>
  <dcterms:modified xsi:type="dcterms:W3CDTF">2026-03-06T21:49:00Z</dcterms:modified>
</cp:coreProperties>
</file>