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 4 Who Did What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Aditi Sethi: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was responsible for the complete redesign of the Transactions page of the prototype. In order to improve the overall visual design and flow of the Transactions page, I changed the color scheme for better readability, optimized the space on the screen for less scrolling, and added a keyboard button on the top right. Additionally, I changed the formatting of the “+ New Transaction” process for a less frustrating user experience. I was also responsible for part B of Phase 4, where I thought of and wrote about both the ideas for AI integration into the prototype, including the discussion of possible ethical and HCI issues of each.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Melanie Chen: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was responsible for redesigning a couple key elements of the Goals page of the prototype. Specifically, I improved….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was also responsible for part D of Phase 4, where I wrote about our application’s inventory of assumptions and reflected on our target audience. I also made sure to reflect on which users would not be well-served by our application, opening the door to future improvements.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Aidana Aibek Kyzy: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Sammi Peguero: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