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Font: Proxima Nova (Regular, Semibold, Bold)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Font Size: 48pt (64px) for headers (Goals, Spending), 30pt (40px) for dropdown labels, 26pt for buttons and 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Color Scheme: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Primary: #0000FF for main actions, highlights, and progress fills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Accent: #EB0052,#008A10,  #197BB8 for charts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Alert/Destructive: #EE0000 for banners and warnings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Backgrounds: #FFFFFF (main), #CDCDFF (light fill)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Text: #000000 for headings/body/borders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Iconography: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Home (homepage), Money (transactions), Line Graph (spending reports), Bell (reminders).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Icons are 24–28 px, active icons use #0000FF, inactive icons use black (#000000), and icons on colored surfaces render in white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