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98499" w14:textId="77777777" w:rsidR="00786313" w:rsidRDefault="00F4228E">
      <w:r>
        <w:t>Individual work – interactie ruby practice</w:t>
      </w:r>
    </w:p>
    <w:p w14:paraId="09A0A9E5" w14:textId="77777777" w:rsidR="00F4228E" w:rsidRDefault="00F4228E"/>
    <w:p w14:paraId="73A2652B" w14:textId="77777777" w:rsidR="001824EC" w:rsidRPr="001824EC" w:rsidRDefault="001824EC" w:rsidP="001824EC">
      <w:pPr>
        <w:shd w:val="clear" w:color="auto" w:fill="FFFFFF"/>
        <w:spacing w:before="225" w:after="225"/>
        <w:outlineLvl w:val="4"/>
        <w:rPr>
          <w:rFonts w:ascii="Helvetica" w:eastAsia="Times New Roman" w:hAnsi="Helvetica" w:cs="Times New Roman"/>
          <w:b/>
          <w:bCs/>
          <w:color w:val="34495E"/>
          <w:sz w:val="42"/>
          <w:szCs w:val="42"/>
        </w:rPr>
      </w:pPr>
      <w:r w:rsidRPr="001824EC">
        <w:rPr>
          <w:rFonts w:ascii="Helvetica" w:eastAsia="Times New Roman" w:hAnsi="Helvetica" w:cs="Times New Roman"/>
          <w:b/>
          <w:bCs/>
          <w:color w:val="34495E"/>
          <w:sz w:val="42"/>
          <w:szCs w:val="42"/>
        </w:rPr>
        <w:t>Looping through arrays and outputting each value to the screen</w:t>
      </w:r>
    </w:p>
    <w:p w14:paraId="38101E8E" w14:textId="77777777" w:rsidR="001824EC" w:rsidRPr="001824EC" w:rsidRDefault="001824EC" w:rsidP="001824EC">
      <w:pPr>
        <w:shd w:val="clear" w:color="auto" w:fill="FFFFFF"/>
        <w:spacing w:after="225" w:line="465" w:lineRule="atLeast"/>
        <w:rPr>
          <w:rFonts w:ascii="Helvetica" w:hAnsi="Helvetica" w:cs="Times New Roman"/>
          <w:color w:val="34495E"/>
          <w:sz w:val="27"/>
          <w:szCs w:val="27"/>
        </w:rPr>
      </w:pPr>
      <w:r w:rsidRPr="001824EC">
        <w:rPr>
          <w:rFonts w:ascii="Helvetica" w:hAnsi="Helvetica" w:cs="Times New Roman"/>
          <w:color w:val="34495E"/>
          <w:sz w:val="27"/>
          <w:szCs w:val="27"/>
        </w:rPr>
        <w:t>There are plenty of ways to loop in Ruby, but the simplest way is to use the </w:t>
      </w:r>
      <w:r w:rsidRPr="001824EC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#each</w:t>
      </w:r>
      <w:r w:rsidRPr="001824EC">
        <w:rPr>
          <w:rFonts w:ascii="Helvetica" w:hAnsi="Helvetica" w:cs="Times New Roman"/>
          <w:color w:val="34495E"/>
          <w:sz w:val="27"/>
          <w:szCs w:val="27"/>
        </w:rPr>
        <w:t>method. (The </w:t>
      </w:r>
      <w:r w:rsidRPr="001824EC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#</w:t>
      </w:r>
      <w:r w:rsidRPr="001824EC">
        <w:rPr>
          <w:rFonts w:ascii="Helvetica" w:hAnsi="Helvetica" w:cs="Times New Roman"/>
          <w:color w:val="34495E"/>
          <w:sz w:val="27"/>
          <w:szCs w:val="27"/>
        </w:rPr>
        <w:t> is a convention to indicate that </w:t>
      </w:r>
      <w:r w:rsidRPr="001824EC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each</w:t>
      </w:r>
      <w:r w:rsidRPr="001824EC">
        <w:rPr>
          <w:rFonts w:ascii="Helvetica" w:hAnsi="Helvetica" w:cs="Times New Roman"/>
          <w:color w:val="34495E"/>
          <w:sz w:val="27"/>
          <w:szCs w:val="27"/>
        </w:rPr>
        <w:t> is a method of an Array object, not part of the syntax.) Try out an example like this:</w:t>
      </w:r>
    </w:p>
    <w:p w14:paraId="5D70F1D8" w14:textId="77777777" w:rsidR="001824EC" w:rsidRPr="001824EC" w:rsidRDefault="001824EC" w:rsidP="001824EC">
      <w:pPr>
        <w:pBdr>
          <w:top w:val="single" w:sz="12" w:space="6" w:color="E6E9EB"/>
          <w:left w:val="single" w:sz="12" w:space="6" w:color="E6E9EB"/>
          <w:bottom w:val="single" w:sz="12" w:space="6" w:color="E6E9EB"/>
          <w:right w:val="single" w:sz="12" w:space="6" w:color="E6E9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34495E"/>
          <w:sz w:val="20"/>
          <w:szCs w:val="20"/>
        </w:rPr>
      </w:pPr>
      <w:r w:rsidRPr="001824EC">
        <w:rPr>
          <w:rFonts w:ascii="Monaco" w:hAnsi="Monaco" w:cs="Courier"/>
          <w:color w:val="34495E"/>
          <w:sz w:val="20"/>
          <w:szCs w:val="20"/>
        </w:rPr>
        <w:t xml:space="preserve">2.1.1 :001 &gt; an_array = ['Hello', 'nurse', 'and', 'world']  =&gt; ["Hello", "nurse", "and", "world"]  2.1.1 :002 &gt; an_array.each { |word| puts word } Hello nurse and world  =&gt; ["Hello", "nurse", "and", "world"]  </w:t>
      </w:r>
    </w:p>
    <w:p w14:paraId="50FAD784" w14:textId="77777777" w:rsidR="001824EC" w:rsidRPr="001824EC" w:rsidRDefault="001824EC" w:rsidP="001824EC">
      <w:pPr>
        <w:rPr>
          <w:rFonts w:ascii="Times" w:eastAsia="Times New Roman" w:hAnsi="Times" w:cs="Times New Roman"/>
          <w:sz w:val="20"/>
          <w:szCs w:val="20"/>
        </w:rPr>
      </w:pPr>
    </w:p>
    <w:p w14:paraId="422AB9F2" w14:textId="77777777" w:rsidR="001824EC" w:rsidRDefault="001824EC" w:rsidP="001824EC">
      <w:pPr>
        <w:pStyle w:val="Heading3"/>
        <w:shd w:val="clear" w:color="auto" w:fill="FFFFFF"/>
        <w:spacing w:before="450" w:after="225"/>
        <w:rPr>
          <w:rFonts w:ascii="Helvetica" w:eastAsia="Times New Roman" w:hAnsi="Helvetica" w:cs="Times New Roman"/>
          <w:color w:val="34495E"/>
          <w:sz w:val="60"/>
          <w:szCs w:val="60"/>
        </w:rPr>
      </w:pPr>
      <w:r>
        <w:rPr>
          <w:rFonts w:ascii="Helvetica" w:eastAsia="Times New Roman" w:hAnsi="Helvetica" w:cs="Times New Roman"/>
          <w:color w:val="34495E"/>
          <w:sz w:val="60"/>
          <w:szCs w:val="60"/>
        </w:rPr>
        <w:t>3. Include a module</w:t>
      </w:r>
    </w:p>
    <w:p w14:paraId="7C2C4E54" w14:textId="77777777" w:rsidR="001824EC" w:rsidRDefault="001824EC" w:rsidP="001824EC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Helvetica" w:hAnsi="Helvetica"/>
          <w:color w:val="34495E"/>
          <w:sz w:val="27"/>
          <w:szCs w:val="27"/>
        </w:rPr>
      </w:pPr>
      <w:r>
        <w:rPr>
          <w:rFonts w:ascii="Helvetica" w:hAnsi="Helvetica"/>
          <w:color w:val="34495E"/>
          <w:sz w:val="27"/>
          <w:szCs w:val="27"/>
        </w:rPr>
        <w:t>Type</w:t>
      </w:r>
      <w:r>
        <w:rPr>
          <w:rStyle w:val="apple-converted-space"/>
          <w:rFonts w:ascii="Helvetica" w:hAnsi="Helvetica"/>
          <w:color w:val="34495E"/>
          <w:sz w:val="27"/>
          <w:szCs w:val="27"/>
        </w:rPr>
        <w:t> </w:t>
      </w:r>
      <w:r>
        <w:rPr>
          <w:rStyle w:val="HTMLCode"/>
          <w:rFonts w:ascii="Monaco" w:hAnsi="Monaco"/>
          <w:color w:val="C7254E"/>
          <w:sz w:val="23"/>
          <w:szCs w:val="23"/>
          <w:shd w:val="clear" w:color="auto" w:fill="F9F2F4"/>
        </w:rPr>
        <w:t>Math.sqrt(1282)</w:t>
      </w:r>
      <w:r>
        <w:rPr>
          <w:rFonts w:ascii="Helvetica" w:hAnsi="Helvetica"/>
          <w:color w:val="34495E"/>
          <w:sz w:val="27"/>
          <w:szCs w:val="27"/>
        </w:rPr>
        <w:t>. Or</w:t>
      </w:r>
      <w:r>
        <w:rPr>
          <w:rStyle w:val="apple-converted-space"/>
          <w:rFonts w:ascii="Helvetica" w:hAnsi="Helvetica"/>
          <w:color w:val="34495E"/>
          <w:sz w:val="27"/>
          <w:szCs w:val="27"/>
        </w:rPr>
        <w:t> </w:t>
      </w:r>
      <w:r>
        <w:rPr>
          <w:rStyle w:val="HTMLCode"/>
          <w:rFonts w:ascii="Monaco" w:hAnsi="Monaco"/>
          <w:color w:val="C7254E"/>
          <w:sz w:val="23"/>
          <w:szCs w:val="23"/>
          <w:shd w:val="clear" w:color="auto" w:fill="F9F2F4"/>
        </w:rPr>
        <w:t>Time.now</w:t>
      </w:r>
      <w:r>
        <w:rPr>
          <w:rFonts w:ascii="Helvetica" w:hAnsi="Helvetica"/>
          <w:color w:val="34495E"/>
          <w:sz w:val="27"/>
          <w:szCs w:val="27"/>
        </w:rPr>
        <w:t>. Or</w:t>
      </w:r>
      <w:r>
        <w:rPr>
          <w:rStyle w:val="apple-converted-space"/>
          <w:rFonts w:ascii="Helvetica" w:hAnsi="Helvetica"/>
          <w:color w:val="34495E"/>
          <w:sz w:val="27"/>
          <w:szCs w:val="27"/>
        </w:rPr>
        <w:t> </w:t>
      </w:r>
      <w:r>
        <w:rPr>
          <w:rStyle w:val="HTMLCode"/>
          <w:rFonts w:ascii="Monaco" w:hAnsi="Monaco"/>
          <w:color w:val="C7254E"/>
          <w:sz w:val="23"/>
          <w:szCs w:val="23"/>
          <w:shd w:val="clear" w:color="auto" w:fill="F9F2F4"/>
        </w:rPr>
        <w:t>Array.new(10, 'bee')</w:t>
      </w:r>
      <w:r>
        <w:rPr>
          <w:rFonts w:ascii="Helvetica" w:hAnsi="Helvetica"/>
          <w:color w:val="34495E"/>
          <w:sz w:val="27"/>
          <w:szCs w:val="27"/>
        </w:rPr>
        <w:t>. You can access all the built-in modules and classes. Isn't that special?</w:t>
      </w:r>
    </w:p>
    <w:p w14:paraId="4AC5EF6A" w14:textId="77777777" w:rsidR="001824EC" w:rsidRDefault="001824EC" w:rsidP="001824EC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Helvetica" w:hAnsi="Helvetica"/>
          <w:color w:val="34495E"/>
          <w:sz w:val="27"/>
          <w:szCs w:val="27"/>
        </w:rPr>
      </w:pPr>
      <w:r>
        <w:rPr>
          <w:rFonts w:ascii="Helvetica" w:hAnsi="Helvetica"/>
          <w:color w:val="34495E"/>
          <w:sz w:val="27"/>
          <w:szCs w:val="27"/>
        </w:rPr>
        <w:t>You can also bring in (include) a module. Include the</w:t>
      </w:r>
      <w:r>
        <w:rPr>
          <w:rStyle w:val="apple-converted-space"/>
          <w:rFonts w:ascii="Helvetica" w:hAnsi="Helvetica"/>
          <w:color w:val="34495E"/>
          <w:sz w:val="27"/>
          <w:szCs w:val="27"/>
        </w:rPr>
        <w:t> </w:t>
      </w:r>
      <w:r>
        <w:rPr>
          <w:rStyle w:val="HTMLCode"/>
          <w:rFonts w:ascii="Monaco" w:hAnsi="Monaco"/>
          <w:color w:val="C7254E"/>
          <w:sz w:val="23"/>
          <w:szCs w:val="23"/>
          <w:shd w:val="clear" w:color="auto" w:fill="F9F2F4"/>
        </w:rPr>
        <w:t>Math</w:t>
      </w:r>
      <w:r>
        <w:rPr>
          <w:rStyle w:val="apple-converted-space"/>
          <w:rFonts w:ascii="Helvetica" w:hAnsi="Helvetica"/>
          <w:color w:val="34495E"/>
          <w:sz w:val="27"/>
          <w:szCs w:val="27"/>
        </w:rPr>
        <w:t> </w:t>
      </w:r>
      <w:r>
        <w:rPr>
          <w:rFonts w:ascii="Helvetica" w:hAnsi="Helvetica"/>
          <w:color w:val="34495E"/>
          <w:sz w:val="27"/>
          <w:szCs w:val="27"/>
        </w:rPr>
        <w:t>module in your current IRB/PRY environment by typing:</w:t>
      </w:r>
    </w:p>
    <w:p w14:paraId="267E9BF0" w14:textId="77777777" w:rsidR="001824EC" w:rsidRDefault="001824EC" w:rsidP="001824EC">
      <w:pPr>
        <w:pStyle w:val="HTMLPreformatted"/>
        <w:pBdr>
          <w:top w:val="single" w:sz="12" w:space="6" w:color="E6E9EB"/>
          <w:left w:val="single" w:sz="12" w:space="6" w:color="E6E9EB"/>
          <w:bottom w:val="single" w:sz="12" w:space="6" w:color="E6E9EB"/>
          <w:right w:val="single" w:sz="12" w:space="6" w:color="E6E9EB"/>
        </w:pBdr>
        <w:shd w:val="clear" w:color="auto" w:fill="FFFFFF"/>
        <w:wordWrap w:val="0"/>
        <w:spacing w:after="225"/>
        <w:rPr>
          <w:rFonts w:ascii="Monaco" w:hAnsi="Monaco"/>
          <w:color w:val="34495E"/>
        </w:rPr>
      </w:pPr>
      <w:r>
        <w:rPr>
          <w:rStyle w:val="HTMLCode"/>
          <w:rFonts w:ascii="Monaco" w:hAnsi="Monaco"/>
          <w:color w:val="34495E"/>
        </w:rPr>
        <w:t xml:space="preserve">include Math </w:t>
      </w:r>
    </w:p>
    <w:p w14:paraId="62310546" w14:textId="77777777" w:rsidR="001824EC" w:rsidRDefault="001824EC" w:rsidP="001824EC">
      <w:pPr>
        <w:rPr>
          <w:rFonts w:ascii="Times" w:eastAsia="Times New Roman" w:hAnsi="Times" w:cs="Times New Roman"/>
        </w:rPr>
      </w:pPr>
    </w:p>
    <w:p w14:paraId="0DA44C63" w14:textId="77777777" w:rsidR="00F4228E" w:rsidRDefault="001824EC">
      <w:r>
        <w:t>Indentation &amp; Flow</w:t>
      </w:r>
    </w:p>
    <w:p w14:paraId="73133266" w14:textId="77777777" w:rsidR="001824EC" w:rsidRDefault="001824EC"/>
    <w:p w14:paraId="42817B59" w14:textId="77777777" w:rsidR="001824EC" w:rsidRDefault="001824EC" w:rsidP="001824EC">
      <w:r>
        <w:t>Part 1</w:t>
      </w:r>
    </w:p>
    <w:p w14:paraId="7C65EEC1" w14:textId="77777777" w:rsidR="001824EC" w:rsidRDefault="001824EC" w:rsidP="001824EC">
      <w:pPr>
        <w:pStyle w:val="ListParagraph"/>
        <w:numPr>
          <w:ilvl w:val="0"/>
          <w:numId w:val="2"/>
        </w:numPr>
      </w:pPr>
      <w:r>
        <w:t>Key to understanding indentation is to recognize that code is usually inside other code</w:t>
      </w:r>
    </w:p>
    <w:p w14:paraId="6D8551C1" w14:textId="77777777" w:rsidR="001824EC" w:rsidRDefault="001824EC" w:rsidP="001824EC">
      <w:pPr>
        <w:pStyle w:val="ListParagraph"/>
        <w:numPr>
          <w:ilvl w:val="0"/>
          <w:numId w:val="2"/>
        </w:numPr>
      </w:pPr>
      <w:r>
        <w:t>Indentation helps us visualize this nesting</w:t>
      </w:r>
    </w:p>
    <w:p w14:paraId="2E9E4BD4" w14:textId="77777777" w:rsidR="001824EC" w:rsidRDefault="001824EC" w:rsidP="00234123"/>
    <w:p w14:paraId="09CFE174" w14:textId="77777777" w:rsidR="00234123" w:rsidRDefault="00234123" w:rsidP="00234123">
      <w:r>
        <w:t>Part 2 Control flow</w:t>
      </w:r>
    </w:p>
    <w:p w14:paraId="0708E607" w14:textId="77777777" w:rsidR="00234123" w:rsidRDefault="00234123" w:rsidP="00234123">
      <w:pPr>
        <w:pStyle w:val="ListParagraph"/>
        <w:numPr>
          <w:ilvl w:val="0"/>
          <w:numId w:val="3"/>
        </w:numPr>
      </w:pPr>
      <w:r>
        <w:t xml:space="preserve">Order in which the individual statements or “Instructions” are executed. </w:t>
      </w:r>
      <w:r>
        <w:sym w:font="Wingdings" w:char="F0E0"/>
      </w:r>
      <w:r>
        <w:t xml:space="preserve"> order of execution</w:t>
      </w:r>
    </w:p>
    <w:p w14:paraId="7B6D4792" w14:textId="77777777" w:rsidR="00234123" w:rsidRDefault="00234123" w:rsidP="00234123">
      <w:pPr>
        <w:pStyle w:val="ListParagraph"/>
        <w:numPr>
          <w:ilvl w:val="0"/>
          <w:numId w:val="3"/>
        </w:numPr>
      </w:pPr>
      <w:r>
        <w:t>Look at the definition of the object and not really the contents until its called</w:t>
      </w:r>
    </w:p>
    <w:p w14:paraId="2A5FB29D" w14:textId="77777777" w:rsidR="00234123" w:rsidRDefault="00234123" w:rsidP="00234123">
      <w:hyperlink r:id="rId6" w:history="1">
        <w:r w:rsidRPr="006D698A">
          <w:rPr>
            <w:rStyle w:val="Hyperlink"/>
          </w:rPr>
          <w:t>http://compass.lighthouselabs.ca/days/w1d2/activities/265</w:t>
        </w:r>
      </w:hyperlink>
    </w:p>
    <w:p w14:paraId="3453ED34" w14:textId="77777777" w:rsidR="00234123" w:rsidRDefault="00234123" w:rsidP="00234123"/>
    <w:p w14:paraId="12BFB843" w14:textId="77777777" w:rsidR="00234123" w:rsidRDefault="00234123" w:rsidP="00234123"/>
    <w:p w14:paraId="600CAA0B" w14:textId="77777777" w:rsidR="00234123" w:rsidRDefault="00234123" w:rsidP="00234123">
      <w:r>
        <w:t>Maximum Value</w:t>
      </w:r>
    </w:p>
    <w:p w14:paraId="60E461AE" w14:textId="77777777" w:rsidR="00234123" w:rsidRDefault="00234123" w:rsidP="00234123"/>
    <w:p w14:paraId="34842974" w14:textId="77777777" w:rsidR="00234123" w:rsidRDefault="00234123" w:rsidP="00234123">
      <w:bookmarkStart w:id="0" w:name="_GoBack"/>
      <w:bookmarkEnd w:id="0"/>
    </w:p>
    <w:sectPr w:rsidR="00234123" w:rsidSect="00F422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65E1"/>
    <w:multiLevelType w:val="hybridMultilevel"/>
    <w:tmpl w:val="6E00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537DA9"/>
    <w:multiLevelType w:val="hybridMultilevel"/>
    <w:tmpl w:val="411E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47BBF"/>
    <w:multiLevelType w:val="hybridMultilevel"/>
    <w:tmpl w:val="34B8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8E"/>
    <w:rsid w:val="001824EC"/>
    <w:rsid w:val="00234123"/>
    <w:rsid w:val="00280230"/>
    <w:rsid w:val="00786313"/>
    <w:rsid w:val="00F4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4D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824EC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24EC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24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2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E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4EC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2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824EC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24EC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24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2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E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4EC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2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41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18" w:space="12" w:color="E6E9EB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mpass.lighthouselabs.ca/days/w1d2/activities/26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1129</Characters>
  <Application>Microsoft Macintosh Word</Application>
  <DocSecurity>0</DocSecurity>
  <Lines>9</Lines>
  <Paragraphs>2</Paragraphs>
  <ScaleCrop>false</ScaleCrop>
  <Company>S Electronics LTD.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2016-03-29T15:33:00Z</dcterms:created>
  <dcterms:modified xsi:type="dcterms:W3CDTF">2016-03-30T00:45:00Z</dcterms:modified>
</cp:coreProperties>
</file>