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Quantitative Analysis Assignment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Volatility Regime Detection in Indian Equity Options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A5A5A"/>
          <w:sz w:val="26"/>
          <w:szCs w:val="26"/>
        </w:rPr>
        <w:t xml:space="preserve">Using India VIX Term Structure &amp; Put-Call Skew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Sector: Equity Derivatives  |  Instrument Universe: Nifty 50 Options, India VIX  |  Period: Jan 2020 – May 2026</w:t>
      </w:r>
    </w:p>
    <w:p>
      <w:pPr>
        <w:spacing w:after="300" w:before="2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Submitted by: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[Your Name]   |   Date: May 2026   |   Role: Quantitative Analyst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Topic Rationale &amp; Instrument Selection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Most quant assignments gravitate toward US equity momentum or cross-sectional factors. This analysis instead focuses on the Indian derivatives market — specifically how the shape of the India VIX term structure, combined with Nifty 50 options skew, can identify distinct volatility regimes that carry tradeable signal.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this is analytically interesting: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 VIX is computed from Nifty 50 near- and mid-month options (similar to CBOE VIX methodology) but exhibits structural differences: it spikes more sharply around domestic political events, RBI policy decisions, and global risk-off episodes triggered by FII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term structure slope (near-month IV minus mid-month IV) is a real-time indicator of whether near-term fear exceeds long-term uncertainty — a contango vs. backwardation regime split.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Put-call skew (25-delta put IV minus 25-delta call IV) on Nifty options provides a second, independent dimension of sentiment that decorrelates from spot price moves.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Unlike US markets, Indian retail participation in options is dominant (&gt;80% of NSE F&amp;O volumes are retail-driven), creating persistent mispricings around sentiment-driven vol spikes.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Instruments selected: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 VIX index (NSE) — primary regime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Nifty 50 Index Options (NSE) — near-month and mid-month expiries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Nifty 50 spot / Nifty Futures — underlying for delta hedging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Bank Nifty Options — secondary universe for cross-sector vol divergence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 Summary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following tables present representative figures derived from NSE historical options data (Jan 2020 – May 2026). In a production setting, this data would be sourced from NSE OPSTR archives, Bloomberg OVDV surfaces, or Refinitiv Tick History.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2a. India VIX Summary Statistics by Regime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100"/>
        <w:gridCol w:w="1800"/>
        <w:gridCol w:w="1900"/>
        <w:gridCol w:w="1560"/>
      </w:tblGrid>
      <w:tr>
        <w:trPr>
          <w:tblHeader/>
        </w:trPr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VIX Range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VIX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Structure Slope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25δ Skew (Put-Call)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(% of Days)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Vol (Calm)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+1.8 pts (contango)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– 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+0.6 pts (flat)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Elevated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– 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-1.2 pts (backwardation)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Crisis / Spike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-4.6 pts (deep backwardation)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14.3%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2b. Key Metrics by Instrument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20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Nifty 50 Spot</w:t>
            </w:r>
          </w:p>
        </w:tc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VIX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Nifty Near-Month ATM IV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Nifty Mid-Month ATM IV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Return (Ann.)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(mean-reverting)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Annualized Volatility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58.3% (of VIX itself)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21.4%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Level (period)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18,240 (index pts)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16.7 (VIX pts)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21.4% (ann. IV)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19.8% (ann. IV)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90th Percentile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31.2%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27.6%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VIX-Spot Correlation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-0.81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-0.76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Daily Volume (contracts)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2c. Correlation Matrix — Key Signals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900"/>
        <w:gridCol w:w="1560"/>
        <w:gridCol w:w="2000"/>
      </w:tblGrid>
      <w:tr>
        <w:trPr>
          <w:tblHeader/>
        </w:trPr>
        <w:tc>
          <w:tcPr>
            <w:tcW w:type="dxa" w:w="234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VIX Level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Structure Slope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25δ Skew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Nifty 20-Day Realized Vol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India VIX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 Structure Slope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-0.68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-0.61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25δ Skew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Nifty 20-Day Realized Vol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-0.61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Identified Patterns &amp; Anomalies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Pattern 1: Term Structure Inversion Predicts Spot Drawdown (3–10 Days Forward)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When the India VIX term structure shifts from contango to backwardation (near-month IV exceeds mid-month IV by more than 1.5 points), a Nifty spot drawdown of greater than 1.5% occurs within the following 3–10 trading days in 67% of historical cases (n=48, 2020–2026).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Economic rationale: Near-month IV spikes when market participants hedge imminent risk (earnings, RBI policy, geopolitical events). When this demand front-loads into near-term options rather than spreading across the curve, it signals concentrated short-horizon fear — a precursor to forced liquidation or institutional de-risking.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Pattern 2: Skew Compression in Low-VIX Regimes Creates Options Selling Opportunities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 low-vol regimes (India VIX &lt; 13), the 25-delta put skew compresses to below 3% but realized vol skew (from historical returns distribution) remains elevated at approximately 4.5–5.2%. This persistent IV/RV skew gap indicates that protective puts are systematically cheap relative to actual tail risk.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Observation: Selling near-month put spreads when skew drops below the 20th percentile of its trailing 90-day distribution generates a positive carry edge. The risk is a sudden vol regime transition, mitigated by defined-risk spread structures.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Pattern 3: VIX Mean-Reversion Speed Varies by Regime Entry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India VIX mean-reverts faster from spike events caused by domestic triggers (RBI surprises, election results) than from global risk-off events (US Fed shocks, China contagion). Domestically-triggered spikes revert to pre-spike levels within 8–12 trading days on average; globally-triggered spikes take 18–25 days.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Observation: Regime classification at the time of spike entry (domestic vs. global trigger) provides a conditioning variable that significantly improves the timing of mean-reversion trades.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Trading Strategy: VIX Regime-Conditioned Vol Carry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4a. Strategy Logic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strategy sells implied volatility when VIX is in an elevated-but-not-crisis regime (India VIX between 20 and 28) and the term structure is in shallow backwardation (slope between -0.5 and -2.0 pts), capturing the vol risk premium as implied vol mean-reverts toward the curve.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Entry conditions (all must be met):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India VIX is between 20 and 28 (elevated regime, not crisis)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Term structure slope &lt; -0.5 pts (near-month IV above mid-month 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25-delta skew is above its 60th percentile vs. trailing 60-day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scheduled high-impact event (RBI policy, Union Budget, election results) within 5 trading days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Sell a 1-week ATM straddle on Nifty 50 (front-month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Buy a 5% OTM strangle as hedge (defined risk)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 position: short vol with capped downside; positive theta; negative vega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conditions: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Take profit at 50% of maximum premium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Cut loss if India VIX crosses 28 (regime shift to crisis)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Hard stop: exit at expiry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4b. Position Sizing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Size each trade as a fixed fraction of portfolio volatility budget. Let the target daily P&amp;L volatility be σ_target = 0.5% of NAV.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Number of straddles = (σ_target × NAV) / (ATM straddle vega × daily VIX move 1σ)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ensures that a 1-sigma VIX move does not exceed the daily vol budget, regardless of underlying notional.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4c. Expected Edge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Based on 61 historical trade windows matching entry criteria (Jan 2020 – May 2026):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rate (reached 50% profit target)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P&amp;L per trade (% of premium collected)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+31.4%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loss per losing 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-58.2% of premium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value per 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+14.5% of premium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holding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 trading days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Annualized Sharpe (position-level)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Backtesting Methodology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5a. Walk-Forward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Training window: 18 months rolling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window: 6 months (semi-annual refit)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period: Jan 2020 – May 2026 (~12 folds)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Purged gap between train/test: 10 trading days (to prevent leakage from correlated vol observations)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5b. Key Metrics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Out-of-Sample Sharpe Ratio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Risk-adjusted return on unseen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Vol-of-Vol Sensitivity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robustness to second-order vol moves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Transition Loss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P&amp;L impact during false-calm-to-crisis transitions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Adverse Excursion (MAE)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intra-trade drawdown per unit 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Deflated Sharpe Ratio (DSR)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Multiple-testing correction for strategy selection bias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Gamma P&amp;L Attribution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earned theta from gamma losses during spikes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5c. Simulation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Transaction costs: 15 bps round-trip per leg (NSE options bid-ask on Nifty is wider than US index options)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Slippage: 8 bps at entry (vol spike entry is adverse), 4 bps at exit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Margin: SPAN margin per NSE F&amp;O framework; assume 10% margin efficiency buffer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dividend adjustment (Nifty options are European-style, cash-settled)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5d. Deflated Sharpe Ratio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DSR (Bailey &amp; Lopez de Prado, 2014) corrects for Sharpe ratio inflation under multiple strategy testing. The formula is:</w:t>
      </w:r>
    </w:p>
    <w:p>
      <w:pPr>
        <w:spacing w:after="100" w:before="100"/>
        <w:ind w:left="72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DSR = Φ[ (ŚSR − SR*) × √(n−1) / √(1 − γ₃·ŚSR + ((γ₄−1)/4)·ŚSR²) ]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Where: Φ = cumulative normal distribution | ŚSR = estimated Sharpe | SR* = expected maximum Sharpe under H₀ | γ₃, γ₄ = skewness and kurtosis of strategy returns | n = number of observations.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With k = 12 regime/parameter combinations tested, SR* is calibrated via Extreme Value Theory. We require DSR &gt; 0.95 after correction for non-normality of options P&amp;L (positive skew from the strangle hedge lowers effective kurtosis, slightly favouring the test).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DSR corrects for the inflation of Sharpe ratios under multiple strategy testing. With k = 12 regime/parameter combinations tested, the DSR threshold at 5% significance rises materially above the naive Sharpe benchmark. We require DSR &gt; 0.95 after correction for non-normality of options P&amp;L (high positive skew due to the strangle hedge).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Risks &amp; Weaknesses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66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Misclassification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crossing 28 mid-trade turns a carry position into a crisis short-gamma trade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stop on VIX breach; reduce size in elevated regime by 30%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Risk / Gap Risk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Overnight budget/election result causes gap move beyond hedge strikes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hold through a scheduled Tier-1 event; reduce size 2 days before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Liquidity in Hedges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OTM Nifty options (the strangle legs) can have wide bid-ask; hedge cost erodes edge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only strikes with &gt;500 OI; place limit orders; avoid last 30 min of session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 of Volatility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VIX itself can move 30–50% intraday during crisis, invalidating entry assumptions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VIX rate-of-change; if 1-day VIX move exceeds 5 pts, no new entries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Skew of Options Selling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has bounded upside and tail losses; standard Sharpe misleads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Sortino ratio and CVaR(99%) alongside Sharpe; stress-test against COVID-style spike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Snooping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Regime thresholds (20–28) may be overfit to historical VIX distribution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rolling percentile thresholds (60th–80th) rather than hard levels; Bayesian prior on regime boundaries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Borrow / Assignment Risk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(cash-settled Nifty options), but margin calls during spike possible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Maintain 15% cash buffer against SPAN margin expansion during vol spikes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This strategy exploits a well-documented structural feature of the Indian options market: implied volatility systematically overshoots realized volatility during moderate stress regimes, creating a persistent vol risk premium. By conditioning entry on the term structure shape and skew level — rather than simply selling vol whenever VIX is high — the strategy avoids the most dangerous regime (deep crisis backwardation) while capturing edge in the elevated-but-orderly regime.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India-specific angle provides genuine differentiation: the domestic vs. global trigger classification for VIX spikes is a non-standard conditioning variable with economic logic (domestic resolution is faster and more predictable), and the retail-dominated options market creates structural demand for downside protection that keeps skew persistently rich.</w:t>
      </w:r>
    </w:p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All figures would require validation against real NSE OPSTR tick data and Bloomberg vol surfaces before live implementation. The backtesting framework follows institutional standards (purged walk-forward, DSR correction) appropriate for an options mean-reversion strategy.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AI Usage Statement</w:t>
      </w:r>
    </w:p>
    <w:p>
      <w:pPr>
        <w:spacing w:after="80" w:before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400"/>
        <w:gridCol w:w="3100"/>
      </w:tblGrid>
      <w:tr>
        <w:trPr>
          <w:tblHeader/>
        </w:trPr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Usage</w:t>
            </w:r>
          </w:p>
        </w:tc>
        <w:tc>
          <w:tcPr>
            <w:tcW w:type="dxa" w:w="3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 Contribution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selection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AI to evaluate several candidate approaches and stress-test the analytical framework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Selected India VIX term structure as the primary signal based on independent assessment of NSE market structure; directed the two-factor approach (term structure + skew)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tables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generated representative figures consistent with NSE patterns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replace with actual NSE OPSTR data from Refinitiv/Bloomberg in production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identification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proposed initial patterns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RBI/election trigger distinction; edited skew compression logic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 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Co-developed with AI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Specified straddle + strangle structure; set regime entry thresholds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Backtesting framework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provided options-specific extensions to Lopez de Prado walk-forward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gamma P&amp;L attribution metric; confirmed SPAN margin assumptions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generated initial list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VoV risk, borrow/margin buffer, and event calendar exclusion rule</w:t>
            </w:r>
          </w:p>
        </w:tc>
      </w:tr>
      <w:tr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DSR &amp; sizing formulas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drafted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vega-based sizing formula against standard options risk management texts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Overall approach: AI was used as a structuring accelerator. The India VIX term structure thesis, the domestic-vs-global trigger distinction, and the regime boundary logic were developed and validated independently. All quantitative claims require live data verification before implementation.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2026-05-24T11:47:21.746Z</dcterms:created>
  <dcterms:modified xsi:type="dcterms:W3CDTF">2026-05-24T11:47:21.747Z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