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44546A"/>
          <w:sz w:val="24"/>
          <w:szCs w:val="24"/>
        </w:rPr>
        <w:t xml:space="preserve">Research Paper Analysis #05</w:t>
      </w:r>
    </w:p>
    <w:p>
      <w:pPr>
        <w:spacing w:after="120" w:before="400"/>
        <w:jc w:val="center"/>
      </w:pPr>
      <w:r>
        <w:rPr>
          <w:rFonts w:ascii="Calibri" w:cs="Calibri" w:eastAsia="Calibri" w:hAnsi="Calibri"/>
          <w:b/>
          <w:bCs/>
          <w:color w:val="1F3864"/>
          <w:sz w:val="44"/>
          <w:szCs w:val="44"/>
        </w:rPr>
        <w:t xml:space="preserve">Genomic Clues to a 200-Year Life</w:t>
      </w:r>
    </w:p>
    <w:p>
      <w:pPr>
        <w:spacing w:after="600" w:before="200"/>
        <w:jc w:val="center"/>
      </w:pPr>
      <w:r>
        <w:rPr>
          <w:rFonts w:ascii="Calibri" w:cs="Calibri" w:eastAsia="Calibri" w:hAnsi="Calibri"/>
          <w:i/>
          <w:iCs/>
          <w:sz w:val="26"/>
          <w:szCs w:val="26"/>
        </w:rPr>
        <w:t xml:space="preserve">A Critical Reading of “Insights into the Evolution of Longevity from the Bowhead Whale Genome”</w:t>
      </w:r>
    </w:p>
    <w:p>
      <w:pPr>
        <w:spacing w:after="800"/>
        <w:jc w:val="center"/>
      </w:pPr>
      <w:r>
        <w:rPr>
          <w:rFonts w:ascii="Calibri" w:cs="Calibri" w:eastAsia="Calibri" w:hAnsi="Calibri"/>
          <w:sz w:val="22"/>
          <w:szCs w:val="22"/>
        </w:rPr>
        <w:t xml:space="preserve">Keane, Semeiks, Webb, Li, Quesada et al. (2015), Cell Reports</w:t>
      </w:r>
    </w:p>
    <w:p>
      <w:pPr>
        <w:spacing w:after="80"/>
        <w:jc w:val="center"/>
      </w:pPr>
      <w:r>
        <w:rPr>
          <w:rFonts w:ascii="Calibri" w:cs="Calibri" w:eastAsia="Calibri" w:hAnsi="Calibri"/>
          <w:b/>
          <w:bCs/>
          <w:sz w:val="24"/>
          <w:szCs w:val="24"/>
        </w:rPr>
        <w:t xml:space="preserve">Sheryl S.</w:t>
      </w:r>
    </w:p>
    <w:p>
      <w:pPr>
        <w:spacing w:after="80"/>
        <w:jc w:val="center"/>
      </w:pPr>
      <w:r>
        <w:rPr>
          <w:rFonts w:ascii="Calibri" w:cs="Calibri" w:eastAsia="Calibri" w:hAnsi="Calibri"/>
          <w:sz w:val="22"/>
          <w:szCs w:val="22"/>
        </w:rPr>
        <w:t xml:space="preserve">Research Portfolio Series · Paper Analysis #05</w:t>
      </w:r>
    </w:p>
    <w:p>
      <w:pPr>
        <w:jc w:val="center"/>
      </w:pPr>
      <w:r>
        <w:rPr>
          <w:rFonts w:ascii="Calibri" w:cs="Calibri" w:eastAsia="Calibri" w:hAnsi="Calibri"/>
          <w:sz w:val="22"/>
          <w:szCs w:val="22"/>
        </w:rPr>
        <w:t xml:space="preserve">August 2026</w:t>
      </w:r>
    </w:p>
    <w:p>
      <w:r>
        <w:br w:type="page"/>
      </w:r>
    </w:p>
    <w:p>
      <w:pPr>
        <w:pStyle w:val="Heading1"/>
        <w:spacing w:after="160" w:before="320"/>
      </w:pPr>
      <w:r>
        <w:t xml:space="preserve">1. Research Background</w:t>
      </w:r>
    </w:p>
    <w:p>
      <w:pPr>
        <w:spacing w:after="160" w:line="300"/>
      </w:pPr>
      <w:r>
        <w:rPr>
          <w:rFonts w:ascii="Calibri" w:cs="Calibri" w:eastAsia="Calibri" w:hAnsi="Calibri"/>
          <w:sz w:val="22"/>
          <w:szCs w:val="22"/>
        </w:rPr>
        <w:t xml:space="preserve">Most of what the aging field knows about genetics comes from organisms that are convenient to study, not organisms that are good at aging well — mice, flies, worms, the occasional human cohort. None of those tell you much about the outer edge of what's biologically possible, because none of them are anywhere near it. If you actually want to find the genes that stop things from going wrong over centuries instead of years, the more direct move is to sequence something that already appears to have solved the problem.</w:t>
      </w:r>
    </w:p>
    <w:p>
      <w:pPr>
        <w:spacing w:after="160" w:line="300"/>
      </w:pPr>
      <w:r>
        <w:rPr>
          <w:rFonts w:ascii="Calibri" w:cs="Calibri" w:eastAsia="Calibri" w:hAnsi="Calibri"/>
          <w:sz w:val="22"/>
          <w:szCs w:val="22"/>
        </w:rPr>
        <w:t xml:space="preserve">The bowhead whale is about as good a candidate as exists for this: estimated to live past 200 years, among the largest animals alive, and reportedly free of the kind of age-related disease burden that catches up with humans decades earlier. That last point is what makes this more than a curiosity. Bowhead whales have vastly more cells than humans do, and every one of those cells divides many times over a 200-year lifespan, which by the basic logic of cancer biology should translate into a much higher cancer incidence, not a lower one. This is Peto's paradox in its most extreme form, and it's the puzzle this paper is really trying to make a dent in: somewhere in the bowhead genome there ought to be an answer for why more cells and more divisions haven't meant more cancer.</w:t>
      </w:r>
    </w:p>
    <w:p>
      <w:pPr>
        <w:pStyle w:val="Heading1"/>
        <w:spacing w:after="160" w:before="320"/>
      </w:pPr>
      <w:r>
        <w:t xml:space="preserve">2. Paper Overview</w:t>
      </w:r>
    </w:p>
    <w:p>
      <w:pPr>
        <w:spacing w:after="160" w:line="300"/>
      </w:pPr>
      <w:r>
        <w:rPr>
          <w:rFonts w:ascii="Calibri" w:cs="Calibri" w:eastAsia="Calibri" w:hAnsi="Calibri"/>
          <w:b/>
          <w:bCs/>
          <w:i w:val="false"/>
          <w:iCs w:val="false"/>
          <w:sz w:val="22"/>
          <w:szCs w:val="22"/>
        </w:rPr>
        <w:t xml:space="preserve">Paper reviewed: </w:t>
      </w:r>
      <w:r>
        <w:rPr>
          <w:rFonts w:ascii="Calibri" w:cs="Calibri" w:eastAsia="Calibri" w:hAnsi="Calibri"/>
          <w:b w:val="false"/>
          <w:bCs w:val="false"/>
          <w:i w:val="false"/>
          <w:iCs w:val="false"/>
          <w:sz w:val="22"/>
          <w:szCs w:val="22"/>
        </w:rPr>
        <w:t xml:space="preserve">“Insights into the Evolution of Longevity from the Bowhead Whale Genome” (2015), Michael Keane, Jeremy Semeiks, Andrew E. Webb, Yang I. Li, Víctor Quesada, and colleagues, Cell Reports.</w:t>
      </w:r>
    </w:p>
    <w:p>
      <w:pPr>
        <w:spacing w:after="160" w:line="300"/>
      </w:pPr>
      <w:r>
        <w:rPr>
          <w:rFonts w:ascii="Calibri" w:cs="Calibri" w:eastAsia="Calibri" w:hAnsi="Calibri"/>
          <w:b/>
          <w:bCs/>
          <w:i w:val="false"/>
          <w:iCs w:val="false"/>
          <w:sz w:val="22"/>
          <w:szCs w:val="22"/>
        </w:rPr>
        <w:t xml:space="preserve">Type: </w:t>
      </w:r>
      <w:r>
        <w:rPr>
          <w:rFonts w:ascii="Calibri" w:cs="Calibri" w:eastAsia="Calibri" w:hAnsi="Calibri"/>
          <w:b w:val="false"/>
          <w:bCs w:val="false"/>
          <w:i w:val="false"/>
          <w:iCs w:val="false"/>
          <w:sz w:val="22"/>
          <w:szCs w:val="22"/>
        </w:rPr>
        <w:t xml:space="preserve">Resource / primary research article — new genome sequencing plus comparative analysis, not a synthesis of prior published work. That distinction matters for how I read the methodology section: there is no prior pipeline to critique, only the choices the authors made in building one from nothing.</w:t>
      </w:r>
    </w:p>
    <w:p>
      <w:pPr>
        <w:spacing w:after="160" w:line="300"/>
      </w:pPr>
      <w:r>
        <w:rPr>
          <w:rFonts w:ascii="Calibri" w:cs="Calibri" w:eastAsia="Calibri" w:hAnsi="Calibri"/>
          <w:b/>
          <w:bCs/>
          <w:i w:val="false"/>
          <w:iCs w:val="false"/>
          <w:sz w:val="22"/>
          <w:szCs w:val="22"/>
        </w:rPr>
        <w:t xml:space="preserve">Area: </w:t>
      </w:r>
      <w:r>
        <w:rPr>
          <w:rFonts w:ascii="Calibri" w:cs="Calibri" w:eastAsia="Calibri" w:hAnsi="Calibri"/>
          <w:b w:val="false"/>
          <w:bCs w:val="false"/>
          <w:i w:val="false"/>
          <w:iCs w:val="false"/>
          <w:sz w:val="22"/>
          <w:szCs w:val="22"/>
        </w:rPr>
        <w:t xml:space="preserve">Comparative genomics, evolutionary biology of aging.</w:t>
      </w:r>
    </w:p>
    <w:p>
      <w:pPr>
        <w:spacing w:after="160" w:line="300"/>
      </w:pPr>
      <w:r>
        <w:rPr>
          <w:rFonts w:ascii="Calibri" w:cs="Calibri" w:eastAsia="Calibri" w:hAnsi="Calibri"/>
          <w:sz w:val="22"/>
          <w:szCs w:val="22"/>
        </w:rPr>
        <w:t xml:space="preserve">The paper's central contribution is the first genome sequence, plus two population transcriptomes, of the bowhead whale, compared against minke whale, dolphin, cow, and a wider set of mammals to identify genes that changed specifically along the bowhead lineage. The headline candidates are concentrated in DNA repair and cell-cycle genes — ERCC1, HDAC1, HDAC2, PCNA, FOXO3 — alongside a smaller set of genes tied to other bowhead traits such as thermoregulation (UCP1) and underwater sound production (OTOR, CHRNA10).</w:t>
      </w:r>
    </w:p>
    <w:p>
      <w:pPr>
        <w:pStyle w:val="Heading1"/>
        <w:spacing w:after="160" w:before="320"/>
      </w:pPr>
      <w:r>
        <w:t xml:space="preserve">3. Conceptual / Methodological Framework</w:t>
      </w:r>
    </w:p>
    <w:p>
      <w:pPr>
        <w:spacing w:after="160" w:line="300"/>
      </w:pPr>
      <w:r>
        <w:rPr>
          <w:rFonts w:ascii="Calibri" w:cs="Calibri" w:eastAsia="Calibri" w:hAnsi="Calibri"/>
          <w:sz w:val="22"/>
          <w:szCs w:val="22"/>
        </w:rPr>
        <w:t xml:space="preserve">Since no bowhead whale genome existed before this paper, the methodology starts a full step earlier than most comparative genomics papers: before anything can be compared, the reference itself has to be built. As reported in the paper, this proceeded roughly as follows:</w:t>
      </w:r>
    </w:p>
    <w:p>
      <w:pPr>
        <w:pStyle w:val="ListParagraph"/>
        <w:numPr>
          <w:ilvl w:val="0"/>
          <w:numId w:val="2"/>
        </w:numPr>
        <w:spacing w:after="100" w:line="280"/>
      </w:pPr>
      <w:r>
        <w:rPr>
          <w:rFonts w:ascii="Calibri" w:cs="Calibri" w:eastAsia="Calibri" w:hAnsi="Calibri"/>
          <w:sz w:val="22"/>
          <w:szCs w:val="22"/>
        </w:rPr>
        <w:t xml:space="preserve">Sequencing and assembly: paired-end and mate-pair Illumina libraries at roughly 150× raw coverage, assembled with ALLPATHS-LG into a 2.3 Gb draft genome, checked for completeness against core eukaryotic gene sets.</w:t>
      </w:r>
    </w:p>
    <w:p>
      <w:pPr>
        <w:pStyle w:val="ListParagraph"/>
        <w:numPr>
          <w:ilvl w:val="0"/>
          <w:numId w:val="2"/>
        </w:numPr>
        <w:spacing w:after="100" w:line="280"/>
      </w:pPr>
      <w:r>
        <w:rPr>
          <w:rFonts w:ascii="Calibri" w:cs="Calibri" w:eastAsia="Calibri" w:hAnsi="Calibri"/>
          <w:sz w:val="22"/>
          <w:szCs w:val="22"/>
        </w:rPr>
        <w:t xml:space="preserve">Annotation: seven-tissue transcriptome data combined with homology to cow, human, and mouse, plus ab initio gene prediction (MAKER2), calling 22,672 protein-coding genes.</w:t>
      </w:r>
    </w:p>
    <w:p>
      <w:pPr>
        <w:pStyle w:val="ListParagraph"/>
        <w:numPr>
          <w:ilvl w:val="0"/>
          <w:numId w:val="2"/>
        </w:numPr>
        <w:spacing w:after="100" w:line="280"/>
      </w:pPr>
      <w:r>
        <w:rPr>
          <w:rFonts w:ascii="Calibri" w:cs="Calibri" w:eastAsia="Calibri" w:hAnsi="Calibri"/>
          <w:sz w:val="22"/>
          <w:szCs w:val="22"/>
        </w:rPr>
        <w:t xml:space="preserve">Two selection scans, run for different reasons: a fast pairwise dN/dS scan across bowhead–minke–cow–dolphin orthologs, giving a coarse picture across thousands of genes cheaply, followed by a more computationally expensive codon-based maximum-likelihood approach (PAML) restricted to a smaller, quality-filtered set of single-copy orthologs, used to test specific branches of the tree — bowhead, minke, orca, and their ancestors — for statistically defensible positive selection.</w:t>
      </w:r>
    </w:p>
    <w:p>
      <w:pPr>
        <w:pStyle w:val="ListParagraph"/>
        <w:numPr>
          <w:ilvl w:val="0"/>
          <w:numId w:val="2"/>
        </w:numPr>
        <w:spacing w:after="100" w:line="280"/>
      </w:pPr>
      <w:r>
        <w:rPr>
          <w:rFonts w:ascii="Calibri" w:cs="Calibri" w:eastAsia="Calibri" w:hAnsi="Calibri"/>
          <w:sz w:val="22"/>
          <w:szCs w:val="22"/>
        </w:rPr>
        <w:t xml:space="preserve">A separate scan for amino acid residues unique to bowhead against nine other mammals — a different question from selection testing, since a residue can be unique to bowhead without having been positively selected, and vice versa.</w:t>
      </w:r>
    </w:p>
    <w:p>
      <w:pPr>
        <w:pStyle w:val="ListParagraph"/>
        <w:numPr>
          <w:ilvl w:val="0"/>
          <w:numId w:val="2"/>
        </w:numPr>
        <w:spacing w:after="100" w:line="280"/>
      </w:pPr>
      <w:r>
        <w:rPr>
          <w:rFonts w:ascii="Calibri" w:cs="Calibri" w:eastAsia="Calibri" w:hAnsi="Calibri"/>
          <w:sz w:val="22"/>
          <w:szCs w:val="22"/>
        </w:rPr>
        <w:t xml:space="preserve">Gene family expansion and loss, identified by reconciling gene trees against the species tree, filtered against a percentage-identity threshold to remove likely pseudogene or assembly artifacts, then cross-checked against RNA-seq expression data.</w:t>
      </w:r>
    </w:p>
    <w:p>
      <w:pPr>
        <w:pStyle w:val="ListParagraph"/>
        <w:numPr>
          <w:ilvl w:val="0"/>
          <w:numId w:val="2"/>
        </w:numPr>
        <w:spacing w:after="100" w:line="280"/>
      </w:pPr>
      <w:r>
        <w:rPr>
          <w:rFonts w:ascii="Calibri" w:cs="Calibri" w:eastAsia="Calibri" w:hAnsi="Calibri"/>
          <w:sz w:val="22"/>
          <w:szCs w:val="22"/>
        </w:rPr>
        <w:t xml:space="preserve">A structural follow-up, mapping the lineage-specific PCNA residues onto an existing PCNA–FEN1 crystal structure, to assess whether a sequence-level change had a plausible physical mechanism behind it.</w:t>
      </w:r>
    </w:p>
    <w:p>
      <w:pPr>
        <w:pStyle w:val="Heading2"/>
        <w:spacing w:after="120" w:before="240"/>
      </w:pPr>
      <w:r>
        <w:t xml:space="preserve">3.1 Pipeline Overview</w:t>
      </w:r>
    </w:p>
    <w:p>
      <w:pPr>
        <w:spacing w:after="160" w:line="300"/>
      </w:pPr>
      <w:r>
        <w:rPr>
          <w:rFonts w:ascii="Calibri" w:cs="Calibri" w:eastAsia="Calibri" w:hAnsi="Calibri"/>
          <w:sz w:val="22"/>
          <w:szCs w:val="22"/>
        </w:rPr>
        <w:t xml:space="preserve">The overall process, as described in the paper, compresses into a roughly linear chain:</w:t>
      </w:r>
    </w:p>
    <w:p>
      <w:pPr>
        <w:spacing w:after="160" w:line="300"/>
      </w:pPr>
      <w:r>
        <w:rPr>
          <w:rFonts w:ascii="Calibri" w:cs="Calibri" w:eastAsia="Calibri" w:hAnsi="Calibri"/>
          <w:b w:val="false"/>
          <w:bCs w:val="false"/>
          <w:i/>
          <w:iCs/>
          <w:sz w:val="22"/>
          <w:szCs w:val="22"/>
        </w:rPr>
        <w:t xml:space="preserve">Raw sequencing reads → genome assembly (ALLPATHS-LG) + annotation (MAKER2) → comparative alignment across cetaceans and mammals → selection scans (dN/dS, PAML) + unique-residue scan + gene family expansion/loss → candidate genes (ERCC1, PCNA, HDAC1/2, FOXO3, UCP1…) → structural and expression cross-checks → candidate mechanisms for cancer resistance and longevity</w:t>
      </w:r>
    </w:p>
    <w:p>
      <w:pPr>
        <w:pStyle w:val="Heading1"/>
        <w:spacing w:after="160" w:before="320"/>
      </w:pPr>
      <w:r>
        <w:t xml:space="preserve">4. Key Findings</w:t>
      </w:r>
    </w:p>
    <w:p>
      <w:pPr>
        <w:pStyle w:val="ListParagraph"/>
        <w:numPr>
          <w:ilvl w:val="0"/>
          <w:numId w:val="2"/>
        </w:numPr>
        <w:spacing w:after="100" w:line="280"/>
      </w:pPr>
      <w:r>
        <w:rPr>
          <w:rFonts w:ascii="Calibri" w:cs="Calibri" w:eastAsia="Calibri" w:hAnsi="Calibri"/>
          <w:sz w:val="22"/>
          <w:szCs w:val="22"/>
        </w:rPr>
        <w:t xml:space="preserve">Of 319 rigorously filtered single-gene ortholog families tested with PAML, 15 showed lineage-specific positive selection signatures in bowhead and 10 in minke — a modest number the authors attribute to high protein conservation between cetaceans plus their own stringent filtering.</w:t>
      </w:r>
    </w:p>
    <w:p>
      <w:pPr>
        <w:pStyle w:val="ListParagraph"/>
        <w:numPr>
          <w:ilvl w:val="0"/>
          <w:numId w:val="2"/>
        </w:numPr>
        <w:spacing w:after="100" w:line="280"/>
      </w:pPr>
      <w:r>
        <w:rPr>
          <w:rFonts w:ascii="Calibri" w:cs="Calibri" w:eastAsia="Calibri" w:hAnsi="Calibri"/>
          <w:sz w:val="22"/>
          <w:szCs w:val="22"/>
        </w:rPr>
        <w:t xml:space="preserve">Bowhead-unique residues concentrate, by normalized protein length, in ERCC1, HDAC1, and HDAC2 — all three tied to DNA repair or chromatin regulation. ERCC1 disruption is separately known, from mouse knockout studies cited in the paper, to cause severe premature aging.</w:t>
      </w:r>
    </w:p>
    <w:p>
      <w:pPr>
        <w:pStyle w:val="ListParagraph"/>
        <w:numPr>
          <w:ilvl w:val="0"/>
          <w:numId w:val="2"/>
        </w:numPr>
        <w:spacing w:after="100" w:line="280"/>
      </w:pPr>
      <w:r>
        <w:rPr>
          <w:rFonts w:ascii="Calibri" w:cs="Calibri" w:eastAsia="Calibri" w:hAnsi="Calibri"/>
          <w:sz w:val="22"/>
          <w:szCs w:val="22"/>
        </w:rPr>
        <w:t xml:space="preserve">In the coarser bowhead–minke dN/dS comparison, SOCS2, APTX, NOG, and LEP show dN/dS above 1; FOXO3, ERCC3, and FGFR1 show the fastest relative evolution specifically on the bowhead branch.</w:t>
      </w:r>
    </w:p>
    <w:p>
      <w:pPr>
        <w:pStyle w:val="ListParagraph"/>
        <w:numPr>
          <w:ilvl w:val="0"/>
          <w:numId w:val="2"/>
        </w:numPr>
        <w:spacing w:after="100" w:line="280"/>
      </w:pPr>
      <w:r>
        <w:rPr>
          <w:rFonts w:ascii="Calibri" w:cs="Calibri" w:eastAsia="Calibri" w:hAnsi="Calibri"/>
          <w:sz w:val="22"/>
          <w:szCs w:val="22"/>
        </w:rPr>
        <w:t xml:space="preserve">PCNA — a core DNA-repair and cell-cycle clamp protein — is duplicated in bowhead, with one copy carrying four lineage-specific residue changes. Both copies are expressed across four tissues, and one substitution (Q38H) sits at the modeled PCNA–FEN1 interface; a second substitution (D58S) shows a posterior probability of positive selection of 0.983.</w:t>
      </w:r>
    </w:p>
    <w:p>
      <w:pPr>
        <w:pStyle w:val="ListParagraph"/>
        <w:numPr>
          <w:ilvl w:val="0"/>
          <w:numId w:val="2"/>
        </w:numPr>
        <w:spacing w:after="100" w:line="280"/>
      </w:pPr>
      <w:r>
        <w:rPr>
          <w:rFonts w:ascii="Calibri" w:cs="Calibri" w:eastAsia="Calibri" w:hAnsi="Calibri"/>
          <w:sz w:val="22"/>
          <w:szCs w:val="22"/>
        </w:rPr>
        <w:t xml:space="preserve">UCP1 carries a premature stop codon that is shared across whale lineages generally, not unique to bowhead, which the authors tentatively connect to thermoregulation given the low mass-specific metabolic rate of large whales.</w:t>
      </w:r>
    </w:p>
    <w:p>
      <w:pPr>
        <w:pStyle w:val="ListParagraph"/>
        <w:numPr>
          <w:ilvl w:val="0"/>
          <w:numId w:val="2"/>
        </w:numPr>
        <w:spacing w:after="100" w:line="280"/>
      </w:pPr>
      <w:r>
        <w:rPr>
          <w:rFonts w:ascii="Calibri" w:cs="Calibri" w:eastAsia="Calibri" w:hAnsi="Calibri"/>
          <w:sz w:val="22"/>
          <w:szCs w:val="22"/>
        </w:rPr>
        <w:t xml:space="preserve">Several genes are lost rather than gained: CASP12 (an inflammatory caspase modulator, conserved and functional in almost all other terrestrial mammals but carrying deleterious variants in most human populations, with presumably similar functional consequences), CPA2/CPA3 (variants of which are associated with elevated prostate cancer risk in humans), OTUD6A (innate immune), and MMP20 (enamel formation, independently lost in bowhead and minke).</w:t>
      </w:r>
    </w:p>
    <w:p>
      <w:pPr>
        <w:pStyle w:val="ListParagraph"/>
        <w:numPr>
          <w:ilvl w:val="0"/>
          <w:numId w:val="2"/>
        </w:numPr>
        <w:spacing w:after="100" w:line="280"/>
      </w:pPr>
      <w:r>
        <w:rPr>
          <w:rFonts w:ascii="Calibri" w:cs="Calibri" w:eastAsia="Calibri" w:hAnsi="Calibri"/>
          <w:sz w:val="22"/>
          <w:szCs w:val="22"/>
        </w:rPr>
        <w:t xml:space="preserve">Other bowhead-specific duplications include LAMTOR1 (an mTORC1 activator, a pathway with well-established links to aging and cancer) and apparent duplicates of PSMD4 and UCHL3, both tied to the proteasome-ubiquitin system, separately flagged elsewhere as under selection in long-lived lineages.</w:t>
      </w:r>
    </w:p>
    <w:p>
      <w:pPr>
        <w:spacing w:after="160" w:line="300"/>
      </w:pPr>
      <w:r>
        <w:rPr>
          <w:rFonts w:ascii="Calibri" w:cs="Calibri" w:eastAsia="Calibri" w:hAnsi="Calibri"/>
          <w:sz w:val="22"/>
          <w:szCs w:val="22"/>
        </w:rPr>
        <w:t xml:space="preserve">What stands out to me here isn't any single gene — it's that three fairly independent analytical routes reported in the paper (the coarse dN/dS scan, the more rigorous PAML branch tests, and the unrelated unique-residue scan) converge on the same functional neighborhood: DNA repair and cell-cycle control. When three different statistical lenses point to the same biology, that convergence is a reasonable, if not conclusive, sign the signal isn't an artifact of any one method's assumptions.</w:t>
      </w:r>
    </w:p>
    <w:p>
      <w:pPr>
        <w:pStyle w:val="Heading2"/>
        <w:spacing w:after="120" w:before="240"/>
      </w:pPr>
      <w:r>
        <w:t xml:space="preserve">4.1 Evidence Types and Candidate Genes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Analysis</w:t>
            </w:r>
          </w:p>
        </w:tc>
        <w:tc>
          <w:tcPr>
            <w:tcW w:type="dxa" w:w="3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What It Detects</w:t>
            </w:r>
          </w:p>
        </w:tc>
        <w:tc>
          <w:tcPr>
            <w:tcW w:type="dxa" w:w="34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Candidates Surfaced</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Pairwise dN/dS (bowhead–minke)</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Genes evolving fast relative to a close relative</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SOCS2, APTX, NOG, LEP, FOXO3, ERCC3, FGFR1</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PAML codon-based branch tests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Statistically rigorous, lineage-specific positive selection</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15 gene families in bowhead (of 319 tested)</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Bowhead-unique residue scan</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Amino acids unique to bowhead across 9 mammals</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ERCC1, HDAC1, HDAC2</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Gene family expansion/loss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Duplications and losses, filtered against expression</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PCNA, LAMTOR1, PSMD4, UCHL3 (gained); CASP12, CPA2/3, OTUD6A, MMP20 (lost)</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Structural modeling</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Physical plausibility of a sequence-level change</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PCNA Q38H at the PCNA–FEN1 interface</w:t>
            </w:r>
          </w:p>
        </w:tc>
      </w:tr>
    </w:tbl>
    <w:p>
      <w:pPr>
        <w:pStyle w:val="Heading1"/>
        <w:spacing w:after="160" w:before="320"/>
      </w:pPr>
      <w:r>
        <w:t xml:space="preserve">5. Critical Analysis</w:t>
      </w:r>
    </w:p>
    <w:p>
      <w:pPr>
        <w:pStyle w:val="Heading2"/>
        <w:spacing w:after="120" w:before="240"/>
      </w:pPr>
      <w:r>
        <w:t xml:space="preserve">5.1 Strengths</w:t>
      </w:r>
    </w:p>
    <w:p>
      <w:pPr>
        <w:pStyle w:val="ListParagraph"/>
        <w:numPr>
          <w:ilvl w:val="0"/>
          <w:numId w:val="2"/>
        </w:numPr>
        <w:spacing w:after="100" w:line="280"/>
      </w:pPr>
      <w:r>
        <w:rPr>
          <w:rFonts w:ascii="Calibri" w:cs="Calibri" w:eastAsia="Calibri" w:hAnsi="Calibri"/>
          <w:sz w:val="22"/>
          <w:szCs w:val="22"/>
        </w:rPr>
        <w:t xml:space="preserve">First reference genome and two independent transcriptomes for a species with none previously available, released publicly through a dedicated data portal.</w:t>
      </w:r>
    </w:p>
    <w:p>
      <w:pPr>
        <w:pStyle w:val="ListParagraph"/>
        <w:numPr>
          <w:ilvl w:val="0"/>
          <w:numId w:val="2"/>
        </w:numPr>
        <w:spacing w:after="100" w:line="280"/>
      </w:pPr>
      <w:r>
        <w:rPr>
          <w:rFonts w:ascii="Calibri" w:cs="Calibri" w:eastAsia="Calibri" w:hAnsi="Calibri"/>
          <w:sz w:val="22"/>
          <w:szCs w:val="22"/>
        </w:rPr>
        <w:t xml:space="preserve">Several independent analytical approaches converge on the same functional theme — DNA repair and cell cycle — rather than each pointing somewhere different.</w:t>
      </w:r>
    </w:p>
    <w:p>
      <w:pPr>
        <w:pStyle w:val="ListParagraph"/>
        <w:numPr>
          <w:ilvl w:val="0"/>
          <w:numId w:val="2"/>
        </w:numPr>
        <w:spacing w:after="100" w:line="280"/>
      </w:pPr>
      <w:r>
        <w:rPr>
          <w:rFonts w:ascii="Calibri" w:cs="Calibri" w:eastAsia="Calibri" w:hAnsi="Calibri"/>
          <w:sz w:val="22"/>
          <w:szCs w:val="22"/>
        </w:rPr>
        <w:t xml:space="preserve">The PCNA finding is supported by structural modeling against a known crystal structure, not just a sequence alignment, which is a meaningfully stronger form of evidence than a residue change alone.</w:t>
      </w:r>
    </w:p>
    <w:p>
      <w:pPr>
        <w:pStyle w:val="ListParagraph"/>
        <w:numPr>
          <w:ilvl w:val="0"/>
          <w:numId w:val="2"/>
        </w:numPr>
        <w:spacing w:after="100" w:line="280"/>
      </w:pPr>
      <w:r>
        <w:rPr>
          <w:rFonts w:ascii="Calibri" w:cs="Calibri" w:eastAsia="Calibri" w:hAnsi="Calibri"/>
          <w:sz w:val="22"/>
          <w:szCs w:val="22"/>
        </w:rPr>
        <w:t xml:space="preserve">Candidate gene calls are cross-checked against real tissue expression data rather than left as purely computational predictions.</w:t>
      </w:r>
    </w:p>
    <w:p>
      <w:pPr>
        <w:pStyle w:val="Heading2"/>
        <w:spacing w:after="120" w:before="240"/>
      </w:pPr>
      <w:r>
        <w:t xml:space="preserve">5.2 Weaknesses</w:t>
      </w:r>
    </w:p>
    <w:p>
      <w:pPr>
        <w:pStyle w:val="ListParagraph"/>
        <w:numPr>
          <w:ilvl w:val="0"/>
          <w:numId w:val="2"/>
        </w:numPr>
        <w:spacing w:after="100" w:line="280"/>
      </w:pPr>
      <w:r>
        <w:rPr>
          <w:rFonts w:ascii="Calibri" w:cs="Calibri" w:eastAsia="Calibri" w:hAnsi="Calibri"/>
          <w:sz w:val="22"/>
          <w:szCs w:val="22"/>
        </w:rPr>
        <w:t xml:space="preserve">The genome is built from a single individual. Population-level variation is not captured, so there is no way to determine, from this dataset alone, whether a given “bowhead-specific” residue is fixed across the species or is simply the variant carried by this one whale.</w:t>
      </w:r>
    </w:p>
    <w:p>
      <w:pPr>
        <w:pStyle w:val="ListParagraph"/>
        <w:numPr>
          <w:ilvl w:val="0"/>
          <w:numId w:val="2"/>
        </w:numPr>
        <w:spacing w:after="100" w:line="280"/>
      </w:pPr>
      <w:r>
        <w:rPr>
          <w:rFonts w:ascii="Calibri" w:cs="Calibri" w:eastAsia="Calibri" w:hAnsi="Calibri"/>
          <w:sz w:val="22"/>
          <w:szCs w:val="22"/>
        </w:rPr>
        <w:t xml:space="preserve">The assembly is fragmented by current standards — contig N50 of 34.8 kb, scaffold N50 of 877 kb — which bears directly on the gene-loss claims. Concluding a gene is absent, as with OTUD6A, requires distinguishing a true loss from a gap in an incomplete assembly, and a short-read, second-generation assembly does not make that distinction straightforward.</w:t>
      </w:r>
    </w:p>
    <w:p>
      <w:pPr>
        <w:pStyle w:val="ListParagraph"/>
        <w:numPr>
          <w:ilvl w:val="0"/>
          <w:numId w:val="2"/>
        </w:numPr>
        <w:spacing w:after="100" w:line="280"/>
      </w:pPr>
      <w:r>
        <w:rPr>
          <w:rFonts w:ascii="Calibri" w:cs="Calibri" w:eastAsia="Calibri" w:hAnsi="Calibri"/>
          <w:sz w:val="22"/>
          <w:szCs w:val="22"/>
        </w:rPr>
        <w:t xml:space="preserve">Every candidate gene in the paper is explicitly framed by the authors as a candidate. None of the findings involve a knockout, an overexpression assay, or a binding measurement. The PCNA–FEN1 structural argument is the closest the paper comes to functional evidence, and it remains a plausibility argument rather than a measured one.</w:t>
      </w:r>
    </w:p>
    <w:p>
      <w:pPr>
        <w:pStyle w:val="ListParagraph"/>
        <w:numPr>
          <w:ilvl w:val="0"/>
          <w:numId w:val="2"/>
        </w:numPr>
        <w:spacing w:after="100" w:line="280"/>
      </w:pPr>
      <w:r>
        <w:rPr>
          <w:rFonts w:ascii="Calibri" w:cs="Calibri" w:eastAsia="Calibri" w:hAnsi="Calibri"/>
          <w:sz w:val="22"/>
          <w:szCs w:val="22"/>
        </w:rPr>
        <w:t xml:space="preserve">Sample sizes for the transcriptome and small-RNA components are small — SNP estimates are based on two individuals, and tissue coverage per individual is limited — which constrains how far the expression findings can be generalized.</w:t>
      </w:r>
    </w:p>
    <w:p>
      <w:pPr>
        <w:pStyle w:val="Heading2"/>
        <w:spacing w:after="120" w:before="240"/>
      </w:pPr>
      <w:r>
        <w:t xml:space="preserve">5.3 Advantages vs. Limitations,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Advantage</w:t>
            </w:r>
          </w:p>
        </w:tc>
        <w:tc>
          <w:tcPr>
            <w:tcW w:type="dxa" w:w="467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Corresponding Limitation</w:t>
            </w:r>
          </w:p>
        </w:tc>
      </w:tr>
      <w:tr>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First bowhead reference genome, openly released</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Built from a single individual; no population-level variation captured</w:t>
            </w:r>
          </w:p>
        </w:tc>
      </w:tr>
      <w:tr>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Multiple independent analyses converge on DNA repair / cell cycle</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None are functional experiments — all findings remain correlational</w:t>
            </w:r>
          </w:p>
        </w:tc>
      </w:tr>
      <w:tr>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PCNA finding grounded in a real crystal structure</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Structural plausibility is not the same as a measured binding change</w:t>
            </w:r>
          </w:p>
        </w:tc>
      </w:tr>
      <w:tr>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Gene duplicates checked against real RNA-seq expression</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Expression data drawn from very few individuals and tissues</w:t>
            </w:r>
          </w:p>
        </w:tc>
      </w:tr>
      <w:tr>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Stringent filtering reduces false-positive gene calls</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The same filtering discards substantial raw signal (866→319 tested families; 575→41 expansions)</w:t>
            </w:r>
          </w:p>
        </w:tc>
      </w:tr>
    </w:tbl>
    <w:p>
      <w:pPr>
        <w:pStyle w:val="Heading2"/>
        <w:spacing w:after="120" w:before="240"/>
      </w:pPr>
      <w:r>
        <w:t xml:space="preserve">5.4 Evidence and Methodological Scrutiny</w:t>
      </w:r>
    </w:p>
    <w:p>
      <w:pPr>
        <w:spacing w:after="160" w:line="300"/>
      </w:pPr>
      <w:r>
        <w:rPr>
          <w:rFonts w:ascii="Calibri" w:cs="Calibri" w:eastAsia="Calibri" w:hAnsi="Calibri"/>
          <w:sz w:val="22"/>
          <w:szCs w:val="22"/>
        </w:rPr>
        <w:t xml:space="preserve">The paper itself does not frame its results against alternative study designs — the comparison below is my own analytical addition, not a claim made by the authors. It is the comparison I found myself returning to throughout the results section: how does a single-species, closest-relative design like this one compare with the large-scale, many-species phylogenetic approaches that became feasible once genome sequencing costs fell far enough to make them practical.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34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Single-Reference Comparison (this paper)</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Multi-Species Phylogenetic Comparison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Species compared</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Bowhead vs. a handful of close relatives (minke, dolphin, cow) plus a modest outgroup set</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Genome-wide alignment across hundreds of mammals spanning the full range of lifespans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Signal detected</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Lineage-specific changes on the bowhead branch specifically</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Convergent changes shared across many independently long-lived lineages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Statistical power</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Limited — after filtering, only 319 ortholog families were rigorously testable</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Higher — thousands of genes screened with enough species for phylogenetic regression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Risk of false attribution</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A bowhead-unique change could reflect its own recent evolutionary history rather than longevity specifically</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Convergent evolution across unrelated long-lived lineages is harder to explain by chance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Data requirements</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One well-sequenced genome plus a handful of relatives, achievable by a single lab</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Coordinated, consortium-scale sequencing and alignment effort</w:t>
            </w:r>
          </w:p>
        </w:tc>
      </w:tr>
    </w:tbl>
    <w:p>
      <w:pPr>
        <w:spacing w:after="160" w:line="300"/>
      </w:pPr>
      <w:r>
        <w:rPr>
          <w:rFonts w:ascii="Calibri" w:cs="Calibri" w:eastAsia="Calibri" w:hAnsi="Calibri"/>
          <w:sz w:val="22"/>
          <w:szCs w:val="22"/>
        </w:rPr>
        <w:t xml:space="preserve">This distinction matters for how the paper's evidence should be read. What the authors establish is analytical validity within their own dataset: a defensible statistical signal that specific residues and gene families changed along the bowhead lineage. What the paper does not, and does not claim to, establish is biological validity — that these changes actually cause the observed longevity or cancer resistance — or anything approaching clinical utility. The gap between “this gene changed on this branch” and “this gene explains why bowheads live 200 years” is not closed anywhere in the paper, and the authors are consistent about saying so.</w:t>
      </w:r>
    </w:p>
    <w:p>
      <w:pPr>
        <w:pStyle w:val="Heading2"/>
        <w:spacing w:after="120" w:before="240"/>
      </w:pPr>
      <w:r>
        <w:t xml:space="preserve">5.5 My Perspective</w:t>
      </w:r>
    </w:p>
    <w:p>
      <w:pPr>
        <w:spacing w:after="160" w:line="300"/>
      </w:pPr>
      <w:r>
        <w:rPr>
          <w:rFonts w:ascii="Calibri" w:cs="Calibri" w:eastAsia="Calibri" w:hAnsi="Calibri"/>
          <w:sz w:val="22"/>
          <w:szCs w:val="22"/>
        </w:rPr>
        <w:t xml:space="preserve">The finding I trust least is the UCP1 result, more than any of the DNA-repair candidates. It is presented alongside the bowhead-specific findings, but it is not itself bowhead-specific: the premature stop codon is shared across whale lineages generally, according to the alignment the authors present. That means it is telling us something about cetaceans as a group, or possibly about large body size and thermoregulation, rather than anything particular to why bowheads specifically reach 200 years while their shorter-lived cousins do not. I initially read the UCP1 result with the same weight as the PCNA duplication; going back through the alignment in Figure 2B is what made the distinction between a bowhead-specific change and a whale-wide one clear to me, and it changed how I weigh every other claim in the results section — not every finding described as relevant to “bowhead traits” is actually specific to the bowhead lineage.</w:t>
      </w:r>
    </w:p>
    <w:p>
      <w:pPr>
        <w:spacing w:after="160" w:line="300"/>
      </w:pPr>
      <w:r>
        <w:rPr>
          <w:rFonts w:ascii="Calibri" w:cs="Calibri" w:eastAsia="Calibri" w:hAnsi="Calibri"/>
          <w:sz w:val="22"/>
          <w:szCs w:val="22"/>
        </w:rPr>
        <w:t xml:space="preserve">I would also want to see how many of the DNA-repair candidates — ERCC1, PCNA, HDAC1/2, FOXO3 — hold up against the larger comparative datasets assembled after this paper was published. Farré et al. (2021) ran a phylogeny-wide scan across dozens of species split by longevity quotient and noted directly that single-species studies of this kind are useful for generating credible candidates but limited in their ability to show whether those candidates reflect something general about longevity or something specific to the one species studied. That is not a flaw unique to this paper — in 2015, the multi-species genomic resources that would allow that question to be asked at scale, such as the Zoonomia Consortium's later 240-mammal alignment, did not yet exist. But it does mean the appropriate way to read this paper's candidate list today is as a set of testable hypotheses, not as a settled account of bowhead longevity.</w:t>
      </w:r>
    </w:p>
    <w:p>
      <w:pPr>
        <w:pStyle w:val="Heading1"/>
        <w:spacing w:after="160" w:before="320"/>
      </w:pPr>
      <w:r>
        <w:t xml:space="preserve">6. Limitations</w:t>
      </w:r>
    </w:p>
    <w:p>
      <w:pPr>
        <w:spacing w:after="160" w:line="300"/>
      </w:pPr>
      <w:r>
        <w:rPr>
          <w:rFonts w:ascii="Calibri" w:cs="Calibri" w:eastAsia="Calibri" w:hAnsi="Calibri"/>
          <w:sz w:val="22"/>
          <w:szCs w:val="22"/>
        </w:rPr>
        <w:t xml:space="preserve">The authors acknowledge much of this directly. The filtering that reduced 866 candidate single-gene ortholog families to 319 testable ones, and 575 candidate expanded gene families to 41, is explicitly intended to guard against false positives from pseudogenes and assembly artifacts — but that degree of attrition also means a substantial amount of raw signal, real or spurious, never entered the reported results. The paper is explicit that benchmarking gene loss against a fragmented assembly carries risk, and that the candidate genes identified require functional follow-up before they can be treated as established mechanisms rather than plausible ones.</w:t>
      </w:r>
    </w:p>
    <w:p>
      <w:pPr>
        <w:pStyle w:val="Heading1"/>
        <w:spacing w:after="160" w:before="320"/>
      </w:pPr>
      <w:r>
        <w:t xml:space="preserve">7. Future Directions</w:t>
      </w:r>
    </w:p>
    <w:p>
      <w:pPr>
        <w:spacing w:after="160" w:line="300"/>
      </w:pPr>
      <w:r>
        <w:rPr>
          <w:rFonts w:ascii="Calibri" w:cs="Calibri" w:eastAsia="Calibri" w:hAnsi="Calibri"/>
          <w:sz w:val="22"/>
          <w:szCs w:val="22"/>
        </w:rPr>
        <w:t xml:space="preserve">The authors point toward two things specifically: continuing to add species and additional omics layers to the bowhead resource as sequencing costs fall, and, repeated more than once in the discussion, the need for functional validation of the candidate genes identified, since the results are correlational by design. They also present the public data portal itself as a forward-looking contribution, intended to let other researchers query specific genes or dN/dS values without repeating the pipeline.</w:t>
      </w:r>
    </w:p>
    <w:p>
      <w:pPr>
        <w:pStyle w:val="Heading1"/>
        <w:spacing w:after="160" w:before="320"/>
      </w:pPr>
      <w:r>
        <w:t xml:space="preserve">8. Lessons Learned</w:t>
      </w:r>
    </w:p>
    <w:p>
      <w:pPr>
        <w:spacing w:after="160" w:line="300"/>
      </w:pPr>
      <w:r>
        <w:rPr>
          <w:rFonts w:ascii="Calibri" w:cs="Calibri" w:eastAsia="Calibri" w:hAnsi="Calibri"/>
          <w:sz w:val="22"/>
          <w:szCs w:val="22"/>
        </w:rPr>
        <w:t xml:space="preserve">This paper changed how I think about what a resource paper is actually claiming. Nothing in it is incorrect, but a large share of its descriptive language — “candidate,” “may be relevant to” — is doing real interpretive work, and it would be easy to skim past that qualifying language and remember the gene list as more settled than the paper itself claims it to be.</w:t>
      </w:r>
    </w:p>
    <w:p>
      <w:pPr>
        <w:spacing w:after="160" w:line="300"/>
      </w:pPr>
      <w:r>
        <w:rPr>
          <w:rFonts w:ascii="Calibri" w:cs="Calibri" w:eastAsia="Calibri" w:hAnsi="Calibri"/>
          <w:sz w:val="22"/>
          <w:szCs w:val="22"/>
        </w:rPr>
        <w:t xml:space="preserve">It also gave me a concrete sense of how much a study's conclusions depend on filtering choices made well before the results section is written. Watching 866 candidate ortholog families reduce to 319, and 575 expansion candidates reduce to 41, made clear that a paper's “candidate gene list” is not a fixed property of the genome being studied — it is the output of a specific set of thresholds that could reasonably have been drawn elsewhere, with a different resulting list.</w:t>
      </w:r>
    </w:p>
    <w:p>
      <w:pPr>
        <w:spacing w:after="160" w:line="300"/>
      </w:pPr>
      <w:r>
        <w:rPr>
          <w:rFonts w:ascii="Calibri" w:cs="Calibri" w:eastAsia="Calibri" w:hAnsi="Calibri"/>
          <w:sz w:val="22"/>
          <w:szCs w:val="22"/>
        </w:rPr>
        <w:t xml:space="preserve">Peto's paradox itself was new to me before this paper, and it has stayed with me as a genuinely useful framing device: it converts a vague question — why don't larger, longer-lived animals get more cancer — into a sharp, testable one, which likely explains why so much of the candidate-gene literature in this space, from naked mole rats to elephants to bowhead whales, keeps returning to the same handful of pathways.</w:t>
      </w:r>
    </w:p>
    <w:p>
      <w:pPr>
        <w:pStyle w:val="Heading1"/>
        <w:spacing w:after="160" w:before="320"/>
      </w:pPr>
      <w:r>
        <w:t xml:space="preserve">9. Potential Research Extensions</w:t>
      </w:r>
    </w:p>
    <w:p>
      <w:pPr>
        <w:spacing w:after="160" w:line="300"/>
      </w:pPr>
      <w:r>
        <w:rPr>
          <w:rFonts w:ascii="Calibri" w:cs="Calibri" w:eastAsia="Calibri" w:hAnsi="Calibri"/>
          <w:sz w:val="22"/>
          <w:szCs w:val="22"/>
        </w:rPr>
        <w:t xml:space="preserve">Each extension below targets a specific gap identified in the critical analysis above, rather than a general call for further study.</w:t>
      </w:r>
    </w:p>
    <w:p>
      <w:pPr>
        <w:pStyle w:val="ListParagraph"/>
        <w:numPr>
          <w:ilvl w:val="0"/>
          <w:numId w:val="2"/>
        </w:numPr>
        <w:spacing w:after="100" w:line="280"/>
      </w:pPr>
      <w:r>
        <w:rPr>
          <w:rFonts w:ascii="Calibri" w:cs="Calibri" w:eastAsia="Calibri" w:hAnsi="Calibri"/>
          <w:sz w:val="22"/>
          <w:szCs w:val="22"/>
        </w:rPr>
        <w:t xml:space="preserve">Reassemble the bowhead genome using long-read sequencing to determine how many of the reported gene losses, OTUD6A in particular, reflect a genuine absence versus a gap in the original short-read assembly. This directly addresses the assembly-fragmentation limitation discussed in Section 5.2.</w:t>
      </w:r>
    </w:p>
    <w:p>
      <w:pPr>
        <w:pStyle w:val="ListParagraph"/>
        <w:numPr>
          <w:ilvl w:val="0"/>
          <w:numId w:val="2"/>
        </w:numPr>
        <w:spacing w:after="100" w:line="280"/>
      </w:pPr>
      <w:r>
        <w:rPr>
          <w:rFonts w:ascii="Calibri" w:cs="Calibri" w:eastAsia="Calibri" w:hAnsi="Calibri"/>
          <w:sz w:val="22"/>
          <w:szCs w:val="22"/>
        </w:rPr>
        <w:t xml:space="preserve">Test the PCNA Q38H substitution with an in vitro PCNA–FEN1 binding assay. The paper's structural argument is a plausibility claim based on distance measurements in a modeled complex; a binding assay would convert that into a measured functional result.</w:t>
      </w:r>
    </w:p>
    <w:p>
      <w:pPr>
        <w:pStyle w:val="ListParagraph"/>
        <w:numPr>
          <w:ilvl w:val="0"/>
          <w:numId w:val="2"/>
        </w:numPr>
        <w:spacing w:after="100" w:line="280"/>
      </w:pPr>
      <w:r>
        <w:rPr>
          <w:rFonts w:ascii="Calibri" w:cs="Calibri" w:eastAsia="Calibri" w:hAnsi="Calibri"/>
          <w:sz w:val="22"/>
          <w:szCs w:val="22"/>
        </w:rPr>
        <w:t xml:space="preserve">Cross-reference the paper's candidate gene list — ERCC1, PCNA, HDAC1/2, FOXO3 — against large-scale comparative datasets such as Zoonomia to determine which candidates show convergent signatures across other independently long-lived mammals, rather than appearing only in the bowhead-minke comparison used here.</w:t>
      </w:r>
    </w:p>
    <w:p>
      <w:pPr>
        <w:pStyle w:val="ListParagraph"/>
        <w:numPr>
          <w:ilvl w:val="0"/>
          <w:numId w:val="2"/>
        </w:numPr>
        <w:spacing w:after="100" w:line="280"/>
      </w:pPr>
      <w:r>
        <w:rPr>
          <w:rFonts w:ascii="Calibri" w:cs="Calibri" w:eastAsia="Calibri" w:hAnsi="Calibri"/>
          <w:sz w:val="22"/>
          <w:szCs w:val="22"/>
        </w:rPr>
        <w:t xml:space="preserve">Sequence additional bowhead individuals to establish which “bowhead-specific” residues identified in this paper are actually fixed across the population, addressing the single-individual limitation described in Section 5.2.</w:t>
      </w:r>
    </w:p>
    <w:p>
      <w:pPr>
        <w:pStyle w:val="Heading1"/>
        <w:spacing w:after="160" w:before="320"/>
      </w:pPr>
      <w:r>
        <w:t xml:space="preserve">10. Questions I Still Have</w:t>
      </w:r>
    </w:p>
    <w:p>
      <w:pPr>
        <w:spacing w:after="160" w:line="300"/>
      </w:pPr>
      <w:r>
        <w:rPr>
          <w:rFonts w:ascii="Calibri" w:cs="Calibri" w:eastAsia="Calibri" w:hAnsi="Calibri"/>
          <w:sz w:val="22"/>
          <w:szCs w:val="22"/>
        </w:rPr>
        <w:t xml:space="preserve">These are open questions the paper raised for me rather than gaps I can resolve from the text itself:</w:t>
      </w:r>
    </w:p>
    <w:p>
      <w:pPr>
        <w:pStyle w:val="ListParagraph"/>
        <w:numPr>
          <w:ilvl w:val="0"/>
          <w:numId w:val="2"/>
        </w:numPr>
        <w:spacing w:after="100" w:line="280"/>
      </w:pPr>
      <w:r>
        <w:rPr>
          <w:rFonts w:ascii="Calibri" w:cs="Calibri" w:eastAsia="Calibri" w:hAnsi="Calibri"/>
          <w:sz w:val="22"/>
          <w:szCs w:val="22"/>
        </w:rPr>
        <w:t xml:space="preserve">How many of the top candidate genes — ERCC1, PCNA, HDAC1/2 — have since been functionally tested in any system, and did the results support the paper's inference?</w:t>
      </w:r>
    </w:p>
    <w:p>
      <w:pPr>
        <w:pStyle w:val="ListParagraph"/>
        <w:numPr>
          <w:ilvl w:val="0"/>
          <w:numId w:val="2"/>
        </w:numPr>
        <w:spacing w:after="100" w:line="280"/>
      </w:pPr>
      <w:r>
        <w:rPr>
          <w:rFonts w:ascii="Calibri" w:cs="Calibri" w:eastAsia="Calibri" w:hAnsi="Calibri"/>
          <w:sz w:val="22"/>
          <w:szCs w:val="22"/>
        </w:rPr>
        <w:t xml:space="preserve">Has the bowhead genome since been reassembled with long-read technology, and if so, did any of the reported gene losses turn out to be assembly gaps instead?</w:t>
      </w:r>
    </w:p>
    <w:p>
      <w:pPr>
        <w:pStyle w:val="ListParagraph"/>
        <w:numPr>
          <w:ilvl w:val="0"/>
          <w:numId w:val="2"/>
        </w:numPr>
        <w:spacing w:after="100" w:line="280"/>
      </w:pPr>
      <w:r>
        <w:rPr>
          <w:rFonts w:ascii="Calibri" w:cs="Calibri" w:eastAsia="Calibri" w:hAnsi="Calibri"/>
          <w:sz w:val="22"/>
          <w:szCs w:val="22"/>
        </w:rPr>
        <w:t xml:space="preserve">Given that UCP1's premature stop codon is not bowhead-specific, how much weight should it actually carry in a paper specifically about bowhead longevity, as opposed to cetacean or large-whale biology more broadly?</w:t>
      </w:r>
    </w:p>
    <w:p>
      <w:pPr>
        <w:pStyle w:val="ListParagraph"/>
        <w:numPr>
          <w:ilvl w:val="0"/>
          <w:numId w:val="2"/>
        </w:numPr>
        <w:spacing w:after="100" w:line="280"/>
      </w:pPr>
      <w:r>
        <w:rPr>
          <w:rFonts w:ascii="Calibri" w:cs="Calibri" w:eastAsia="Calibri" w:hAnsi="Calibri"/>
          <w:sz w:val="22"/>
          <w:szCs w:val="22"/>
        </w:rPr>
        <w:t xml:space="preserve">Would a phylogeny-wide scan across many long-lived mammals recover the same candidate gene list as this single-species comparison, or a substantially different one?</w:t>
      </w:r>
    </w:p>
    <w:p>
      <w:pPr>
        <w:pStyle w:val="ListParagraph"/>
        <w:numPr>
          <w:ilvl w:val="0"/>
          <w:numId w:val="2"/>
        </w:numPr>
        <w:spacing w:after="100" w:line="280"/>
      </w:pPr>
      <w:r>
        <w:rPr>
          <w:rFonts w:ascii="Calibri" w:cs="Calibri" w:eastAsia="Calibri" w:hAnsi="Calibri"/>
          <w:sz w:val="22"/>
          <w:szCs w:val="22"/>
        </w:rPr>
        <w:t xml:space="preserve">With only 15 gene families showing lineage-specific positive selection out of 319 tested, how sensitive is that number to the specific filtering thresholds the authors chose — would a less conservative filter meaningfully change the reported list?</w:t>
      </w:r>
    </w:p>
    <w:p>
      <w:pPr>
        <w:pStyle w:val="Heading1"/>
        <w:spacing w:after="160" w:before="320"/>
      </w:pPr>
      <w:r>
        <w:t xml:space="preserve">11. How This Paper Influences My Future Projects</w:t>
      </w:r>
    </w:p>
    <w:p>
      <w:pPr>
        <w:spacing w:after="160" w:line="300"/>
      </w:pPr>
      <w:r>
        <w:rPr>
          <w:rFonts w:ascii="Calibri" w:cs="Calibri" w:eastAsia="Calibri" w:hAnsi="Calibri"/>
          <w:sz w:val="22"/>
          <w:szCs w:val="22"/>
        </w:rPr>
        <w:t xml:space="preserve">This paper sharpened a question I was already circling from earlier work in this portfolio: how much a paper's headline findings depend on choices made well upstream of the results section — filtering thresholds here, methodological framing elsewhere. I would like to rerun a piece of this pipeline myself, most likely the pairwise dN/dS scan against publicly available cetacean genomes, specifically to see how sensitive the candidate gene list is to modest changes in the filtering criteria the authors describe.</w:t>
      </w:r>
    </w:p>
    <w:p>
      <w:pPr>
        <w:spacing w:after="160" w:line="300"/>
      </w:pPr>
      <w:r>
        <w:rPr>
          <w:rFonts w:ascii="Calibri" w:cs="Calibri" w:eastAsia="Calibri" w:hAnsi="Calibri"/>
          <w:sz w:val="22"/>
          <w:szCs w:val="22"/>
        </w:rPr>
        <w:t xml:space="preserve">I am also more interested now in tracking a single candidate gene across its citation history — following ERCC1 or PCNA from this 2015 paper through whatever later comparative or functional work engaged with it — to get a concrete sense of how, or whether, a computational candidate from a resource paper eventually accumulates mechanistic evidence.</w:t>
      </w:r>
    </w:p>
    <w:p>
      <w:pPr>
        <w:pStyle w:val="Heading1"/>
        <w:spacing w:after="160" w:before="320"/>
      </w:pPr>
      <w:r>
        <w:t xml:space="preserve">12. Conclusion</w:t>
      </w:r>
    </w:p>
    <w:p>
      <w:pPr>
        <w:spacing w:after="160" w:line="300"/>
      </w:pPr>
      <w:r>
        <w:rPr>
          <w:rFonts w:ascii="Calibri" w:cs="Calibri" w:eastAsia="Calibri" w:hAnsi="Calibri"/>
          <w:sz w:val="22"/>
          <w:szCs w:val="22"/>
        </w:rPr>
        <w:t xml:space="preserve">The paper's genuine contribution is the reference genome itself and the candidate gene list it produces — not a mechanistic account of bowhead longevity, which the authors do not claim to have established. Its most significant limitation is that every finding rests on a single sequenced individual and a fragmented, short-read assembly, which limits how confidently any single result can be treated as representative of the species rather than of one whale's genome. What this analysis adds beyond a summary is a way of separating the paper's different evidence types — coarse dN/dS scans, rigorous branch-specific selection tests, structural modeling — by how much weight each can actually bear, and a comparison, not made in the original paper, against the multi-species phylogenetic approaches that later became available to test whether these candidates generalize. Whether ERCC1, PCNA, and the rest are genuine drivers of bowhead longevity, or genes that changed along that branch for unrelated reasons, is a question this paper does not resolve and is honest about not resolving. That is the open thread I would want to follow next.</w:t>
      </w:r>
    </w:p>
    <w:p>
      <w:pPr>
        <w:pStyle w:val="Heading1"/>
        <w:spacing w:after="160" w:before="320"/>
      </w:pPr>
      <w:r>
        <w:t xml:space="preserve">References</w:t>
      </w:r>
    </w:p>
    <w:p>
      <w:pPr>
        <w:spacing w:after="160" w:line="300"/>
      </w:pPr>
      <w:r>
        <w:rPr>
          <w:rFonts w:ascii="Calibri" w:cs="Calibri" w:eastAsia="Calibri" w:hAnsi="Calibri"/>
          <w:sz w:val="22"/>
          <w:szCs w:val="22"/>
        </w:rPr>
        <w:t xml:space="preserve">Keane, M., Semeiks, J., Webb, A. E., Li, Y. I., Quesada, V., Craig, T., Madsen, L. B., van Dam, S., Brawand, D., Marques, P. I., Michalak, P., Kang, L., Bhak, J., Yim, H.-S., Grishin, N. V., Nielsen, N. H., Heide-Jørgensen, M. P., Oziolor, E. M., Matson, C. W., Church, G. M., Stuart, G. W., Patton, J. C., George, J. C., Suydam, R., Larsen, K., López-Otín, C., O'Connell, M. J., Bickham, J. W., Thomsen, B., &amp; de Magalhães, J. P. (2015). Insights into the evolution of longevity from the bowhead whale genome. Cell Reports, 10(1), 112–122. https://doi.org/10.1016/j.celrep.2014.12.008</w:t>
      </w:r>
    </w:p>
    <w:p>
      <w:pPr>
        <w:spacing w:after="160" w:line="300"/>
      </w:pPr>
      <w:r>
        <w:rPr>
          <w:rFonts w:ascii="Calibri" w:cs="Calibri" w:eastAsia="Calibri" w:hAnsi="Calibri"/>
          <w:sz w:val="22"/>
          <w:szCs w:val="22"/>
        </w:rPr>
        <w:t xml:space="preserve">Farré, X., Molina, R., Barteri, F., Timmers, P. R. H. J., Joshi, P. K., Oliva, B., Acosta, S., Esteve-Altava, B., Navarro, A., &amp; Munté, G. (2021). Comparative analysis of mammal genomes unveils key genomic variability for human life span. Molecular Biology and Evolution, 38(11), 4948–4961. https://doi.org/10.1093/molbev/msab219</w:t>
      </w:r>
    </w:p>
    <w:p>
      <w:pPr>
        <w:spacing w:after="160" w:line="300"/>
      </w:pPr>
      <w:r>
        <w:rPr>
          <w:rFonts w:ascii="Calibri" w:cs="Calibri" w:eastAsia="Calibri" w:hAnsi="Calibri"/>
          <w:sz w:val="22"/>
          <w:szCs w:val="22"/>
        </w:rPr>
        <w:t xml:space="preserve">Genereux, D. P., Serres, A., Armstrong, J., Johnson, J., Marinescu, V. D., Murén, E., et al. (2020). A comparative genomics multitool for scientific discovery and conservation. Nature, 587, 240–245. https://doi.org/10.1038/s41586-020-2876-6</w:t>
      </w:r>
    </w:p>
    <w:p>
      <w:pPr>
        <w:spacing w:after="160" w:line="300"/>
      </w:pPr>
      <w:r>
        <w:rPr>
          <w:rFonts w:ascii="Calibri" w:cs="Calibri" w:eastAsia="Calibri" w:hAnsi="Calibri"/>
          <w:sz w:val="22"/>
          <w:szCs w:val="22"/>
        </w:rPr>
        <w:t xml:space="preserve">Caulin, A. F., &amp; Maley, C. C. (2011). Peto's paradox: evolution's prescription for cancer prevention. Trends in Ecology &amp; Evolution, 26(4), 175–182.</w:t>
      </w:r>
    </w:p>
    <w:p>
      <w:pPr>
        <w:spacing w:after="160" w:line="300"/>
      </w:pPr>
      <w:r>
        <w:rPr>
          <w:rFonts w:ascii="Calibri" w:cs="Calibri" w:eastAsia="Calibri" w:hAnsi="Calibri"/>
          <w:sz w:val="22"/>
          <w:szCs w:val="22"/>
        </w:rPr>
        <w:t xml:space="preserve">Weeda, G., Donker, I., de Wit, J., Morreau, H., Janssens, R., Vissers, C. J., Nigg, A., van Steeg, H., Bootsma, D., &amp; Hoeijmakers, J. H. J. (1997). Disruption of mouse ERCC1 results in a novel repair syndrome with growth failure, nuclear abnormalities and senescence. Current Biology, 7(6), 427–439.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2026-08-18T10:48:59.891Z</dcterms:created>
  <dcterms:modified xsi:type="dcterms:W3CDTF">2026-08-18T10:48:59.903Z</dcterms:modified>
</cp:coreProperties>
</file>

<file path=docProps/custom.xml><?xml version="1.0" encoding="utf-8"?>
<Properties xmlns="http://schemas.openxmlformats.org/officeDocument/2006/custom-properties" xmlns:vt="http://schemas.openxmlformats.org/officeDocument/2006/docPropsVTypes"/>
</file>